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6C7E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Regular" w:hAnsi="Times New Roman Regular" w:eastAsia="方正小标宋简体" w:cs="Times New Roman Regular"/>
          <w:sz w:val="44"/>
          <w:szCs w:val="44"/>
          <w:lang w:eastAsia="zh-CN"/>
        </w:rPr>
      </w:pPr>
      <w:r>
        <w:rPr>
          <w:rFonts w:hint="default" w:ascii="Times New Roman Regular" w:hAnsi="Times New Roman Regular" w:eastAsia="方正小标宋简体" w:cs="Times New Roman Regular"/>
          <w:sz w:val="44"/>
          <w:szCs w:val="44"/>
          <w:lang w:eastAsia="zh-CN"/>
        </w:rPr>
        <w:t>北京市东城区人民政府</w:t>
      </w:r>
      <w:r>
        <w:rPr>
          <w:rFonts w:hint="default" w:ascii="Times New Roman Regular" w:hAnsi="Times New Roman Regular" w:eastAsia="方正小标宋简体" w:cs="Times New Roman Regular"/>
          <w:sz w:val="44"/>
          <w:szCs w:val="44"/>
          <w:lang w:val="en-US" w:eastAsia="zh-CN"/>
        </w:rPr>
        <w:t>东四</w:t>
      </w:r>
      <w:r>
        <w:rPr>
          <w:rFonts w:hint="default" w:ascii="Times New Roman Regular" w:hAnsi="Times New Roman Regular" w:eastAsia="方正小标宋简体" w:cs="Times New Roman Regular"/>
          <w:sz w:val="44"/>
          <w:szCs w:val="44"/>
          <w:lang w:eastAsia="zh-CN"/>
        </w:rPr>
        <w:t>街道办事处</w:t>
      </w:r>
    </w:p>
    <w:p w14:paraId="4A47C00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Regular" w:hAnsi="Times New Roman Regular" w:eastAsia="方正小标宋简体" w:cs="Times New Roman Regular"/>
          <w:sz w:val="44"/>
          <w:szCs w:val="44"/>
          <w:lang w:eastAsia="zh-CN"/>
        </w:rPr>
      </w:pPr>
      <w:r>
        <w:rPr>
          <w:rFonts w:hint="default" w:ascii="Times New Roman Regular" w:hAnsi="Times New Roman Regular" w:eastAsia="方正小标宋简体" w:cs="Times New Roman Regular"/>
          <w:sz w:val="44"/>
          <w:szCs w:val="44"/>
          <w:lang w:eastAsia="zh-CN"/>
        </w:rPr>
        <w:t>202</w:t>
      </w:r>
      <w:r>
        <w:rPr>
          <w:rFonts w:hint="default" w:ascii="Times New Roman Regular" w:hAnsi="Times New Roman Regular" w:eastAsia="方正小标宋简体" w:cs="Times New Roman Regular"/>
          <w:sz w:val="44"/>
          <w:szCs w:val="44"/>
          <w:lang w:val="en-US" w:eastAsia="zh-CN"/>
        </w:rPr>
        <w:t>5</w:t>
      </w:r>
      <w:r>
        <w:rPr>
          <w:rFonts w:hint="default" w:ascii="Times New Roman Regular" w:hAnsi="Times New Roman Regular" w:eastAsia="方正小标宋简体" w:cs="Times New Roman Regular"/>
          <w:sz w:val="44"/>
          <w:szCs w:val="44"/>
          <w:lang w:eastAsia="zh-CN"/>
        </w:rPr>
        <w:t>年法治政府建设年度情况报告</w:t>
      </w:r>
    </w:p>
    <w:p w14:paraId="0D490E76">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Regular" w:hAnsi="Times New Roman Regular" w:eastAsia="方正小标宋简体" w:cs="Times New Roman Regular"/>
          <w:sz w:val="44"/>
          <w:szCs w:val="44"/>
        </w:rPr>
      </w:pPr>
    </w:p>
    <w:p w14:paraId="00D7D1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rPr>
        <w:t>年是贯彻实施《法治政府建设实施纲要（</w:t>
      </w:r>
      <w:r>
        <w:rPr>
          <w:rFonts w:hint="eastAsia" w:ascii="Times New Roman" w:hAnsi="Times New Roman" w:eastAsia="仿宋_GB2312" w:cs="Times New Roman"/>
          <w:color w:val="auto"/>
          <w:sz w:val="32"/>
          <w:szCs w:val="32"/>
        </w:rPr>
        <w:t>2021</w:t>
      </w:r>
      <w:r>
        <w:rPr>
          <w:rFonts w:hint="eastAsia" w:ascii="仿宋_GB2312" w:hAnsi="仿宋_GB2312" w:eastAsia="仿宋_GB2312" w:cs="仿宋_GB2312"/>
          <w:color w:val="auto"/>
          <w:sz w:val="32"/>
          <w:szCs w:val="32"/>
        </w:rPr>
        <w:t>-</w:t>
      </w:r>
      <w:r>
        <w:rPr>
          <w:rFonts w:hint="eastAsia"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年）》和《北京市法治政府建设实施意见（</w:t>
      </w:r>
      <w:r>
        <w:rPr>
          <w:rFonts w:hint="eastAsia" w:ascii="Times New Roman" w:hAnsi="Times New Roman" w:eastAsia="仿宋_GB2312" w:cs="Times New Roman"/>
          <w:color w:val="auto"/>
          <w:sz w:val="32"/>
          <w:szCs w:val="32"/>
        </w:rPr>
        <w:t>2021</w:t>
      </w:r>
      <w:r>
        <w:rPr>
          <w:rFonts w:hint="eastAsia" w:ascii="仿宋_GB2312" w:hAnsi="仿宋_GB2312" w:eastAsia="仿宋_GB2312" w:cs="仿宋_GB2312"/>
          <w:color w:val="auto"/>
          <w:sz w:val="32"/>
          <w:szCs w:val="32"/>
        </w:rPr>
        <w:t>-</w:t>
      </w:r>
      <w:r>
        <w:rPr>
          <w:rFonts w:hint="eastAsia" w:ascii="Times New Roman" w:hAnsi="Times New Roman" w:eastAsia="仿宋_GB2312" w:cs="Times New Roman"/>
          <w:color w:val="auto"/>
          <w:sz w:val="32"/>
          <w:szCs w:val="32"/>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的收官之年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一年来，在区委、区政府的坚强领导下，东四街道坚持以习近平新时代中国特色社会主义思想为指导，深入学习贯彻党的二十大及二十届二中、三中、四中全会精神，坚持“首善标准”，紧紧围绕全区中心工作，着力提升依法行政水平，健全行政决策机制，规范行政执法行为，持续推动基层治理体系和治理能力现代化水平迈上新台阶。现将东四街道</w:t>
      </w:r>
      <w:r>
        <w:rPr>
          <w:rFonts w:hint="eastAsia" w:ascii="Times New Roman" w:hAnsi="Times New Roman" w:eastAsia="仿宋_GB2312" w:cs="Times New Roman"/>
          <w:color w:val="auto"/>
          <w:sz w:val="32"/>
          <w:szCs w:val="32"/>
          <w:lang w:eastAsia="zh-CN"/>
        </w:rPr>
        <w:t>2025</w:t>
      </w:r>
      <w:r>
        <w:rPr>
          <w:rFonts w:hint="eastAsia" w:ascii="仿宋_GB2312" w:hAnsi="仿宋_GB2312" w:eastAsia="仿宋_GB2312" w:cs="仿宋_GB2312"/>
          <w:color w:val="auto"/>
          <w:sz w:val="32"/>
          <w:szCs w:val="32"/>
          <w:lang w:eastAsia="zh-CN"/>
        </w:rPr>
        <w:t>年度法治政府建设工作情况报告如下。</w:t>
      </w:r>
    </w:p>
    <w:p w14:paraId="34BA714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Regular" w:hAnsi="Times New Roman Regular" w:eastAsia="楷体_GB2312" w:cs="Times New Roman Regular"/>
          <w:sz w:val="32"/>
          <w:szCs w:val="32"/>
          <w:lang w:val="en-US" w:eastAsia="zh-CN"/>
        </w:rPr>
      </w:pPr>
      <w:r>
        <w:rPr>
          <w:rFonts w:hint="default" w:ascii="Times New Roman Regular" w:hAnsi="Times New Roman Regular" w:eastAsia="黑体" w:cs="Times New Roman Regular"/>
          <w:sz w:val="32"/>
          <w:szCs w:val="32"/>
          <w:lang w:val="en-US" w:eastAsia="zh-CN"/>
        </w:rPr>
        <w:t>一、2025年推进法治政府建设的主要举措和成效</w:t>
      </w:r>
    </w:p>
    <w:p w14:paraId="31ECD7B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Regular" w:hAnsi="Times New Roman Regular" w:eastAsia="楷体_GB2312" w:cs="Times New Roman Regular"/>
          <w:color w:val="auto"/>
          <w:sz w:val="32"/>
          <w:szCs w:val="32"/>
          <w:lang w:eastAsia="zh-CN"/>
        </w:rPr>
      </w:pPr>
      <w:r>
        <w:rPr>
          <w:rFonts w:hint="default" w:ascii="Times New Roman Regular" w:hAnsi="Times New Roman Regular" w:eastAsia="楷体_GB2312" w:cs="Times New Roman Regular"/>
          <w:color w:val="auto"/>
          <w:sz w:val="32"/>
          <w:szCs w:val="32"/>
          <w:lang w:eastAsia="zh-CN"/>
        </w:rPr>
        <w:t>（一）</w:t>
      </w:r>
      <w:bookmarkStart w:id="0" w:name="OLE_LINK1"/>
      <w:r>
        <w:rPr>
          <w:rFonts w:hint="default" w:ascii="Times New Roman Regular" w:hAnsi="Times New Roman Regular" w:eastAsia="楷体_GB2312" w:cs="Times New Roman Regular"/>
          <w:color w:val="auto"/>
          <w:sz w:val="32"/>
          <w:szCs w:val="32"/>
          <w:lang w:eastAsia="zh-CN"/>
        </w:rPr>
        <w:t>依法全面履行政府职能，提升政府治理能力水平</w:t>
      </w:r>
    </w:p>
    <w:p w14:paraId="7EF0AF29">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FF"/>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.推进法治化营商环境建设，护航辖区经济发展。本年度街道完成税源入库</w:t>
      </w:r>
      <w:r>
        <w:rPr>
          <w:rFonts w:hint="eastAsia" w:ascii="Times New Roman" w:hAnsi="Times New Roman" w:eastAsia="仿宋_GB2312" w:cs="Times New Roman"/>
          <w:color w:val="auto"/>
          <w:kern w:val="2"/>
          <w:sz w:val="32"/>
          <w:szCs w:val="32"/>
          <w:highlight w:val="none"/>
          <w:lang w:val="en-US" w:eastAsia="zh-CN" w:bidi="ar-SA"/>
        </w:rPr>
        <w:t>3470</w:t>
      </w:r>
      <w:r>
        <w:rPr>
          <w:rFonts w:hint="eastAsia" w:ascii="仿宋_GB2312" w:hAnsi="仿宋_GB2312" w:eastAsia="仿宋_GB2312" w:cs="仿宋_GB2312"/>
          <w:color w:val="auto"/>
          <w:kern w:val="2"/>
          <w:sz w:val="32"/>
          <w:szCs w:val="32"/>
          <w:highlight w:val="none"/>
          <w:lang w:val="en-US" w:eastAsia="zh-CN" w:bidi="ar-SA"/>
        </w:rPr>
        <w:t>万元；新设立、新引进企业</w:t>
      </w:r>
      <w:r>
        <w:rPr>
          <w:rFonts w:hint="eastAsia" w:ascii="Times New Roman" w:hAnsi="Times New Roman" w:eastAsia="仿宋_GB2312" w:cs="Times New Roman"/>
          <w:color w:val="auto"/>
          <w:kern w:val="2"/>
          <w:sz w:val="32"/>
          <w:szCs w:val="32"/>
          <w:highlight w:val="none"/>
          <w:lang w:val="en-US" w:eastAsia="zh-CN" w:bidi="ar-SA"/>
        </w:rPr>
        <w:t>216</w:t>
      </w:r>
      <w:r>
        <w:rPr>
          <w:rFonts w:hint="eastAsia" w:ascii="仿宋_GB2312" w:hAnsi="仿宋_GB2312" w:eastAsia="仿宋_GB2312" w:cs="仿宋_GB2312"/>
          <w:color w:val="auto"/>
          <w:kern w:val="2"/>
          <w:sz w:val="32"/>
          <w:szCs w:val="32"/>
          <w:highlight w:val="none"/>
          <w:lang w:val="en-US" w:eastAsia="zh-CN" w:bidi="ar-SA"/>
        </w:rPr>
        <w:t>家；成功挽留辉瑞制药等</w:t>
      </w:r>
      <w:r>
        <w:rPr>
          <w:rFonts w:hint="eastAsia" w:ascii="Times New Roman" w:hAnsi="Times New Roman" w:eastAsia="仿宋_GB2312" w:cs="Times New Roman"/>
          <w:color w:val="auto"/>
          <w:kern w:val="2"/>
          <w:sz w:val="32"/>
          <w:szCs w:val="32"/>
          <w:highlight w:val="none"/>
          <w:lang w:val="en-US" w:eastAsia="zh-CN" w:bidi="ar-SA"/>
        </w:rPr>
        <w:t>8</w:t>
      </w:r>
      <w:r>
        <w:rPr>
          <w:rFonts w:hint="eastAsia" w:ascii="仿宋_GB2312" w:hAnsi="仿宋_GB2312" w:eastAsia="仿宋_GB2312" w:cs="仿宋_GB2312"/>
          <w:color w:val="auto"/>
          <w:kern w:val="2"/>
          <w:sz w:val="32"/>
          <w:szCs w:val="32"/>
          <w:highlight w:val="none"/>
          <w:lang w:val="en-US" w:eastAsia="zh-CN" w:bidi="ar-SA"/>
        </w:rPr>
        <w:t>家优质企业，推动一商创信等</w:t>
      </w:r>
      <w:r>
        <w:rPr>
          <w:rFonts w:hint="eastAsia" w:ascii="Times New Roman" w:hAnsi="Times New Roman" w:eastAsia="仿宋_GB2312" w:cs="Times New Roman"/>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家异地经营企业回迁。积极推进汇川技术园区改造、沙小馆“首店”企业引入等项目落地。擦亮“紫金服务”品牌，发挥辖区商会、驻京办等“招商合伙人”作用，全年举办政企银对接会</w:t>
      </w:r>
      <w:r>
        <w:rPr>
          <w:rFonts w:hint="eastAsia" w:ascii="Times New Roman" w:hAnsi="Times New Roman" w:eastAsia="仿宋_GB2312" w:cs="Times New Roman"/>
          <w:color w:val="auto"/>
          <w:kern w:val="2"/>
          <w:sz w:val="32"/>
          <w:szCs w:val="32"/>
          <w:highlight w:val="none"/>
          <w:lang w:val="en-US" w:eastAsia="zh-CN" w:bidi="ar-SA"/>
        </w:rPr>
        <w:t>19</w:t>
      </w:r>
      <w:r>
        <w:rPr>
          <w:rFonts w:hint="eastAsia" w:ascii="仿宋_GB2312" w:hAnsi="仿宋_GB2312" w:eastAsia="仿宋_GB2312" w:cs="仿宋_GB2312"/>
          <w:color w:val="auto"/>
          <w:kern w:val="2"/>
          <w:sz w:val="32"/>
          <w:szCs w:val="32"/>
          <w:highlight w:val="none"/>
          <w:lang w:val="en-US" w:eastAsia="zh-CN" w:bidi="ar-SA"/>
        </w:rPr>
        <w:t>次，提供政策、融资、资源等服务，解决企业诉求</w:t>
      </w:r>
      <w:r>
        <w:rPr>
          <w:rFonts w:hint="eastAsia" w:ascii="Times New Roman" w:hAnsi="Times New Roman" w:eastAsia="仿宋_GB2312" w:cs="Times New Roman"/>
          <w:color w:val="auto"/>
          <w:kern w:val="2"/>
          <w:sz w:val="32"/>
          <w:szCs w:val="32"/>
          <w:highlight w:val="none"/>
          <w:lang w:val="en-US" w:eastAsia="zh-CN" w:bidi="ar-SA"/>
        </w:rPr>
        <w:t>40</w:t>
      </w:r>
      <w:r>
        <w:rPr>
          <w:rFonts w:hint="eastAsia" w:ascii="仿宋_GB2312" w:hAnsi="仿宋_GB2312" w:eastAsia="仿宋_GB2312" w:cs="仿宋_GB2312"/>
          <w:color w:val="auto"/>
          <w:kern w:val="2"/>
          <w:sz w:val="32"/>
          <w:szCs w:val="32"/>
          <w:highlight w:val="none"/>
          <w:lang w:val="en-US" w:eastAsia="zh-CN" w:bidi="ar-SA"/>
        </w:rPr>
        <w:t>余项。</w:t>
      </w:r>
    </w:p>
    <w:p w14:paraId="3B3FE90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en-US" w:eastAsia="zh-CN" w:bidi="ar-SA"/>
        </w:rPr>
        <w:t>.压实安全责任，夯实平安建设根基。坚持首善标准，树牢“红墙意识”，高标准完成重点时期安全保障</w:t>
      </w:r>
      <w:r>
        <w:rPr>
          <w:rFonts w:hint="eastAsia" w:ascii="Times New Roman" w:hAnsi="Times New Roman" w:eastAsia="仿宋_GB2312" w:cs="Times New Roman"/>
          <w:color w:val="auto"/>
          <w:kern w:val="2"/>
          <w:sz w:val="32"/>
          <w:szCs w:val="32"/>
          <w:highlight w:val="none"/>
          <w:lang w:val="en-US" w:eastAsia="zh-CN" w:bidi="ar-SA"/>
        </w:rPr>
        <w:t>9</w:t>
      </w:r>
      <w:r>
        <w:rPr>
          <w:rFonts w:hint="eastAsia" w:ascii="仿宋_GB2312" w:hAnsi="仿宋_GB2312" w:eastAsia="仿宋_GB2312" w:cs="仿宋_GB2312"/>
          <w:color w:val="auto"/>
          <w:kern w:val="2"/>
          <w:sz w:val="32"/>
          <w:szCs w:val="32"/>
          <w:highlight w:val="none"/>
          <w:lang w:val="en-US" w:eastAsia="zh-CN" w:bidi="ar-SA"/>
        </w:rPr>
        <w:t>次，动员</w:t>
      </w:r>
      <w:r>
        <w:rPr>
          <w:rFonts w:hint="eastAsia" w:ascii="Times New Roman" w:hAnsi="Times New Roman" w:eastAsia="仿宋_GB2312" w:cs="Times New Roman"/>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en-US" w:eastAsia="zh-CN" w:bidi="ar-SA"/>
        </w:rPr>
        <w:t>余名新就业群体加入流动守望岗队伍。持续深化消防安全“降险除患”行动，动态划分平房区三级风险院落</w:t>
      </w:r>
      <w:r>
        <w:rPr>
          <w:rFonts w:hint="eastAsia" w:ascii="Times New Roman" w:hAnsi="Times New Roman" w:eastAsia="仿宋_GB2312" w:cs="Times New Roman"/>
          <w:color w:val="auto"/>
          <w:kern w:val="2"/>
          <w:sz w:val="32"/>
          <w:szCs w:val="32"/>
          <w:highlight w:val="none"/>
          <w:lang w:val="en-US" w:eastAsia="zh-CN" w:bidi="ar-SA"/>
        </w:rPr>
        <w:t>906</w:t>
      </w:r>
      <w:r>
        <w:rPr>
          <w:rFonts w:hint="eastAsia" w:ascii="仿宋_GB2312" w:hAnsi="仿宋_GB2312" w:eastAsia="仿宋_GB2312" w:cs="仿宋_GB2312"/>
          <w:color w:val="auto"/>
          <w:kern w:val="2"/>
          <w:sz w:val="32"/>
          <w:szCs w:val="32"/>
          <w:highlight w:val="none"/>
          <w:lang w:val="en-US" w:eastAsia="zh-CN" w:bidi="ar-SA"/>
        </w:rPr>
        <w:t>处，建立关爱人群台账</w:t>
      </w:r>
      <w:r>
        <w:rPr>
          <w:rFonts w:hint="eastAsia" w:ascii="Times New Roman" w:hAnsi="Times New Roman" w:eastAsia="仿宋_GB2312" w:cs="Times New Roman"/>
          <w:color w:val="auto"/>
          <w:kern w:val="2"/>
          <w:sz w:val="32"/>
          <w:szCs w:val="32"/>
          <w:highlight w:val="none"/>
          <w:lang w:val="en-US" w:eastAsia="zh-CN" w:bidi="ar-SA"/>
        </w:rPr>
        <w:t>788</w:t>
      </w:r>
      <w:r>
        <w:rPr>
          <w:rFonts w:hint="eastAsia" w:ascii="仿宋_GB2312" w:hAnsi="仿宋_GB2312" w:eastAsia="仿宋_GB2312" w:cs="仿宋_GB2312"/>
          <w:color w:val="auto"/>
          <w:kern w:val="2"/>
          <w:sz w:val="32"/>
          <w:szCs w:val="32"/>
          <w:highlight w:val="none"/>
          <w:lang w:val="en-US" w:eastAsia="zh-CN" w:bidi="ar-SA"/>
        </w:rPr>
        <w:t>人，新配发消防“四件套”</w:t>
      </w:r>
      <w:r>
        <w:rPr>
          <w:rFonts w:hint="eastAsia" w:ascii="Times New Roman" w:hAnsi="Times New Roman" w:eastAsia="仿宋_GB2312" w:cs="Times New Roman"/>
          <w:color w:val="auto"/>
          <w:kern w:val="2"/>
          <w:sz w:val="32"/>
          <w:szCs w:val="32"/>
          <w:highlight w:val="none"/>
          <w:lang w:val="en-US" w:eastAsia="zh-CN" w:bidi="ar-SA"/>
        </w:rPr>
        <w:t>400</w:t>
      </w:r>
      <w:r>
        <w:rPr>
          <w:rFonts w:hint="eastAsia" w:ascii="仿宋_GB2312" w:hAnsi="仿宋_GB2312" w:eastAsia="仿宋_GB2312" w:cs="仿宋_GB2312"/>
          <w:color w:val="auto"/>
          <w:kern w:val="2"/>
          <w:sz w:val="32"/>
          <w:szCs w:val="32"/>
          <w:highlight w:val="none"/>
          <w:lang w:val="en-US" w:eastAsia="zh-CN" w:bidi="ar-SA"/>
        </w:rPr>
        <w:t>余套，新增烟感联网报警器</w:t>
      </w:r>
      <w:r>
        <w:rPr>
          <w:rFonts w:hint="eastAsia" w:ascii="Times New Roman" w:hAnsi="Times New Roman" w:eastAsia="仿宋_GB2312" w:cs="Times New Roman"/>
          <w:color w:val="auto"/>
          <w:kern w:val="2"/>
          <w:sz w:val="32"/>
          <w:szCs w:val="32"/>
          <w:highlight w:val="none"/>
          <w:lang w:val="en-US" w:eastAsia="zh-CN" w:bidi="ar-SA"/>
        </w:rPr>
        <w:t>788</w:t>
      </w:r>
      <w:r>
        <w:rPr>
          <w:rFonts w:hint="eastAsia" w:ascii="仿宋_GB2312" w:hAnsi="仿宋_GB2312" w:eastAsia="仿宋_GB2312" w:cs="仿宋_GB2312"/>
          <w:color w:val="auto"/>
          <w:kern w:val="2"/>
          <w:sz w:val="32"/>
          <w:szCs w:val="32"/>
          <w:highlight w:val="none"/>
          <w:lang w:val="en-US" w:eastAsia="zh-CN" w:bidi="ar-SA"/>
        </w:rPr>
        <w:t>个。健全平安体系，大力推广“企安安”系统压实企业主体责任，健全应急联动平台确保“</w:t>
      </w:r>
      <w:r>
        <w:rPr>
          <w:rFonts w:hint="eastAsia" w:ascii="Times New Roman" w:hAnsi="Times New Roman" w:eastAsia="仿宋_GB2312" w:cs="Times New Roman"/>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en-US" w:eastAsia="zh-CN" w:bidi="ar-SA"/>
        </w:rPr>
        <w:t>分钟到场”响应，推行安全生产“红黑榜”覆盖</w:t>
      </w:r>
      <w:r>
        <w:rPr>
          <w:rFonts w:hint="eastAsia" w:ascii="Times New Roman" w:hAnsi="Times New Roman" w:eastAsia="仿宋_GB2312" w:cs="Times New Roman"/>
          <w:color w:val="auto"/>
          <w:kern w:val="2"/>
          <w:sz w:val="32"/>
          <w:szCs w:val="32"/>
          <w:highlight w:val="none"/>
          <w:lang w:val="en-US" w:eastAsia="zh-CN" w:bidi="ar-SA"/>
        </w:rPr>
        <w:t>652</w:t>
      </w:r>
      <w:r>
        <w:rPr>
          <w:rFonts w:hint="eastAsia" w:ascii="仿宋_GB2312" w:hAnsi="仿宋_GB2312" w:eastAsia="仿宋_GB2312" w:cs="仿宋_GB2312"/>
          <w:color w:val="auto"/>
          <w:kern w:val="2"/>
          <w:sz w:val="32"/>
          <w:szCs w:val="32"/>
          <w:highlight w:val="none"/>
          <w:lang w:val="en-US" w:eastAsia="zh-CN" w:bidi="ar-SA"/>
        </w:rPr>
        <w:t>家生产经营单位，安全管理水平得到有效提升。</w:t>
      </w:r>
    </w:p>
    <w:p w14:paraId="343946C7">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Times New Roman" w:hAnsi="Times New Roman" w:eastAsia="仿宋_GB2312" w:cs="Times New Roman"/>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.聚焦城市更新，优化环境风貌品质。围绕平安、秩序、风貌、生态四大板块协同发力、系统施策。建设电动自行车棚</w:t>
      </w:r>
      <w:r>
        <w:rPr>
          <w:rFonts w:hint="eastAsia" w:ascii="Times New Roman" w:hAnsi="Times New Roman" w:eastAsia="仿宋_GB2312" w:cs="Times New Roman"/>
          <w:color w:val="auto"/>
          <w:kern w:val="2"/>
          <w:sz w:val="32"/>
          <w:szCs w:val="32"/>
          <w:highlight w:val="none"/>
          <w:lang w:val="en-US" w:eastAsia="zh-CN" w:bidi="ar-SA"/>
        </w:rPr>
        <w:t>18</w:t>
      </w:r>
      <w:r>
        <w:rPr>
          <w:rFonts w:hint="eastAsia" w:ascii="仿宋_GB2312" w:hAnsi="仿宋_GB2312" w:eastAsia="仿宋_GB2312" w:cs="仿宋_GB2312"/>
          <w:color w:val="auto"/>
          <w:kern w:val="2"/>
          <w:sz w:val="32"/>
          <w:szCs w:val="32"/>
          <w:highlight w:val="none"/>
          <w:lang w:val="en-US" w:eastAsia="zh-CN" w:bidi="ar-SA"/>
        </w:rPr>
        <w:t>处、充电桩</w:t>
      </w:r>
      <w:r>
        <w:rPr>
          <w:rFonts w:hint="eastAsia" w:ascii="Times New Roman" w:hAnsi="Times New Roman" w:eastAsia="仿宋_GB2312" w:cs="Times New Roman"/>
          <w:color w:val="auto"/>
          <w:kern w:val="2"/>
          <w:sz w:val="32"/>
          <w:szCs w:val="32"/>
          <w:highlight w:val="none"/>
          <w:lang w:val="en-US" w:eastAsia="zh-CN" w:bidi="ar-SA"/>
        </w:rPr>
        <w:t>52</w:t>
      </w:r>
      <w:r>
        <w:rPr>
          <w:rFonts w:hint="eastAsia" w:ascii="仿宋_GB2312" w:hAnsi="仿宋_GB2312" w:eastAsia="仿宋_GB2312" w:cs="仿宋_GB2312"/>
          <w:color w:val="auto"/>
          <w:kern w:val="2"/>
          <w:sz w:val="32"/>
          <w:szCs w:val="32"/>
          <w:highlight w:val="none"/>
          <w:lang w:val="en-US" w:eastAsia="zh-CN" w:bidi="ar-SA"/>
        </w:rPr>
        <w:t>组。建成东四十条</w:t>
      </w:r>
      <w:r>
        <w:rPr>
          <w:rFonts w:hint="eastAsia" w:ascii="Times New Roman" w:hAnsi="Times New Roman" w:eastAsia="仿宋_GB2312" w:cs="Times New Roman"/>
          <w:color w:val="auto"/>
          <w:kern w:val="2"/>
          <w:sz w:val="32"/>
          <w:szCs w:val="32"/>
          <w:highlight w:val="none"/>
          <w:lang w:val="en-US" w:eastAsia="zh-CN" w:bidi="ar-SA"/>
        </w:rPr>
        <w:t>68</w:t>
      </w:r>
      <w:r>
        <w:rPr>
          <w:rFonts w:hint="eastAsia" w:ascii="仿宋_GB2312" w:hAnsi="仿宋_GB2312" w:eastAsia="仿宋_GB2312" w:cs="仿宋_GB2312"/>
          <w:color w:val="auto"/>
          <w:kern w:val="2"/>
          <w:sz w:val="32"/>
          <w:szCs w:val="32"/>
          <w:highlight w:val="none"/>
          <w:lang w:val="en-US" w:eastAsia="zh-CN" w:bidi="ar-SA"/>
        </w:rPr>
        <w:t>号立体停车楼，新增车位</w:t>
      </w:r>
      <w:r>
        <w:rPr>
          <w:rFonts w:hint="eastAsia" w:ascii="Times New Roman" w:hAnsi="Times New Roman" w:eastAsia="仿宋_GB2312" w:cs="Times New Roman"/>
          <w:color w:val="auto"/>
          <w:kern w:val="2"/>
          <w:sz w:val="32"/>
          <w:szCs w:val="32"/>
          <w:highlight w:val="none"/>
          <w:lang w:val="en-US" w:eastAsia="zh-CN" w:bidi="ar-SA"/>
        </w:rPr>
        <w:t>124</w:t>
      </w:r>
      <w:r>
        <w:rPr>
          <w:rFonts w:hint="eastAsia" w:ascii="仿宋_GB2312" w:hAnsi="仿宋_GB2312" w:eastAsia="仿宋_GB2312" w:cs="仿宋_GB2312"/>
          <w:color w:val="auto"/>
          <w:kern w:val="2"/>
          <w:sz w:val="32"/>
          <w:szCs w:val="32"/>
          <w:highlight w:val="none"/>
          <w:lang w:val="en-US" w:eastAsia="zh-CN" w:bidi="ar-SA"/>
        </w:rPr>
        <w:t>个，为东四四条至六条“不停车街区”提供支撑。打造“城市家具”整治提升样板街区，移除各类障碍物</w:t>
      </w:r>
      <w:r>
        <w:rPr>
          <w:rFonts w:hint="eastAsia" w:ascii="Times New Roman" w:hAnsi="Times New Roman" w:eastAsia="仿宋_GB2312" w:cs="Times New Roman"/>
          <w:color w:val="auto"/>
          <w:kern w:val="2"/>
          <w:sz w:val="32"/>
          <w:szCs w:val="32"/>
          <w:highlight w:val="none"/>
          <w:lang w:val="en-US" w:eastAsia="zh-CN" w:bidi="ar-SA"/>
        </w:rPr>
        <w:t>400</w:t>
      </w:r>
      <w:r>
        <w:rPr>
          <w:rFonts w:hint="eastAsia" w:ascii="仿宋_GB2312" w:hAnsi="仿宋_GB2312" w:eastAsia="仿宋_GB2312" w:cs="仿宋_GB2312"/>
          <w:color w:val="auto"/>
          <w:kern w:val="2"/>
          <w:sz w:val="32"/>
          <w:szCs w:val="32"/>
          <w:highlight w:val="none"/>
          <w:lang w:val="en-US" w:eastAsia="zh-CN" w:bidi="ar-SA"/>
        </w:rPr>
        <w:t>余处，更新垃圾分类设施</w:t>
      </w:r>
      <w:r>
        <w:rPr>
          <w:rFonts w:hint="eastAsia" w:ascii="Times New Roman" w:hAnsi="Times New Roman" w:eastAsia="仿宋_GB2312" w:cs="Times New Roman"/>
          <w:color w:val="auto"/>
          <w:kern w:val="2"/>
          <w:sz w:val="32"/>
          <w:szCs w:val="32"/>
          <w:highlight w:val="none"/>
          <w:lang w:val="en-US" w:eastAsia="zh-CN" w:bidi="ar-SA"/>
        </w:rPr>
        <w:t>44</w:t>
      </w:r>
      <w:r>
        <w:rPr>
          <w:rFonts w:hint="eastAsia" w:ascii="仿宋_GB2312" w:hAnsi="仿宋_GB2312" w:eastAsia="仿宋_GB2312" w:cs="仿宋_GB2312"/>
          <w:color w:val="auto"/>
          <w:kern w:val="2"/>
          <w:sz w:val="32"/>
          <w:szCs w:val="32"/>
          <w:highlight w:val="none"/>
          <w:lang w:val="en-US" w:eastAsia="zh-CN" w:bidi="ar-SA"/>
        </w:rPr>
        <w:t>组，系统提升街区风貌与公共空间品质。链接区属国企提升平房物业管理服务水平，打造“巷光未来堂”“巷遇空间”“光合睦邻坊”等社区嵌入式服务空间，形成以东四六条为主区域的平房区服务集群。</w:t>
      </w:r>
    </w:p>
    <w:p w14:paraId="5F3BEF4D">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bookmarkStart w:id="1" w:name="OLE_LINK3"/>
      <w:r>
        <w:rPr>
          <w:rFonts w:hint="eastAsia" w:ascii="Times New Roman" w:hAnsi="Times New Roman" w:eastAsia="仿宋_GB2312" w:cs="Times New Roman"/>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抓实接诉即办，提升城市治理现代化水平。持续深化接诉即办工作机制，践行服务为民理念，优化响应处置流程，切实保障群众诉求“有人听、有人管、有回应”。推动治理重心下移，完善“未诉先办”机制，组织力量主动下沉社区网格，排查化解矛盾纠纷与风险隐患，努力将问题解决在萌芽状态。紧盯运行态势，坚持班子带头，健全“一案一闭环”工作流程，确保每件诉求一跟到底。全年累计受理</w:t>
      </w:r>
      <w:r>
        <w:rPr>
          <w:rFonts w:hint="eastAsia" w:ascii="Times New Roman" w:hAnsi="Times New Roman" w:eastAsia="仿宋_GB2312" w:cs="Times New Roman"/>
          <w:color w:val="auto"/>
          <w:kern w:val="2"/>
          <w:sz w:val="32"/>
          <w:szCs w:val="32"/>
          <w:highlight w:val="none"/>
          <w:lang w:val="en-US" w:eastAsia="zh-CN" w:bidi="ar-SA"/>
        </w:rPr>
        <w:t>12345</w:t>
      </w:r>
      <w:r>
        <w:rPr>
          <w:rFonts w:hint="eastAsia" w:ascii="仿宋_GB2312" w:hAnsi="仿宋_GB2312" w:eastAsia="仿宋_GB2312" w:cs="仿宋_GB2312"/>
          <w:color w:val="auto"/>
          <w:kern w:val="2"/>
          <w:sz w:val="32"/>
          <w:szCs w:val="32"/>
          <w:highlight w:val="none"/>
          <w:lang w:val="en-US" w:eastAsia="zh-CN" w:bidi="ar-SA"/>
        </w:rPr>
        <w:t>市民热线案件</w:t>
      </w:r>
      <w:r>
        <w:rPr>
          <w:rFonts w:hint="eastAsia" w:ascii="Times New Roman" w:hAnsi="Times New Roman" w:eastAsia="仿宋_GB2312" w:cs="Times New Roman"/>
          <w:color w:val="auto"/>
          <w:kern w:val="2"/>
          <w:sz w:val="32"/>
          <w:szCs w:val="32"/>
          <w:highlight w:val="none"/>
          <w:lang w:val="en-US" w:eastAsia="zh-CN" w:bidi="ar-SA"/>
        </w:rPr>
        <w:t>3231</w:t>
      </w:r>
      <w:r>
        <w:rPr>
          <w:rFonts w:hint="eastAsia" w:ascii="仿宋_GB2312" w:hAnsi="仿宋_GB2312" w:eastAsia="仿宋_GB2312" w:cs="仿宋_GB2312"/>
          <w:color w:val="auto"/>
          <w:kern w:val="2"/>
          <w:sz w:val="32"/>
          <w:szCs w:val="32"/>
          <w:highlight w:val="none"/>
          <w:lang w:val="en-US" w:eastAsia="zh-CN" w:bidi="ar-SA"/>
        </w:rPr>
        <w:t>件。</w:t>
      </w:r>
    </w:p>
    <w:bookmarkEnd w:id="1"/>
    <w:p w14:paraId="7F84A25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en-US" w:eastAsia="zh-CN" w:bidi="ar-SA"/>
        </w:rPr>
        <w:t>.推动资源力量落地，赋能基层治理效能。着力搭建服务平台，翻扩建二条社区办公用房，完成六条</w:t>
      </w:r>
      <w:r>
        <w:rPr>
          <w:rFonts w:hint="eastAsia" w:ascii="Times New Roman" w:hAnsi="Times New Roman" w:eastAsia="仿宋_GB2312" w:cs="Times New Roman"/>
          <w:color w:val="auto"/>
          <w:kern w:val="2"/>
          <w:sz w:val="32"/>
          <w:szCs w:val="32"/>
          <w:highlight w:val="none"/>
          <w:lang w:val="en-US" w:eastAsia="zh-CN" w:bidi="ar-SA"/>
        </w:rPr>
        <w:t>30</w:t>
      </w:r>
      <w:r>
        <w:rPr>
          <w:rFonts w:hint="eastAsia" w:ascii="仿宋_GB2312" w:hAnsi="仿宋_GB2312" w:eastAsia="仿宋_GB2312" w:cs="仿宋_GB2312"/>
          <w:color w:val="auto"/>
          <w:kern w:val="2"/>
          <w:sz w:val="32"/>
          <w:szCs w:val="32"/>
          <w:highlight w:val="none"/>
          <w:lang w:val="en-US" w:eastAsia="zh-CN" w:bidi="ar-SA"/>
        </w:rPr>
        <w:t>号等</w:t>
      </w:r>
      <w:r>
        <w:rPr>
          <w:rFonts w:hint="eastAsia" w:ascii="Times New Roman" w:hAnsi="Times New Roman" w:eastAsia="仿宋_GB2312" w:cs="Times New Roman"/>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en-US" w:eastAsia="zh-CN" w:bidi="ar-SA"/>
        </w:rPr>
        <w:t>处开放空间建设，提升服务承载能力。优化社区服务，推动“花友会”转型，组建“礼行先锋队”等志愿队伍，完成</w:t>
      </w:r>
      <w:r>
        <w:rPr>
          <w:rFonts w:hint="eastAsia" w:ascii="Times New Roman" w:hAnsi="Times New Roman" w:eastAsia="仿宋_GB2312" w:cs="Times New Roman"/>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en-US" w:eastAsia="zh-CN" w:bidi="ar-SA"/>
        </w:rPr>
        <w:t>个老旧小区物业引入工作，推进“巷光聚邻”公益基金运营，增强居民获得感；丰富社区活动，举办胡同摄影展等</w:t>
      </w:r>
      <w:r>
        <w:rPr>
          <w:rFonts w:hint="eastAsia" w:ascii="Times New Roman" w:hAnsi="Times New Roman" w:eastAsia="仿宋_GB2312" w:cs="Times New Roman"/>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项品牌活动、金秋健步行</w:t>
      </w:r>
      <w:r>
        <w:rPr>
          <w:rFonts w:hint="eastAsia" w:ascii="Times New Roman" w:hAnsi="Times New Roman" w:eastAsia="仿宋_GB2312" w:cs="Times New Roman"/>
          <w:color w:val="auto"/>
          <w:kern w:val="2"/>
          <w:sz w:val="32"/>
          <w:szCs w:val="32"/>
          <w:highlight w:val="none"/>
          <w:lang w:val="en-US" w:eastAsia="zh-CN" w:bidi="ar-SA"/>
        </w:rPr>
        <w:t>等4</w:t>
      </w:r>
      <w:r>
        <w:rPr>
          <w:rFonts w:hint="eastAsia" w:ascii="仿宋_GB2312" w:hAnsi="仿宋_GB2312" w:eastAsia="仿宋_GB2312" w:cs="仿宋_GB2312"/>
          <w:color w:val="auto"/>
          <w:kern w:val="2"/>
          <w:sz w:val="32"/>
          <w:szCs w:val="32"/>
          <w:highlight w:val="none"/>
          <w:lang w:val="en-US" w:eastAsia="zh-CN" w:bidi="ar-SA"/>
        </w:rPr>
        <w:t>项赛事，市民活动中心社会化运营累计服务超</w:t>
      </w:r>
      <w:r>
        <w:rPr>
          <w:rFonts w:hint="eastAsia" w:ascii="Times New Roman" w:hAnsi="Times New Roman" w:eastAsia="仿宋_GB2312" w:cs="Times New Roman"/>
          <w:color w:val="auto"/>
          <w:kern w:val="2"/>
          <w:sz w:val="32"/>
          <w:szCs w:val="32"/>
          <w:highlight w:val="none"/>
          <w:lang w:val="en-US" w:eastAsia="zh-CN" w:bidi="ar-SA"/>
        </w:rPr>
        <w:t>15</w:t>
      </w:r>
      <w:r>
        <w:rPr>
          <w:rFonts w:hint="eastAsia" w:ascii="仿宋_GB2312" w:hAnsi="仿宋_GB2312" w:eastAsia="仿宋_GB2312" w:cs="仿宋_GB2312"/>
          <w:color w:val="auto"/>
          <w:kern w:val="2"/>
          <w:sz w:val="32"/>
          <w:szCs w:val="32"/>
          <w:highlight w:val="none"/>
          <w:lang w:val="en-US" w:eastAsia="zh-CN" w:bidi="ar-SA"/>
        </w:rPr>
        <w:t>万人次，进一步营造近邻友好、活力宜居的社区环境。</w:t>
      </w:r>
    </w:p>
    <w:p w14:paraId="4392CC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Regular" w:hAnsi="Times New Roman Regular" w:eastAsia="楷体_GB2312" w:cs="Times New Roman Regular"/>
          <w:color w:val="auto"/>
          <w:sz w:val="32"/>
          <w:szCs w:val="32"/>
          <w:lang w:val="en-US" w:eastAsia="zh-CN"/>
        </w:rPr>
      </w:pPr>
      <w:r>
        <w:rPr>
          <w:rFonts w:hint="default" w:ascii="Times New Roman Regular" w:hAnsi="Times New Roman Regular" w:eastAsia="楷体_GB2312" w:cs="Times New Roman Regular"/>
          <w:color w:val="auto"/>
          <w:sz w:val="32"/>
          <w:szCs w:val="32"/>
          <w:lang w:eastAsia="zh-CN"/>
        </w:rPr>
        <w:t>（</w:t>
      </w:r>
      <w:r>
        <w:rPr>
          <w:rFonts w:hint="default" w:ascii="Times New Roman Regular" w:hAnsi="Times New Roman Regular" w:eastAsia="楷体_GB2312" w:cs="Times New Roman Regular"/>
          <w:color w:val="auto"/>
          <w:sz w:val="32"/>
          <w:szCs w:val="32"/>
          <w:lang w:val="en-US" w:eastAsia="zh-CN"/>
        </w:rPr>
        <w:t>二）</w:t>
      </w:r>
      <w:r>
        <w:rPr>
          <w:rFonts w:hint="default" w:ascii="Times New Roman Regular" w:hAnsi="Times New Roman Regular" w:eastAsia="楷体_GB2312" w:cs="Times New Roman Regular"/>
          <w:color w:val="auto"/>
          <w:sz w:val="32"/>
          <w:szCs w:val="32"/>
          <w:lang w:eastAsia="zh-CN"/>
        </w:rPr>
        <w:t>坚持科学民主依法决策，</w:t>
      </w:r>
      <w:r>
        <w:rPr>
          <w:rFonts w:hint="default" w:ascii="Times New Roman Regular" w:hAnsi="Times New Roman Regular" w:eastAsia="楷体_GB2312" w:cs="Times New Roman Regular"/>
          <w:color w:val="auto"/>
          <w:sz w:val="32"/>
          <w:szCs w:val="32"/>
          <w:lang w:val="en-US" w:eastAsia="zh-CN"/>
        </w:rPr>
        <w:t>健全政府行政决策机制</w:t>
      </w:r>
    </w:p>
    <w:p w14:paraId="7F03E67A">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.严格执行“三重一大”议事决策制度。全年累计召开工委会</w:t>
      </w:r>
      <w:r>
        <w:rPr>
          <w:rFonts w:hint="eastAsia" w:ascii="Times New Roman" w:hAnsi="Times New Roman" w:eastAsia="仿宋_GB2312" w:cs="Times New Roman"/>
          <w:color w:val="auto"/>
          <w:kern w:val="2"/>
          <w:sz w:val="32"/>
          <w:szCs w:val="32"/>
          <w:highlight w:val="none"/>
          <w:lang w:val="en-US" w:eastAsia="zh-CN" w:bidi="ar-SA"/>
        </w:rPr>
        <w:t>43</w:t>
      </w:r>
      <w:r>
        <w:rPr>
          <w:rFonts w:hint="eastAsia" w:ascii="仿宋_GB2312" w:hAnsi="仿宋_GB2312" w:eastAsia="仿宋_GB2312" w:cs="仿宋_GB2312"/>
          <w:color w:val="auto"/>
          <w:kern w:val="2"/>
          <w:sz w:val="32"/>
          <w:szCs w:val="32"/>
          <w:highlight w:val="none"/>
          <w:lang w:val="en-US" w:eastAsia="zh-CN" w:bidi="ar-SA"/>
        </w:rPr>
        <w:t>次、主任办公会</w:t>
      </w:r>
      <w:r>
        <w:rPr>
          <w:rFonts w:hint="eastAsia" w:ascii="Times New Roman" w:hAnsi="Times New Roman" w:eastAsia="仿宋_GB2312" w:cs="Times New Roman"/>
          <w:color w:val="auto"/>
          <w:kern w:val="2"/>
          <w:sz w:val="32"/>
          <w:szCs w:val="32"/>
          <w:highlight w:val="none"/>
          <w:lang w:val="en-US" w:eastAsia="zh-CN" w:bidi="ar-SA"/>
        </w:rPr>
        <w:t>29</w:t>
      </w:r>
      <w:r>
        <w:rPr>
          <w:rFonts w:hint="eastAsia" w:ascii="仿宋_GB2312" w:hAnsi="仿宋_GB2312" w:eastAsia="仿宋_GB2312" w:cs="仿宋_GB2312"/>
          <w:color w:val="auto"/>
          <w:kern w:val="2"/>
          <w:sz w:val="32"/>
          <w:szCs w:val="32"/>
          <w:highlight w:val="none"/>
          <w:lang w:val="en-US" w:eastAsia="zh-CN" w:bidi="ar-SA"/>
        </w:rPr>
        <w:t>次，确保重大事项集体讨论、民主决策。深化重大行政执法决定法制审核机制，全年依法审理并作出重大执法决定</w:t>
      </w:r>
      <w:r>
        <w:rPr>
          <w:rFonts w:hint="eastAsia" w:ascii="Times New Roman" w:hAnsi="Times New Roman" w:eastAsia="仿宋_GB2312" w:cs="Times New Roman"/>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件。在城市更新、违建治理等重点领域决策及重大执法活动开展前，严格落实公众参与、专家论证、风险评估、法制审查和集体决策程序，努力做到民主决策、科学决策和依法决策。</w:t>
      </w:r>
    </w:p>
    <w:p w14:paraId="7B4BD49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2</w:t>
      </w:r>
      <w:r>
        <w:rPr>
          <w:rFonts w:hint="eastAsia" w:ascii="仿宋_GB2312" w:hAnsi="仿宋_GB2312" w:eastAsia="仿宋_GB2312" w:cs="仿宋_GB2312"/>
          <w:color w:val="auto"/>
          <w:sz w:val="32"/>
          <w:szCs w:val="32"/>
          <w:highlight w:val="none"/>
          <w:lang w:val="en-US" w:eastAsia="zh-CN"/>
        </w:rPr>
        <w:t>.健全法律顾问与决策咨询机制。街道聘任紫光达律师事务所作为街道法律顾问，确保所有涉法事务全程获得专业支持。全年累计审核各类合同等法律文书</w:t>
      </w:r>
      <w:r>
        <w:rPr>
          <w:rFonts w:hint="eastAsia" w:ascii="Times New Roman" w:hAnsi="Times New Roman" w:eastAsia="仿宋_GB2312" w:cs="Times New Roman"/>
          <w:color w:val="auto"/>
          <w:kern w:val="2"/>
          <w:sz w:val="32"/>
          <w:szCs w:val="32"/>
          <w:highlight w:val="none"/>
          <w:lang w:val="en-US" w:eastAsia="zh-CN" w:bidi="ar-SA"/>
        </w:rPr>
        <w:t>124</w:t>
      </w:r>
      <w:r>
        <w:rPr>
          <w:rFonts w:hint="eastAsia" w:ascii="仿宋_GB2312" w:hAnsi="仿宋_GB2312" w:eastAsia="仿宋_GB2312" w:cs="仿宋_GB2312"/>
          <w:color w:val="auto"/>
          <w:sz w:val="32"/>
          <w:szCs w:val="32"/>
          <w:highlight w:val="none"/>
          <w:lang w:val="en-US" w:eastAsia="zh-CN"/>
        </w:rPr>
        <w:t>份，协助社区起草、修订居民公约和管理规定</w:t>
      </w:r>
      <w:r>
        <w:rPr>
          <w:rFonts w:hint="eastAsia" w:ascii="Times New Roman" w:hAnsi="Times New Roman" w:eastAsia="仿宋_GB2312" w:cs="Times New Roman"/>
          <w:color w:val="auto"/>
          <w:kern w:val="2"/>
          <w:sz w:val="32"/>
          <w:szCs w:val="32"/>
          <w:highlight w:val="none"/>
          <w:lang w:val="en-US" w:eastAsia="zh-CN" w:bidi="ar-SA"/>
        </w:rPr>
        <w:t>19</w:t>
      </w:r>
      <w:r>
        <w:rPr>
          <w:rFonts w:hint="eastAsia" w:ascii="仿宋_GB2312" w:hAnsi="仿宋_GB2312" w:eastAsia="仿宋_GB2312" w:cs="仿宋_GB2312"/>
          <w:color w:val="auto"/>
          <w:sz w:val="32"/>
          <w:szCs w:val="32"/>
          <w:highlight w:val="none"/>
          <w:lang w:val="en-US" w:eastAsia="zh-CN"/>
        </w:rPr>
        <w:t>件，提供法律服务总时长约</w:t>
      </w:r>
      <w:r>
        <w:rPr>
          <w:rFonts w:hint="eastAsia" w:ascii="Times New Roman" w:hAnsi="Times New Roman" w:eastAsia="仿宋_GB2312" w:cs="Times New Roman"/>
          <w:color w:val="auto"/>
          <w:kern w:val="2"/>
          <w:sz w:val="32"/>
          <w:szCs w:val="32"/>
          <w:highlight w:val="none"/>
          <w:lang w:val="en-US" w:eastAsia="zh-CN" w:bidi="ar-SA"/>
        </w:rPr>
        <w:t>657</w:t>
      </w:r>
      <w:r>
        <w:rPr>
          <w:rFonts w:hint="eastAsia" w:ascii="仿宋_GB2312" w:hAnsi="仿宋_GB2312" w:eastAsia="仿宋_GB2312" w:cs="仿宋_GB2312"/>
          <w:color w:val="auto"/>
          <w:sz w:val="32"/>
          <w:szCs w:val="32"/>
          <w:highlight w:val="none"/>
          <w:lang w:val="en-US" w:eastAsia="zh-CN"/>
        </w:rPr>
        <w:t>小时，有效提升了街道依法决策和管理服务能力。</w:t>
      </w:r>
    </w:p>
    <w:p w14:paraId="7C8266E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eastAsia" w:ascii="Times New Roman Regular" w:hAnsi="Times New Roman Regular" w:eastAsia="楷体_GB2312" w:cs="Times New Roman Regular"/>
          <w:color w:val="auto"/>
          <w:sz w:val="32"/>
          <w:szCs w:val="32"/>
          <w:lang w:val="en-US" w:eastAsia="zh-CN"/>
        </w:rPr>
      </w:pPr>
      <w:r>
        <w:rPr>
          <w:rFonts w:hint="eastAsia" w:ascii="Times New Roman Regular" w:hAnsi="Times New Roman Regular" w:eastAsia="楷体_GB2312" w:cs="Times New Roman Regular"/>
          <w:color w:val="auto"/>
          <w:sz w:val="32"/>
          <w:szCs w:val="32"/>
          <w:lang w:val="en-US" w:eastAsia="zh-CN"/>
        </w:rPr>
        <w:t>（三）加大行政执法监督力度，完善执法监督体系</w:t>
      </w:r>
    </w:p>
    <w:p w14:paraId="0727FBB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yellow"/>
          <w:lang w:val="en-US" w:eastAsia="zh-CN"/>
        </w:rPr>
      </w:pPr>
      <w:r>
        <w:rPr>
          <w:rFonts w:hint="eastAsia" w:ascii="Times New Roman" w:hAnsi="Times New Roman" w:eastAsia="仿宋_GB2312" w:cs="Times New Roman"/>
          <w:color w:val="auto"/>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lang w:val="en-US" w:eastAsia="zh-CN"/>
        </w:rPr>
        <w:t>.巩固执法改革与程序建设。严格落实行政执法法定职责，做好行政执法质量三年行动计划验收评估，推进执法体制改革，依据履职清单规范开展工作，深入开展城管执法领域专项整治工作。持续加强执法规范化建设，全面执行行政执法公示、执法全过程记录、重大执法决定法制审核“三项制度”，推动执法公平公正。全年行政复议、诉讼案件共</w:t>
      </w:r>
      <w:r>
        <w:rPr>
          <w:rFonts w:hint="eastAsia" w:ascii="Times New Roman" w:hAnsi="Times New Roman" w:eastAsia="仿宋_GB2312" w:cs="Times New Roman"/>
          <w:color w:val="auto"/>
          <w:kern w:val="2"/>
          <w:sz w:val="32"/>
          <w:szCs w:val="32"/>
          <w:highlight w:val="none"/>
          <w:lang w:val="en-US" w:eastAsia="zh-CN" w:bidi="ar-SA"/>
        </w:rPr>
        <w:t>11</w:t>
      </w:r>
      <w:r>
        <w:rPr>
          <w:rFonts w:hint="eastAsia" w:ascii="仿宋_GB2312" w:hAnsi="仿宋_GB2312" w:eastAsia="仿宋_GB2312" w:cs="仿宋_GB2312"/>
          <w:color w:val="auto"/>
          <w:sz w:val="32"/>
          <w:szCs w:val="32"/>
          <w:highlight w:val="none"/>
          <w:lang w:val="en-US" w:eastAsia="zh-CN"/>
        </w:rPr>
        <w:t>起，办理行政处罚普通程序案件</w:t>
      </w:r>
      <w:r>
        <w:rPr>
          <w:rFonts w:hint="eastAsia" w:ascii="Times New Roman" w:hAnsi="Times New Roman" w:eastAsia="仿宋_GB2312" w:cs="Times New Roman"/>
          <w:color w:val="auto"/>
          <w:kern w:val="2"/>
          <w:sz w:val="32"/>
          <w:szCs w:val="32"/>
          <w:highlight w:val="none"/>
          <w:lang w:val="en-US" w:eastAsia="zh-CN" w:bidi="ar-SA"/>
        </w:rPr>
        <w:t>66</w:t>
      </w:r>
      <w:r>
        <w:rPr>
          <w:rFonts w:hint="eastAsia" w:ascii="仿宋_GB2312" w:hAnsi="仿宋_GB2312" w:eastAsia="仿宋_GB2312" w:cs="仿宋_GB2312"/>
          <w:color w:val="auto"/>
          <w:sz w:val="32"/>
          <w:szCs w:val="32"/>
          <w:highlight w:val="none"/>
          <w:lang w:val="en-US" w:eastAsia="zh-CN"/>
        </w:rPr>
        <w:t>件，罚款</w:t>
      </w:r>
      <w:r>
        <w:rPr>
          <w:rFonts w:hint="eastAsia" w:ascii="Times New Roman" w:hAnsi="Times New Roman" w:eastAsia="仿宋_GB2312" w:cs="Times New Roman"/>
          <w:color w:val="auto"/>
          <w:kern w:val="2"/>
          <w:sz w:val="32"/>
          <w:szCs w:val="32"/>
          <w:highlight w:val="none"/>
          <w:lang w:val="en-US" w:eastAsia="zh-CN" w:bidi="ar-SA"/>
        </w:rPr>
        <w:t>23</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bidi="ar-SA"/>
        </w:rPr>
        <w:t>9</w:t>
      </w:r>
      <w:r>
        <w:rPr>
          <w:rFonts w:hint="eastAsia" w:ascii="仿宋_GB2312" w:hAnsi="仿宋_GB2312" w:eastAsia="仿宋_GB2312" w:cs="仿宋_GB2312"/>
          <w:color w:val="auto"/>
          <w:sz w:val="32"/>
          <w:szCs w:val="32"/>
          <w:highlight w:val="none"/>
          <w:lang w:val="en-US" w:eastAsia="zh-CN"/>
        </w:rPr>
        <w:t>万余元；简易程序案件</w:t>
      </w:r>
      <w:r>
        <w:rPr>
          <w:rFonts w:hint="eastAsia" w:ascii="Times New Roman" w:hAnsi="Times New Roman" w:eastAsia="仿宋_GB2312" w:cs="Times New Roman"/>
          <w:color w:val="auto"/>
          <w:kern w:val="2"/>
          <w:sz w:val="32"/>
          <w:szCs w:val="32"/>
          <w:highlight w:val="none"/>
          <w:lang w:val="en-US" w:eastAsia="zh-CN" w:bidi="ar-SA"/>
        </w:rPr>
        <w:t>227</w:t>
      </w:r>
      <w:r>
        <w:rPr>
          <w:rFonts w:hint="eastAsia" w:ascii="仿宋_GB2312" w:hAnsi="仿宋_GB2312" w:eastAsia="仿宋_GB2312" w:cs="仿宋_GB2312"/>
          <w:color w:val="auto"/>
          <w:sz w:val="32"/>
          <w:szCs w:val="32"/>
          <w:highlight w:val="none"/>
          <w:lang w:val="en-US" w:eastAsia="zh-CN"/>
        </w:rPr>
        <w:t>件，警告</w:t>
      </w:r>
      <w:r>
        <w:rPr>
          <w:rFonts w:hint="eastAsia" w:ascii="Times New Roman" w:hAnsi="Times New Roman" w:eastAsia="仿宋_GB2312" w:cs="Times New Roman"/>
          <w:color w:val="auto"/>
          <w:kern w:val="2"/>
          <w:sz w:val="32"/>
          <w:szCs w:val="32"/>
          <w:highlight w:val="none"/>
          <w:lang w:val="en-US" w:eastAsia="zh-CN" w:bidi="ar-SA"/>
        </w:rPr>
        <w:t>191</w:t>
      </w:r>
      <w:r>
        <w:rPr>
          <w:rFonts w:hint="eastAsia" w:ascii="仿宋_GB2312" w:hAnsi="仿宋_GB2312" w:eastAsia="仿宋_GB2312" w:cs="仿宋_GB2312"/>
          <w:color w:val="auto"/>
          <w:sz w:val="32"/>
          <w:szCs w:val="32"/>
          <w:highlight w:val="none"/>
          <w:lang w:val="en-US" w:eastAsia="zh-CN"/>
        </w:rPr>
        <w:t>起，处罚</w:t>
      </w:r>
      <w:r>
        <w:rPr>
          <w:rFonts w:hint="eastAsia" w:ascii="Times New Roman" w:hAnsi="Times New Roman" w:eastAsia="仿宋_GB2312" w:cs="Times New Roman"/>
          <w:color w:val="auto"/>
          <w:kern w:val="2"/>
          <w:sz w:val="32"/>
          <w:szCs w:val="32"/>
          <w:highlight w:val="none"/>
          <w:lang w:val="en-US" w:eastAsia="zh-CN" w:bidi="ar-SA"/>
        </w:rPr>
        <w:t>36</w:t>
      </w:r>
      <w:r>
        <w:rPr>
          <w:rFonts w:hint="eastAsia" w:ascii="仿宋_GB2312" w:hAnsi="仿宋_GB2312" w:eastAsia="仿宋_GB2312" w:cs="仿宋_GB2312"/>
          <w:color w:val="auto"/>
          <w:sz w:val="32"/>
          <w:szCs w:val="32"/>
          <w:highlight w:val="none"/>
          <w:lang w:val="en-US" w:eastAsia="zh-CN"/>
        </w:rPr>
        <w:t>起、罚款</w:t>
      </w:r>
      <w:r>
        <w:rPr>
          <w:rFonts w:hint="eastAsia" w:ascii="Times New Roman" w:hAnsi="Times New Roman" w:eastAsia="仿宋_GB2312" w:cs="Times New Roman"/>
          <w:color w:val="auto"/>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bidi="ar-SA"/>
        </w:rPr>
        <w:t>37</w:t>
      </w:r>
      <w:r>
        <w:rPr>
          <w:rFonts w:hint="eastAsia" w:ascii="仿宋_GB2312" w:hAnsi="仿宋_GB2312" w:eastAsia="仿宋_GB2312" w:cs="仿宋_GB2312"/>
          <w:color w:val="auto"/>
          <w:sz w:val="32"/>
          <w:szCs w:val="32"/>
          <w:highlight w:val="none"/>
          <w:lang w:val="en-US" w:eastAsia="zh-CN"/>
        </w:rPr>
        <w:t>余万元。</w:t>
      </w:r>
    </w:p>
    <w:p w14:paraId="49D808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yellow"/>
          <w:lang w:val="en-US" w:eastAsia="zh-CN"/>
        </w:rPr>
      </w:pPr>
      <w:r>
        <w:rPr>
          <w:rFonts w:hint="eastAsia" w:ascii="Times New Roman" w:hAnsi="Times New Roman" w:eastAsia="仿宋_GB2312" w:cs="Times New Roman"/>
          <w:color w:val="auto"/>
          <w:kern w:val="2"/>
          <w:sz w:val="32"/>
          <w:szCs w:val="32"/>
          <w:highlight w:val="none"/>
          <w:lang w:val="en-US" w:eastAsia="zh-CN" w:bidi="ar-SA"/>
        </w:rPr>
        <w:t>2</w:t>
      </w:r>
      <w:r>
        <w:rPr>
          <w:rFonts w:hint="eastAsia" w:ascii="仿宋_GB2312" w:hAnsi="仿宋_GB2312" w:eastAsia="仿宋_GB2312" w:cs="仿宋_GB2312"/>
          <w:color w:val="auto"/>
          <w:sz w:val="32"/>
          <w:szCs w:val="32"/>
          <w:highlight w:val="none"/>
          <w:lang w:val="en-US" w:eastAsia="zh-CN"/>
        </w:rPr>
        <w:t>.强化执法质量评估与闭环监督。全面落实“双随机、一公开”监管机制，结合常态化执法案卷评查，全年评查案卷</w:t>
      </w:r>
      <w:r>
        <w:rPr>
          <w:rFonts w:hint="eastAsia" w:ascii="Times New Roman" w:hAnsi="Times New Roman" w:eastAsia="仿宋_GB2312" w:cs="Times New Roman"/>
          <w:color w:val="auto"/>
          <w:kern w:val="2"/>
          <w:sz w:val="32"/>
          <w:szCs w:val="32"/>
          <w:highlight w:val="none"/>
          <w:lang w:val="en-US" w:eastAsia="zh-CN" w:bidi="ar-SA"/>
        </w:rPr>
        <w:t>20</w:t>
      </w:r>
      <w:r>
        <w:rPr>
          <w:rFonts w:hint="eastAsia" w:ascii="仿宋_GB2312" w:hAnsi="仿宋_GB2312" w:eastAsia="仿宋_GB2312" w:cs="仿宋_GB2312"/>
          <w:color w:val="auto"/>
          <w:sz w:val="32"/>
          <w:szCs w:val="32"/>
          <w:highlight w:val="none"/>
          <w:lang w:val="en-US" w:eastAsia="zh-CN"/>
        </w:rPr>
        <w:t>件，对发现的问题建立台账、动态跟踪、督办整改，形成“查评改”闭环管理，切实提升执法质量和执法公信力。通过强化内外监督、规范执法行为，不断提升群众对行政执法的满意度，为营造稳定、公平、透明的区域法治环境提供坚实基础。</w:t>
      </w:r>
    </w:p>
    <w:p w14:paraId="10FF9E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Regular" w:hAnsi="Times New Roman Regular" w:eastAsia="楷体_GB2312" w:cs="Times New Roman Regular"/>
          <w:color w:val="auto"/>
          <w:sz w:val="32"/>
          <w:szCs w:val="32"/>
          <w:lang w:val="en-US" w:eastAsia="zh-CN"/>
        </w:rPr>
      </w:pPr>
      <w:r>
        <w:rPr>
          <w:rFonts w:hint="default" w:ascii="Times New Roman Regular" w:hAnsi="Times New Roman Regular" w:eastAsia="楷体_GB2312" w:cs="Times New Roman Regular"/>
          <w:color w:val="auto"/>
          <w:sz w:val="32"/>
          <w:szCs w:val="32"/>
          <w:lang w:val="en-US" w:eastAsia="zh-CN"/>
        </w:rPr>
        <w:t>（四）强化行政权力内外监督，构建规范透明运行机制</w:t>
      </w:r>
    </w:p>
    <w:p w14:paraId="7474A81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lang w:val="en-US" w:eastAsia="zh-CN"/>
        </w:rPr>
        <w:t>.自觉接受人大、政协监督，积极筹办人大代表议案建议</w:t>
      </w:r>
      <w:r>
        <w:rPr>
          <w:rFonts w:hint="default" w:ascii="Times New Roman" w:hAnsi="Times New Roman" w:eastAsia="仿宋_GB2312" w:cs="Times New Roman"/>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条，主动汇报工作进展，认真研究落实反馈意见。在财政监督方面，严格执行预算决算管理制度，年度决算数据准确率达</w:t>
      </w:r>
      <w:r>
        <w:rPr>
          <w:rFonts w:hint="eastAsia" w:ascii="Times New Roman" w:hAnsi="Times New Roman" w:eastAsia="仿宋_GB2312" w:cs="Times New Roman"/>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val="en-US" w:eastAsia="zh-CN"/>
        </w:rPr>
        <w:t>%，强化日常支出审核与动态监控，确保资金使用全程合规、流向清晰、执行及时。健全跨部门协同监督机制，完善“事项对接-进度跟踪-结果反馈”闭环管理流程，全年累计报送区级决策督查任务</w:t>
      </w:r>
      <w:r>
        <w:rPr>
          <w:rFonts w:hint="eastAsia" w:ascii="Times New Roman" w:hAnsi="Times New Roman" w:eastAsia="仿宋_GB2312" w:cs="Times New Roman"/>
          <w:color w:val="auto"/>
          <w:sz w:val="32"/>
          <w:szCs w:val="32"/>
          <w:highlight w:val="none"/>
          <w:lang w:val="en-US" w:eastAsia="zh-CN"/>
        </w:rPr>
        <w:t>18</w:t>
      </w:r>
      <w:r>
        <w:rPr>
          <w:rFonts w:hint="eastAsia" w:ascii="仿宋_GB2312" w:hAnsi="仿宋_GB2312" w:eastAsia="仿宋_GB2312" w:cs="仿宋_GB2312"/>
          <w:color w:val="auto"/>
          <w:sz w:val="32"/>
          <w:szCs w:val="32"/>
          <w:highlight w:val="none"/>
          <w:lang w:val="en-US" w:eastAsia="zh-CN"/>
        </w:rPr>
        <w:t>项共</w:t>
      </w:r>
      <w:r>
        <w:rPr>
          <w:rFonts w:hint="eastAsia" w:ascii="Times New Roman" w:hAnsi="Times New Roman" w:eastAsia="仿宋_GB2312" w:cs="Times New Roman"/>
          <w:color w:val="auto"/>
          <w:sz w:val="32"/>
          <w:szCs w:val="32"/>
          <w:highlight w:val="none"/>
          <w:lang w:val="en-US" w:eastAsia="zh-CN"/>
        </w:rPr>
        <w:t>90</w:t>
      </w:r>
      <w:r>
        <w:rPr>
          <w:rFonts w:hint="eastAsia" w:ascii="仿宋_GB2312" w:hAnsi="仿宋_GB2312" w:eastAsia="仿宋_GB2312" w:cs="仿宋_GB2312"/>
          <w:color w:val="auto"/>
          <w:sz w:val="32"/>
          <w:szCs w:val="32"/>
          <w:highlight w:val="none"/>
          <w:lang w:val="en-US" w:eastAsia="zh-CN"/>
        </w:rPr>
        <w:t>次、专项督查事项</w:t>
      </w:r>
      <w:r>
        <w:rPr>
          <w:rFonts w:hint="eastAsia" w:ascii="Times New Roman" w:hAnsi="Times New Roman" w:eastAsia="仿宋_GB2312" w:cs="Times New Roman"/>
          <w:color w:val="auto"/>
          <w:sz w:val="32"/>
          <w:szCs w:val="32"/>
          <w:highlight w:val="none"/>
          <w:lang w:val="en-US" w:eastAsia="zh-CN"/>
        </w:rPr>
        <w:t>9件共24</w:t>
      </w:r>
      <w:r>
        <w:rPr>
          <w:rFonts w:hint="eastAsia" w:ascii="仿宋_GB2312" w:hAnsi="仿宋_GB2312" w:eastAsia="仿宋_GB2312" w:cs="仿宋_GB2312"/>
          <w:color w:val="auto"/>
          <w:sz w:val="32"/>
          <w:szCs w:val="32"/>
          <w:highlight w:val="none"/>
          <w:lang w:val="en-US" w:eastAsia="zh-CN"/>
        </w:rPr>
        <w:t>次，推动工作落地见效。</w:t>
      </w:r>
    </w:p>
    <w:p w14:paraId="0A94F7D0">
      <w:pPr>
        <w:pStyle w:val="2"/>
        <w:keepNext w:val="0"/>
        <w:keepLines w:val="0"/>
        <w:pageBreakBefore w:val="0"/>
        <w:widowControl w:val="0"/>
        <w:kinsoku/>
        <w:wordWrap/>
        <w:overflowPunct/>
        <w:topLinePunct w:val="0"/>
        <w:autoSpaceDE/>
        <w:autoSpaceDN/>
        <w:bidi w:val="0"/>
        <w:adjustRightInd/>
        <w:snapToGrid w:val="0"/>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en-US" w:eastAsia="zh-CN" w:bidi="ar-SA"/>
        </w:rPr>
        <w:t>.持续推进依法管理，加强财务、合同、工程等重点领域制度化管理力度，依托法律顾问严格开展法制审查，全年审核合同及其他法律文件</w:t>
      </w:r>
      <w:r>
        <w:rPr>
          <w:rFonts w:hint="eastAsia" w:ascii="Times New Roman" w:hAnsi="Times New Roman" w:eastAsia="仿宋_GB2312" w:cs="Times New Roman"/>
          <w:color w:val="auto"/>
          <w:kern w:val="2"/>
          <w:sz w:val="32"/>
          <w:szCs w:val="32"/>
          <w:highlight w:val="none"/>
          <w:lang w:val="en-US" w:eastAsia="zh-CN" w:bidi="ar-SA"/>
        </w:rPr>
        <w:t>156</w:t>
      </w:r>
      <w:r>
        <w:rPr>
          <w:rFonts w:hint="eastAsia" w:ascii="仿宋_GB2312" w:hAnsi="仿宋_GB2312" w:eastAsia="仿宋_GB2312" w:cs="仿宋_GB2312"/>
          <w:color w:val="auto"/>
          <w:kern w:val="2"/>
          <w:sz w:val="32"/>
          <w:szCs w:val="32"/>
          <w:highlight w:val="none"/>
          <w:lang w:val="en-US" w:eastAsia="zh-CN" w:bidi="ar-SA"/>
        </w:rPr>
        <w:t>份，有效防范法律风险。深化政府信息公开，全年主动公开政务信息</w:t>
      </w:r>
      <w:r>
        <w:rPr>
          <w:rFonts w:hint="eastAsia" w:ascii="Times New Roman" w:hAnsi="Times New Roman" w:eastAsia="仿宋_GB2312" w:cs="Times New Roman"/>
          <w:color w:val="auto"/>
          <w:kern w:val="2"/>
          <w:sz w:val="32"/>
          <w:szCs w:val="32"/>
          <w:highlight w:val="none"/>
          <w:lang w:val="en-US" w:eastAsia="zh-CN" w:bidi="ar-SA"/>
        </w:rPr>
        <w:t>330余</w:t>
      </w:r>
      <w:r>
        <w:rPr>
          <w:rFonts w:hint="eastAsia" w:ascii="仿宋_GB2312" w:hAnsi="仿宋_GB2312" w:eastAsia="仿宋_GB2312" w:cs="仿宋_GB2312"/>
          <w:color w:val="auto"/>
          <w:kern w:val="2"/>
          <w:sz w:val="32"/>
          <w:szCs w:val="32"/>
          <w:highlight w:val="none"/>
          <w:lang w:val="en-US" w:eastAsia="zh-CN" w:bidi="ar-SA"/>
        </w:rPr>
        <w:t>条，优化信息发布、流转、归档机制，保障公众知情权与监督权，提升政府运行透明度和公信力。</w:t>
      </w:r>
    </w:p>
    <w:p w14:paraId="465136F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Regular" w:hAnsi="Times New Roman Regular" w:eastAsia="楷体_GB2312" w:cs="Times New Roman Regular"/>
          <w:color w:val="auto"/>
          <w:sz w:val="32"/>
          <w:szCs w:val="32"/>
          <w:lang w:val="en-US" w:eastAsia="zh-CN"/>
        </w:rPr>
      </w:pPr>
      <w:r>
        <w:rPr>
          <w:rFonts w:hint="default" w:ascii="Times New Roman Regular" w:hAnsi="Times New Roman Regular" w:eastAsia="楷体_GB2312" w:cs="Times New Roman Regular"/>
          <w:color w:val="auto"/>
          <w:sz w:val="32"/>
          <w:szCs w:val="32"/>
          <w:lang w:val="en-US" w:eastAsia="zh-CN"/>
        </w:rPr>
        <w:t>（五）健全矛盾纠纷行政预防化解体系，夯实基层社会治理根基</w:t>
      </w:r>
    </w:p>
    <w:p w14:paraId="359D1A8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lang w:val="en-US" w:eastAsia="zh-CN"/>
        </w:rPr>
        <w:t>.综治中心提档升级，筑牢“枫桥”前沿阵地。按照中央、市、区有关指示精神，重塑空间格局，整合功能设置，成功镶嵌区法学会基层服务站点，有效汇聚专业法治资源，实现从传统办公场所向现代化治理枢纽的转变。在矛盾化解上，构筑定分止争渠道，全年接待居民法律咨询</w:t>
      </w:r>
      <w:r>
        <w:rPr>
          <w:rFonts w:hint="eastAsia" w:ascii="Times New Roman" w:hAnsi="Times New Roman" w:eastAsia="仿宋_GB2312" w:cs="Times New Roman"/>
          <w:color w:val="auto"/>
          <w:kern w:val="2"/>
          <w:sz w:val="32"/>
          <w:szCs w:val="32"/>
          <w:highlight w:val="none"/>
          <w:lang w:val="en-US" w:eastAsia="zh-CN" w:bidi="ar-SA"/>
        </w:rPr>
        <w:t>818</w:t>
      </w:r>
      <w:r>
        <w:rPr>
          <w:rFonts w:hint="eastAsia" w:ascii="仿宋_GB2312" w:hAnsi="仿宋_GB2312" w:eastAsia="仿宋_GB2312" w:cs="仿宋_GB2312"/>
          <w:color w:val="auto"/>
          <w:sz w:val="32"/>
          <w:szCs w:val="32"/>
          <w:highlight w:val="none"/>
          <w:lang w:val="en-US" w:eastAsia="zh-CN"/>
        </w:rPr>
        <w:t>人次，成功调解矛盾纠纷</w:t>
      </w:r>
      <w:r>
        <w:rPr>
          <w:rFonts w:hint="default" w:ascii="Times New Roman" w:hAnsi="Times New Roman" w:eastAsia="仿宋_GB2312" w:cs="Times New Roman"/>
          <w:color w:val="auto"/>
          <w:sz w:val="32"/>
          <w:szCs w:val="32"/>
          <w:highlight w:val="none"/>
          <w:lang w:val="en-US" w:eastAsia="zh-CN"/>
        </w:rPr>
        <w:t>147</w:t>
      </w:r>
      <w:r>
        <w:rPr>
          <w:rFonts w:hint="eastAsia" w:ascii="仿宋_GB2312" w:hAnsi="仿宋_GB2312" w:eastAsia="仿宋_GB2312" w:cs="仿宋_GB2312"/>
          <w:color w:val="auto"/>
          <w:sz w:val="32"/>
          <w:szCs w:val="32"/>
          <w:highlight w:val="none"/>
          <w:lang w:val="en-US" w:eastAsia="zh-CN"/>
        </w:rPr>
        <w:t>件，与法院建立常态化诉调对接机制，全年接收诉前调解案件</w:t>
      </w:r>
      <w:r>
        <w:rPr>
          <w:rFonts w:hint="eastAsia" w:ascii="Times New Roman" w:hAnsi="Times New Roman" w:eastAsia="仿宋_GB2312" w:cs="Times New Roman"/>
          <w:color w:val="auto"/>
          <w:sz w:val="32"/>
          <w:szCs w:val="32"/>
          <w:highlight w:val="none"/>
          <w:lang w:val="en-US" w:eastAsia="zh-CN"/>
        </w:rPr>
        <w:t>59</w:t>
      </w:r>
      <w:r>
        <w:rPr>
          <w:rFonts w:hint="eastAsia" w:ascii="仿宋_GB2312" w:hAnsi="仿宋_GB2312" w:eastAsia="仿宋_GB2312" w:cs="仿宋_GB2312"/>
          <w:color w:val="auto"/>
          <w:sz w:val="32"/>
          <w:szCs w:val="32"/>
          <w:highlight w:val="none"/>
          <w:lang w:val="en-US" w:eastAsia="zh-CN"/>
        </w:rPr>
        <w:t>件，调解成功率</w:t>
      </w:r>
      <w:r>
        <w:rPr>
          <w:rFonts w:hint="eastAsia" w:ascii="Times New Roman" w:hAnsi="Times New Roman" w:eastAsia="仿宋_GB2312" w:cs="Times New Roman"/>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val="en-US" w:eastAsia="zh-CN"/>
        </w:rPr>
        <w:t>%。</w:t>
      </w:r>
    </w:p>
    <w:bookmarkEnd w:id="0"/>
    <w:p w14:paraId="58EA7DC3">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强化法学会资源对接，推动习近平法治思想基层实践。紧抓区法学会基层服务站点落地街道的试点契机，主动对接融入，将优质法学专家、法律服务资源系统嵌入综治中心运行体系，打造基层法治建设的“专业智库”。通过专题研讨、案例指导等形式，实践习近平法治思想在矛盾调解、民生服务、街区治理等领域的应用，提升运用法治思维和法治方式解决问题的能力。</w:t>
      </w:r>
    </w:p>
    <w:p w14:paraId="5D633261">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优化公共法律服务供给，提升基层法治保障水平。全面落实《东城区司法局关于深入推进公共法律服务均衡发展的若干措施》，持续拓展法律服务覆盖面。建立健全法律咨询、法律援助、法治宣传等多元服务机制，推动法律服务资源进一步向社区延伸、向群众贴近。公共法律服务更加便捷精准。全年组织开展法律援助初审</w:t>
      </w:r>
      <w:r>
        <w:rPr>
          <w:rFonts w:hint="eastAsia" w:ascii="Times New Roman" w:hAnsi="Times New Roman" w:eastAsia="仿宋_GB2312" w:cs="Times New Roman"/>
          <w:color w:val="auto"/>
          <w:sz w:val="32"/>
          <w:szCs w:val="32"/>
          <w:highlight w:val="none"/>
          <w:lang w:val="en-US" w:eastAsia="zh-CN"/>
        </w:rPr>
        <w:t>21</w:t>
      </w:r>
      <w:r>
        <w:rPr>
          <w:rFonts w:hint="eastAsia" w:ascii="仿宋_GB2312" w:hAnsi="仿宋_GB2312" w:eastAsia="仿宋_GB2312" w:cs="仿宋_GB2312"/>
          <w:color w:val="auto"/>
          <w:sz w:val="32"/>
          <w:szCs w:val="32"/>
          <w:highlight w:val="none"/>
          <w:lang w:val="en-US" w:eastAsia="zh-CN"/>
        </w:rPr>
        <w:t>件，接待法律咨询</w:t>
      </w:r>
      <w:r>
        <w:rPr>
          <w:rFonts w:hint="eastAsia" w:ascii="Times New Roman" w:hAnsi="Times New Roman" w:eastAsia="仿宋_GB2312" w:cs="Times New Roman"/>
          <w:color w:val="auto"/>
          <w:sz w:val="32"/>
          <w:szCs w:val="32"/>
          <w:highlight w:val="none"/>
          <w:lang w:val="en-US" w:eastAsia="zh-CN"/>
        </w:rPr>
        <w:t>800</w:t>
      </w:r>
      <w:r>
        <w:rPr>
          <w:rFonts w:hint="eastAsia" w:ascii="仿宋_GB2312" w:hAnsi="仿宋_GB2312" w:eastAsia="仿宋_GB2312" w:cs="仿宋_GB2312"/>
          <w:color w:val="auto"/>
          <w:sz w:val="32"/>
          <w:szCs w:val="32"/>
          <w:highlight w:val="none"/>
          <w:lang w:val="en-US" w:eastAsia="zh-CN"/>
        </w:rPr>
        <w:t>余人次。</w:t>
      </w:r>
    </w:p>
    <w:p w14:paraId="4DC4377C">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.法治宣传焕发活力，“八五”普法落地生花。紧扣“八五”普法收官之年节点，深度融合辖区文化特色，持续打造具有东四辨识度的普法品牌。全年围绕“</w:t>
      </w:r>
      <w:r>
        <w:rPr>
          <w:rFonts w:hint="eastAsia" w:ascii="Times New Roman" w:hAnsi="Times New Roman" w:eastAsia="仿宋_GB2312" w:cs="Times New Roman"/>
          <w:color w:val="auto"/>
          <w:sz w:val="32"/>
          <w:szCs w:val="32"/>
          <w:highlight w:val="none"/>
          <w:lang w:val="en-US" w:eastAsia="zh-CN"/>
        </w:rPr>
        <w:t>315</w:t>
      </w:r>
      <w:r>
        <w:rPr>
          <w:rFonts w:hint="eastAsia" w:ascii="仿宋_GB2312" w:hAnsi="仿宋_GB2312" w:eastAsia="仿宋_GB2312" w:cs="仿宋_GB2312"/>
          <w:color w:val="auto"/>
          <w:sz w:val="32"/>
          <w:szCs w:val="32"/>
          <w:highlight w:val="none"/>
          <w:lang w:val="en-US" w:eastAsia="zh-CN"/>
        </w:rPr>
        <w:t>消费者权益日”“</w:t>
      </w:r>
      <w:bookmarkStart w:id="2" w:name="OLE_LINK2"/>
      <w:r>
        <w:rPr>
          <w:rFonts w:hint="eastAsia" w:ascii="仿宋_GB2312" w:hAnsi="仿宋_GB2312" w:eastAsia="仿宋_GB2312" w:cs="仿宋_GB2312"/>
          <w:color w:val="auto"/>
          <w:sz w:val="32"/>
          <w:szCs w:val="32"/>
          <w:highlight w:val="none"/>
          <w:lang w:val="en-US" w:eastAsia="zh-CN"/>
        </w:rPr>
        <w:t>全民国家安全教育日</w:t>
      </w:r>
      <w:bookmarkEnd w:id="2"/>
      <w:r>
        <w:rPr>
          <w:rFonts w:hint="eastAsia" w:ascii="仿宋_GB2312" w:hAnsi="仿宋_GB2312" w:eastAsia="仿宋_GB2312" w:cs="仿宋_GB2312"/>
          <w:color w:val="auto"/>
          <w:sz w:val="32"/>
          <w:szCs w:val="32"/>
          <w:highlight w:val="none"/>
          <w:lang w:val="en-US" w:eastAsia="zh-CN"/>
        </w:rPr>
        <w:t>”“宪法宣传周”等主题开展普法宣传</w:t>
      </w:r>
      <w:r>
        <w:rPr>
          <w:rFonts w:hint="default" w:ascii="Times New Roman" w:hAnsi="Times New Roman" w:eastAsia="仿宋_GB2312" w:cs="Times New Roman"/>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次，组织“侨法宣传”</w:t>
      </w: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次，</w:t>
      </w:r>
      <w:r>
        <w:rPr>
          <w:rFonts w:hint="eastAsia" w:ascii="仿宋_GB2312" w:hAnsi="仿宋_GB2312" w:eastAsia="仿宋_GB2312" w:cs="仿宋_GB2312"/>
          <w:sz w:val="32"/>
          <w:szCs w:val="32"/>
        </w:rPr>
        <w:t>累计开展普法宣传活动</w:t>
      </w:r>
      <w:r>
        <w:rPr>
          <w:rFonts w:hint="eastAsia" w:ascii="仿宋_GB2312" w:hAnsi="仿宋_GB2312" w:eastAsia="仿宋_GB2312" w:cs="仿宋_GB2312"/>
          <w:sz w:val="32"/>
          <w:szCs w:val="32"/>
          <w:lang w:eastAsia="zh-CN"/>
        </w:rPr>
        <w:t>约</w:t>
      </w:r>
      <w:r>
        <w:rPr>
          <w:rFonts w:hint="eastAsia" w:ascii="Times New Roman" w:hAnsi="Times New Roman" w:eastAsia="仿宋_GB2312" w:cs="Times New Roman"/>
          <w:color w:val="auto"/>
          <w:sz w:val="32"/>
          <w:szCs w:val="32"/>
          <w:highlight w:val="none"/>
          <w:lang w:val="en-US" w:eastAsia="zh-CN"/>
        </w:rPr>
        <w:t>144</w:t>
      </w:r>
      <w:r>
        <w:rPr>
          <w:rFonts w:hint="eastAsia" w:ascii="仿宋_GB2312" w:hAnsi="仿宋_GB2312" w:eastAsia="仿宋_GB2312" w:cs="仿宋_GB2312"/>
          <w:sz w:val="32"/>
          <w:szCs w:val="32"/>
        </w:rPr>
        <w:t>场，覆盖受众达</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万余人次。依托街区文化底蕴，</w:t>
      </w:r>
      <w:r>
        <w:rPr>
          <w:rFonts w:hint="eastAsia" w:ascii="仿宋_GB2312" w:hAnsi="仿宋_GB2312" w:eastAsia="仿宋_GB2312" w:cs="仿宋_GB2312"/>
          <w:sz w:val="32"/>
          <w:szCs w:val="32"/>
          <w:lang w:eastAsia="zh-CN"/>
        </w:rPr>
        <w:t>举办第八届</w:t>
      </w:r>
      <w:r>
        <w:rPr>
          <w:rFonts w:hint="eastAsia" w:ascii="仿宋_GB2312" w:hAnsi="仿宋_GB2312" w:eastAsia="仿宋_GB2312" w:cs="仿宋_GB2312"/>
          <w:sz w:val="32"/>
          <w:szCs w:val="32"/>
        </w:rPr>
        <w:t>“法治灯谜会”，</w:t>
      </w:r>
      <w:r>
        <w:rPr>
          <w:rFonts w:hint="eastAsia" w:ascii="仿宋_GB2312" w:hAnsi="仿宋_GB2312" w:eastAsia="仿宋_GB2312" w:cs="仿宋_GB2312"/>
          <w:kern w:val="0"/>
          <w:sz w:val="32"/>
          <w:szCs w:val="32"/>
        </w:rPr>
        <w:t>获北京日报等多家媒体报道，持续开展“法治书画展”“法治文艺汇演”等特色活动，让法治精神在文化浸润中深入人心。</w:t>
      </w:r>
    </w:p>
    <w:p w14:paraId="0FEB2D3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Regular" w:hAnsi="Times New Roman Regular" w:eastAsia="黑体" w:cs="Times New Roman Regular"/>
          <w:kern w:val="0"/>
          <w:sz w:val="32"/>
          <w:szCs w:val="32"/>
        </w:rPr>
      </w:pPr>
      <w:r>
        <w:rPr>
          <w:rFonts w:hint="default" w:ascii="Times New Roman Regular" w:hAnsi="Times New Roman Regular" w:eastAsia="黑体" w:cs="Times New Roman Regular"/>
          <w:kern w:val="0"/>
          <w:sz w:val="32"/>
          <w:szCs w:val="32"/>
          <w:lang w:val="en-US" w:eastAsia="zh-CN"/>
        </w:rPr>
        <w:t>2025</w:t>
      </w:r>
      <w:r>
        <w:rPr>
          <w:rFonts w:hint="default" w:ascii="Times New Roman Regular" w:hAnsi="Times New Roman Regular" w:eastAsia="黑体" w:cs="Times New Roman Regular"/>
          <w:kern w:val="0"/>
          <w:sz w:val="32"/>
          <w:szCs w:val="32"/>
        </w:rPr>
        <w:t>年推进法治政府建设存在的不足和原因</w:t>
      </w:r>
    </w:p>
    <w:p w14:paraId="73377FF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Regular" w:hAnsi="Times New Roman Regular" w:eastAsia="仿宋_GB2312" w:cs="Times New Roman Regular"/>
          <w:lang w:val="en-US" w:eastAsia="zh-CN"/>
        </w:rPr>
      </w:pPr>
      <w:r>
        <w:rPr>
          <w:rFonts w:hint="eastAsia" w:ascii="仿宋_GB2312" w:hAnsi="仿宋_GB2312" w:eastAsia="仿宋_GB2312" w:cs="仿宋_GB2312"/>
          <w:color w:val="auto"/>
          <w:sz w:val="32"/>
          <w:szCs w:val="32"/>
          <w:highlight w:val="none"/>
          <w:lang w:val="en-US" w:eastAsia="zh-CN"/>
        </w:rPr>
        <w:t>东四街道</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sz w:val="32"/>
          <w:szCs w:val="32"/>
          <w:lang w:val="en-US" w:eastAsia="zh-CN"/>
        </w:rPr>
        <w:t>025</w:t>
      </w:r>
      <w:r>
        <w:rPr>
          <w:rFonts w:hint="eastAsia" w:ascii="仿宋_GB2312" w:hAnsi="仿宋_GB2312" w:eastAsia="仿宋_GB2312" w:cs="仿宋_GB2312"/>
          <w:color w:val="auto"/>
          <w:sz w:val="32"/>
          <w:szCs w:val="32"/>
          <w:highlight w:val="none"/>
          <w:lang w:val="en-US" w:eastAsia="zh-CN"/>
        </w:rPr>
        <w:t>年法治政府建设虽在履行职能、规范执法、优化服务等方面取得一定成效，但还存在一些问题和不足。一是法治理念与实践融合不够深，运用习近平法治思想指导实践、破解基层治理难题的能力有待加强，学习深度有待提升，部分干部和社工对法治精神实质与实践要求的理解不够透彻；二是依法行政的精准度有待进一步加强，行政复议、行政诉讼相关案件暴露出部分执法行为在程序规范和法律适用上不够扎实，影响了执法质量与服务效能；三是基层法治资源与治理需求的匹配度有待提升。面对老旧小区改造、历史文化保护街区治理、新业态监督管理等复合型治理难题时，应当进一步发挥法治专业力量优势，运用法治思维和法治方式寻求破解难题的新方法、新路径。</w:t>
      </w:r>
    </w:p>
    <w:p w14:paraId="4CD27A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Regular" w:hAnsi="Times New Roman Regular" w:eastAsia="黑体" w:cs="Times New Roman Regular"/>
          <w:kern w:val="0"/>
          <w:sz w:val="32"/>
          <w:szCs w:val="32"/>
          <w:lang w:val="en-US" w:eastAsia="zh-CN"/>
        </w:rPr>
      </w:pPr>
      <w:r>
        <w:rPr>
          <w:rFonts w:hint="default" w:ascii="Times New Roman Regular" w:hAnsi="Times New Roman Regular" w:eastAsia="黑体" w:cs="Times New Roman Regular"/>
          <w:kern w:val="0"/>
          <w:sz w:val="32"/>
          <w:szCs w:val="32"/>
          <w:lang w:val="en-US" w:eastAsia="zh-CN"/>
        </w:rPr>
        <w:t>三、</w:t>
      </w:r>
      <w:r>
        <w:rPr>
          <w:rFonts w:hint="default" w:ascii="Times New Roman" w:hAnsi="Times New Roman" w:eastAsia="仿宋_GB2312" w:cs="Times New Roman"/>
          <w:color w:val="auto"/>
          <w:sz w:val="32"/>
          <w:szCs w:val="32"/>
          <w:highlight w:val="none"/>
          <w:lang w:val="en-US" w:eastAsia="zh-CN"/>
        </w:rPr>
        <w:t>2025</w:t>
      </w:r>
      <w:r>
        <w:rPr>
          <w:rFonts w:hint="default" w:ascii="Times New Roman Regular" w:hAnsi="Times New Roman Regular" w:eastAsia="黑体" w:cs="Times New Roman Regular"/>
          <w:kern w:val="0"/>
          <w:sz w:val="32"/>
          <w:szCs w:val="32"/>
          <w:lang w:val="en-US" w:eastAsia="zh-CN"/>
        </w:rPr>
        <w:t>年党政主要负责人履行推进法治建设第一责任人职责，加强法治政府建设的有关情况</w:t>
      </w:r>
    </w:p>
    <w:p w14:paraId="510E16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（一）压实法治政府建设主体责任</w:t>
      </w:r>
    </w:p>
    <w:p w14:paraId="489C87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街道工委、办事处切实将法治政府建设置于全局工作的重要位置，严格落实党政主要负责人履行推进法治建设第一责任人职责。定期听取专题汇报，及时研究解决地区法治建设有关问题。严格执行行政负责人出庭应诉制度，确保依法出庭、出声，彰显法治担当。</w:t>
      </w:r>
    </w:p>
    <w:p w14:paraId="4AB3D4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（二）持续加强党内法规制度建设</w:t>
      </w:r>
    </w:p>
    <w:p w14:paraId="1CD7803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全面落实新时代党的建设总要求，将法治建设与全面从严治党紧密结合，制定并实施《中共东四街道工委</w:t>
      </w:r>
      <w:r>
        <w:rPr>
          <w:rFonts w:hint="default" w:ascii="Times New Roman" w:hAnsi="Times New Roman" w:eastAsia="仿宋_GB2312" w:cs="Times New Roman"/>
          <w:color w:val="auto"/>
          <w:sz w:val="32"/>
          <w:szCs w:val="32"/>
          <w:highlight w:val="none"/>
          <w:lang w:val="en-US" w:eastAsia="zh-CN"/>
        </w:rPr>
        <w:t>2025</w:t>
      </w:r>
      <w:r>
        <w:rPr>
          <w:rFonts w:hint="eastAsia" w:ascii="仿宋_GB2312" w:hAnsi="仿宋_GB2312" w:eastAsia="仿宋_GB2312" w:cs="仿宋_GB2312"/>
          <w:color w:val="auto"/>
          <w:sz w:val="32"/>
          <w:szCs w:val="32"/>
          <w:highlight w:val="none"/>
          <w:lang w:val="en-US" w:eastAsia="zh-CN"/>
        </w:rPr>
        <w:t>年度落实全面从严治党主体责任任务安排》，明确全年法治建设与廉政工作重点。压紧压实主体责任，本年度工委会专题研究党风廉政建设工作</w:t>
      </w: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次，开展廉政风险点排查分析</w:t>
      </w: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次，组织实施会议监督</w:t>
      </w:r>
      <w:r>
        <w:rPr>
          <w:rFonts w:hint="eastAsia" w:ascii="Times New Roman" w:hAnsi="Times New Roman" w:eastAsia="仿宋_GB2312" w:cs="Times New Roman"/>
          <w:color w:val="auto"/>
          <w:sz w:val="32"/>
          <w:szCs w:val="32"/>
          <w:highlight w:val="none"/>
          <w:lang w:val="en-US" w:eastAsia="zh-CN"/>
        </w:rPr>
        <w:t>41</w:t>
      </w:r>
      <w:r>
        <w:rPr>
          <w:rFonts w:hint="eastAsia" w:ascii="仿宋_GB2312" w:hAnsi="仿宋_GB2312" w:eastAsia="仿宋_GB2312" w:cs="仿宋_GB2312"/>
          <w:color w:val="auto"/>
          <w:sz w:val="32"/>
          <w:szCs w:val="32"/>
          <w:highlight w:val="none"/>
          <w:lang w:val="en-US" w:eastAsia="zh-CN"/>
        </w:rPr>
        <w:t>次、专项监督检查</w:t>
      </w:r>
      <w:r>
        <w:rPr>
          <w:rFonts w:hint="eastAsia" w:ascii="Times New Roman" w:hAnsi="Times New Roman" w:eastAsia="仿宋_GB2312" w:cs="Times New Roman"/>
          <w:color w:val="auto"/>
          <w:sz w:val="32"/>
          <w:szCs w:val="32"/>
          <w:highlight w:val="none"/>
          <w:lang w:val="en-US" w:eastAsia="zh-CN"/>
        </w:rPr>
        <w:t>34</w:t>
      </w:r>
      <w:r>
        <w:rPr>
          <w:rFonts w:hint="eastAsia" w:ascii="仿宋_GB2312" w:hAnsi="仿宋_GB2312" w:eastAsia="仿宋_GB2312" w:cs="仿宋_GB2312"/>
          <w:color w:val="auto"/>
          <w:sz w:val="32"/>
          <w:szCs w:val="32"/>
          <w:highlight w:val="none"/>
          <w:lang w:val="en-US" w:eastAsia="zh-CN"/>
        </w:rPr>
        <w:t>次。常态化推进廉政警示教育，组织召开机关及社区警示教育大会</w:t>
      </w:r>
      <w:r>
        <w:rPr>
          <w:rFonts w:hint="eastAsia" w:ascii="Times New Roman" w:hAnsi="Times New Roman" w:eastAsia="仿宋_GB2312" w:cs="Times New Roman"/>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val="en-US" w:eastAsia="zh-CN"/>
        </w:rPr>
        <w:t>次，各基层党组织书记讲授专题纪律党课，营造风清气正的法治环境。</w:t>
      </w:r>
    </w:p>
    <w:p w14:paraId="788250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（三）抓实抓牢干部理论学习</w:t>
      </w:r>
    </w:p>
    <w:p w14:paraId="2536A6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严格落</w:t>
      </w:r>
      <w:bookmarkStart w:id="3" w:name="_GoBack"/>
      <w:r>
        <w:rPr>
          <w:rFonts w:hint="eastAsia" w:ascii="仿宋_GB2312" w:hAnsi="仿宋_GB2312" w:eastAsia="仿宋_GB2312" w:cs="仿宋_GB2312"/>
          <w:color w:val="auto"/>
          <w:sz w:val="32"/>
          <w:szCs w:val="32"/>
          <w:highlight w:val="none"/>
          <w:lang w:val="en-US" w:eastAsia="zh-CN"/>
        </w:rPr>
        <w:t>实理论学习中心组集体学法和机关干部日常学法制度。全年组织理论学习中心组专题学法</w:t>
      </w: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次，工委会、主任办公会开展会前学法共</w:t>
      </w:r>
      <w:r>
        <w:rPr>
          <w:rFonts w:hint="eastAsia" w:ascii="Times New Roman" w:hAnsi="Times New Roman" w:eastAsia="仿宋_GB2312" w:cs="Times New Roman"/>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CN"/>
        </w:rPr>
        <w:t>次。围绕学习贯彻</w:t>
      </w:r>
      <w:bookmarkEnd w:id="3"/>
      <w:r>
        <w:rPr>
          <w:rFonts w:hint="eastAsia" w:ascii="仿宋_GB2312" w:hAnsi="仿宋_GB2312" w:eastAsia="仿宋_GB2312" w:cs="仿宋_GB2312"/>
          <w:color w:val="auto"/>
          <w:sz w:val="32"/>
          <w:szCs w:val="32"/>
          <w:highlight w:val="none"/>
          <w:lang w:val="en-US" w:eastAsia="zh-CN"/>
        </w:rPr>
        <w:t>习近平新时代中国特色社会主义思想，扎实开展中央八项规定精神学习教育，组织理论学习中心组学习</w:t>
      </w:r>
      <w:r>
        <w:rPr>
          <w:rFonts w:hint="eastAsia" w:ascii="Times New Roman" w:hAnsi="Times New Roman" w:eastAsia="仿宋_GB2312" w:cs="Times New Roman"/>
          <w:color w:val="auto"/>
          <w:sz w:val="32"/>
          <w:szCs w:val="32"/>
          <w:highlight w:val="none"/>
          <w:lang w:val="en-US" w:eastAsia="zh-CN"/>
        </w:rPr>
        <w:t>22</w:t>
      </w:r>
      <w:r>
        <w:rPr>
          <w:rFonts w:hint="eastAsia" w:ascii="仿宋_GB2312" w:hAnsi="仿宋_GB2312" w:eastAsia="仿宋_GB2312" w:cs="仿宋_GB2312"/>
          <w:color w:val="auto"/>
          <w:sz w:val="32"/>
          <w:szCs w:val="32"/>
          <w:highlight w:val="none"/>
          <w:lang w:val="en-US" w:eastAsia="zh-CN"/>
        </w:rPr>
        <w:t>次，深入基层开展调研座谈</w:t>
      </w:r>
      <w:r>
        <w:rPr>
          <w:rFonts w:hint="default" w:ascii="Times New Roman" w:hAnsi="Times New Roman" w:eastAsia="仿宋_GB2312" w:cs="Times New Roman"/>
          <w:color w:val="auto"/>
          <w:sz w:val="32"/>
          <w:szCs w:val="32"/>
          <w:highlight w:val="none"/>
          <w:lang w:val="en-US" w:eastAsia="zh-CN"/>
        </w:rPr>
        <w:t>59</w:t>
      </w:r>
      <w:r>
        <w:rPr>
          <w:rFonts w:hint="eastAsia" w:ascii="仿宋_GB2312" w:hAnsi="仿宋_GB2312" w:eastAsia="仿宋_GB2312" w:cs="仿宋_GB2312"/>
          <w:color w:val="auto"/>
          <w:sz w:val="32"/>
          <w:szCs w:val="32"/>
          <w:highlight w:val="none"/>
          <w:lang w:val="en-US" w:eastAsia="zh-CN"/>
        </w:rPr>
        <w:t>次、实地走访</w:t>
      </w:r>
      <w:r>
        <w:rPr>
          <w:rFonts w:hint="eastAsia" w:ascii="Times New Roman" w:hAnsi="Times New Roman" w:eastAsia="仿宋_GB2312" w:cs="Times New Roman"/>
          <w:color w:val="auto"/>
          <w:sz w:val="32"/>
          <w:szCs w:val="32"/>
          <w:highlight w:val="none"/>
          <w:lang w:val="en-US" w:eastAsia="zh-CN"/>
        </w:rPr>
        <w:t>85</w:t>
      </w:r>
      <w:r>
        <w:rPr>
          <w:rFonts w:hint="eastAsia" w:ascii="仿宋_GB2312" w:hAnsi="仿宋_GB2312" w:eastAsia="仿宋_GB2312" w:cs="仿宋_GB2312"/>
          <w:color w:val="auto"/>
          <w:sz w:val="32"/>
          <w:szCs w:val="32"/>
          <w:highlight w:val="none"/>
          <w:lang w:val="en-US" w:eastAsia="zh-CN"/>
        </w:rPr>
        <w:t>次，推动解决实际问题</w:t>
      </w:r>
      <w:r>
        <w:rPr>
          <w:rFonts w:hint="eastAsia" w:ascii="Times New Roman" w:hAnsi="Times New Roman" w:eastAsia="仿宋_GB2312" w:cs="Times New Roman"/>
          <w:color w:val="auto"/>
          <w:sz w:val="32"/>
          <w:szCs w:val="32"/>
          <w:highlight w:val="none"/>
          <w:lang w:val="en-US" w:eastAsia="zh-CN"/>
        </w:rPr>
        <w:t>41</w:t>
      </w:r>
      <w:r>
        <w:rPr>
          <w:rFonts w:hint="eastAsia" w:ascii="仿宋_GB2312" w:hAnsi="仿宋_GB2312" w:eastAsia="仿宋_GB2312" w:cs="仿宋_GB2312"/>
          <w:color w:val="auto"/>
          <w:sz w:val="32"/>
          <w:szCs w:val="32"/>
          <w:highlight w:val="none"/>
          <w:lang w:val="en-US" w:eastAsia="zh-CN"/>
        </w:rPr>
        <w:t>个。依托街道“每月一训”干部教育培训平台，邀请法律专家、执业律师开展专题法治培训</w:t>
      </w: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次，有效提升干部队伍法律应用水平。</w:t>
      </w:r>
    </w:p>
    <w:p w14:paraId="24EEBA6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Regular" w:hAnsi="Times New Roman Regular" w:eastAsia="黑体" w:cs="Times New Roman Regular"/>
          <w:kern w:val="0"/>
          <w:sz w:val="32"/>
          <w:szCs w:val="32"/>
          <w:lang w:val="en-US" w:eastAsia="zh-CN"/>
        </w:rPr>
      </w:pPr>
      <w:r>
        <w:rPr>
          <w:rFonts w:hint="default" w:ascii="Times New Roman Regular" w:hAnsi="Times New Roman Regular" w:eastAsia="黑体" w:cs="Times New Roman Regular"/>
          <w:kern w:val="0"/>
          <w:sz w:val="32"/>
          <w:szCs w:val="32"/>
          <w:lang w:val="en-US" w:eastAsia="zh-CN"/>
        </w:rPr>
        <w:t>四、</w:t>
      </w:r>
      <w:r>
        <w:rPr>
          <w:rFonts w:hint="default" w:ascii="Times New Roman" w:hAnsi="Times New Roman" w:eastAsia="仿宋_GB2312" w:cs="Times New Roman"/>
          <w:color w:val="auto"/>
          <w:sz w:val="32"/>
          <w:szCs w:val="32"/>
          <w:highlight w:val="none"/>
          <w:lang w:val="en-US" w:eastAsia="zh-CN"/>
        </w:rPr>
        <w:t>2026</w:t>
      </w:r>
      <w:r>
        <w:rPr>
          <w:rFonts w:hint="default" w:ascii="Times New Roman Regular" w:hAnsi="Times New Roman Regular" w:eastAsia="黑体" w:cs="Times New Roman Regular"/>
          <w:kern w:val="0"/>
          <w:sz w:val="32"/>
          <w:szCs w:val="32"/>
          <w:lang w:val="en-US" w:eastAsia="zh-CN"/>
        </w:rPr>
        <w:t>年推进法治政府建设的主要安排</w:t>
      </w:r>
    </w:p>
    <w:p w14:paraId="570F135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站在新起点，东四街道将立足首都核心区发展大局，紧扣“十五五”规划目标与“九五”普法启动契机，持续提升治理能力水平，以更高站位、更实举措推动法治建设与地区发展深度融合，全力打造基层依法治理的东四样板，为区域高质量发展筑牢法治保障。</w:t>
      </w:r>
    </w:p>
    <w:p w14:paraId="54C28BB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Regular" w:hAnsi="Times New Roman Regular" w:eastAsia="楷体_GB2312" w:cs="Times New Roman Regular"/>
          <w:color w:val="auto"/>
          <w:sz w:val="32"/>
          <w:szCs w:val="32"/>
          <w:lang w:val="en-US" w:eastAsia="zh-CN"/>
        </w:rPr>
      </w:pPr>
      <w:r>
        <w:rPr>
          <w:rFonts w:hint="default" w:ascii="Times New Roman Regular" w:hAnsi="Times New Roman Regular" w:eastAsia="楷体_GB2312" w:cs="Times New Roman Regular"/>
          <w:color w:val="auto"/>
          <w:sz w:val="32"/>
          <w:szCs w:val="32"/>
          <w:lang w:val="en-US" w:eastAsia="zh-CN"/>
        </w:rPr>
        <w:t>（一）加强依法行政水平，持续深化法治政府建设</w:t>
      </w:r>
    </w:p>
    <w:p w14:paraId="70EBCB9B">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进一步发挥街道工委在推进本地区法治建设中的领导核心作用，党政主要负责人切实履行推进法治建设第一责任人职责，将法治建设纳入地区发展总体规划和年度工作计划，不断巩固提升法治政府建设成果。提升干部队伍依法行政意识，围绕物业管理有关条例适用、接诉即办依法回应及新生违建拆除等实际场景开展培训，推动法治思维融入日常工作。优化政府履职，规范行政决策程序，严格落实重大行政决策合法性审查机制，强化行政执法规范化建设，全面推进行政执法“三项制度”落地见效，落实开展案卷季度评查与问题闭环整改，切实提升执法公信力与群众满意度。</w:t>
      </w:r>
    </w:p>
    <w:p w14:paraId="1C9CF9D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Regular" w:hAnsi="Times New Roman Regular" w:eastAsia="楷体_GB2312" w:cs="Times New Roman Regular"/>
          <w:color w:val="auto"/>
          <w:sz w:val="32"/>
          <w:szCs w:val="32"/>
          <w:lang w:val="en-US" w:eastAsia="zh-CN"/>
        </w:rPr>
      </w:pPr>
      <w:r>
        <w:rPr>
          <w:rFonts w:hint="default" w:ascii="Times New Roman Regular" w:hAnsi="Times New Roman Regular" w:eastAsia="楷体_GB2312" w:cs="Times New Roman Regular"/>
          <w:color w:val="auto"/>
          <w:sz w:val="32"/>
          <w:szCs w:val="32"/>
          <w:lang w:val="en-US" w:eastAsia="zh-CN"/>
        </w:rPr>
        <w:t>聚焦矛盾纠纷排查化解，完善多元共治调处体系</w:t>
      </w:r>
    </w:p>
    <w:p w14:paraId="5D9F919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和发展新时代“枫桥经验”，扎实推进综治中心规范化、实体化运行，有效整合基层治理资源，夯实平安建设阵地。积极推动“三官一师（法官、检察官、警官和律师）”法治力量下沉网格、进驻中心，强化与网格员、专职人民调解员、“法治明白人”工程的协调联动，提升基层法治服务能力。深化信访工作法治化，规范信访事项办理流程。加强矛盾纠纷源头排查和前端化解，聚焦老旧小区改造、平房区治理等重点领域，提升化解实效，努力做到“小事不出社区、大事不出街道”。</w:t>
      </w:r>
    </w:p>
    <w:p w14:paraId="4034BE3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Regular" w:hAnsi="Times New Roman Regular" w:eastAsia="楷体_GB2312" w:cs="Times New Roman Regular"/>
          <w:color w:val="auto"/>
          <w:sz w:val="32"/>
          <w:szCs w:val="32"/>
          <w:lang w:val="en-US" w:eastAsia="zh-CN"/>
        </w:rPr>
      </w:pPr>
      <w:r>
        <w:rPr>
          <w:rFonts w:hint="default" w:ascii="Times New Roman Regular" w:hAnsi="Times New Roman Regular" w:eastAsia="楷体_GB2312" w:cs="Times New Roman Regular"/>
          <w:color w:val="auto"/>
          <w:sz w:val="32"/>
          <w:szCs w:val="32"/>
          <w:lang w:val="en-US" w:eastAsia="zh-CN"/>
        </w:rPr>
        <w:t>落实普法责任制，营造学法尊法守法浓厚氛围</w:t>
      </w:r>
    </w:p>
    <w:p w14:paraId="5090BD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Regular" w:hAnsi="Times New Roman Regular" w:eastAsia="仿宋_GB2312" w:cs="Times New Roman Regular"/>
          <w:sz w:val="32"/>
          <w:szCs w:val="32"/>
          <w:lang w:eastAsia="zh-CN"/>
        </w:rPr>
      </w:pPr>
      <w:r>
        <w:rPr>
          <w:rFonts w:hint="eastAsia" w:ascii="仿宋_GB2312" w:hAnsi="仿宋_GB2312" w:eastAsia="仿宋_GB2312" w:cs="仿宋_GB2312"/>
          <w:sz w:val="32"/>
          <w:szCs w:val="32"/>
          <w:lang w:val="en-US" w:eastAsia="zh-CN"/>
        </w:rPr>
        <w:t>认真学习贯彻《中华人民共和国法治宣传教育法》，及时制定并实施本街道“九五”普法工作规划，确保普法责任落地见效。着力构建多方参与的普法工作格局，组织动员街道及社区力量，推动普法工作向纵深发展。在普法内容上，紧密围绕地区中心工作和群众关切，深度融合东四胡同文化、街区治理特色等本土元素，打造具有地域辨识度的普法品牌。创新宣传形式，推动法治文化融入百姓日常生活，积极营造知法学法用法的浓厚社会氛围，为“九五”普法开好局、起好步奠定坚实基础。</w:t>
      </w:r>
    </w:p>
    <w:p w14:paraId="24E00429">
      <w:pPr>
        <w:pStyle w:val="2"/>
        <w:keepNext w:val="0"/>
        <w:keepLines w:val="0"/>
        <w:pageBreakBefore w:val="0"/>
        <w:widowControl w:val="0"/>
        <w:kinsoku/>
        <w:wordWrap/>
        <w:overflowPunct/>
        <w:topLinePunct w:val="0"/>
        <w:autoSpaceDE/>
        <w:autoSpaceDN/>
        <w:bidi w:val="0"/>
        <w:adjustRightInd/>
        <w:snapToGrid w:val="0"/>
        <w:spacing w:after="0" w:line="560" w:lineRule="exact"/>
        <w:ind w:right="0" w:rightChars="0"/>
        <w:jc w:val="right"/>
        <w:textAlignment w:val="auto"/>
        <w:outlineLvl w:val="9"/>
        <w:rPr>
          <w:rFonts w:hint="default" w:ascii="Times New Roman Regular" w:hAnsi="Times New Roman Regular" w:eastAsia="仿宋_GB2312" w:cs="Times New Roman Regular"/>
          <w:sz w:val="32"/>
          <w:szCs w:val="32"/>
          <w:lang w:val="en-US" w:eastAsia="zh-CN"/>
        </w:rPr>
      </w:pPr>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C0C172"/>
    <w:multiLevelType w:val="singleLevel"/>
    <w:tmpl w:val="5FC0C172"/>
    <w:lvl w:ilvl="0" w:tentative="0">
      <w:start w:val="2"/>
      <w:numFmt w:val="chineseCounting"/>
      <w:suff w:val="nothing"/>
      <w:lvlText w:val="%1、"/>
      <w:lvlJc w:val="left"/>
    </w:lvl>
  </w:abstractNum>
  <w:abstractNum w:abstractNumId="1">
    <w:nsid w:val="693FF39D"/>
    <w:multiLevelType w:val="singleLevel"/>
    <w:tmpl w:val="693FF39D"/>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91BFA"/>
    <w:rsid w:val="00351F17"/>
    <w:rsid w:val="06607012"/>
    <w:rsid w:val="072651FB"/>
    <w:rsid w:val="0C172312"/>
    <w:rsid w:val="0C9F6A65"/>
    <w:rsid w:val="0D304139"/>
    <w:rsid w:val="0FCA4A03"/>
    <w:rsid w:val="14FB53F2"/>
    <w:rsid w:val="158363CE"/>
    <w:rsid w:val="15C82FCB"/>
    <w:rsid w:val="18A953AE"/>
    <w:rsid w:val="1A0A1557"/>
    <w:rsid w:val="24CA7653"/>
    <w:rsid w:val="2BB73F03"/>
    <w:rsid w:val="2C8E64DF"/>
    <w:rsid w:val="33DB5D15"/>
    <w:rsid w:val="41C5072A"/>
    <w:rsid w:val="42CB6327"/>
    <w:rsid w:val="4C2447BE"/>
    <w:rsid w:val="4EFCF363"/>
    <w:rsid w:val="541615FE"/>
    <w:rsid w:val="574B2760"/>
    <w:rsid w:val="588770D5"/>
    <w:rsid w:val="5EE70A3D"/>
    <w:rsid w:val="5F5778D9"/>
    <w:rsid w:val="66511B77"/>
    <w:rsid w:val="671C1AC2"/>
    <w:rsid w:val="67D66C7E"/>
    <w:rsid w:val="6B2227EF"/>
    <w:rsid w:val="6EFF17CE"/>
    <w:rsid w:val="6FD7332B"/>
    <w:rsid w:val="72A91BFA"/>
    <w:rsid w:val="74D45789"/>
    <w:rsid w:val="7A601175"/>
    <w:rsid w:val="7A924781"/>
    <w:rsid w:val="7CEF7DD8"/>
    <w:rsid w:val="7F3E6537"/>
    <w:rsid w:val="A3A7296C"/>
    <w:rsid w:val="BBD349DE"/>
    <w:rsid w:val="FDAE1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annotation text"/>
    <w:basedOn w:val="1"/>
    <w:qFormat/>
    <w:uiPriority w:val="0"/>
    <w:pPr>
      <w:jc w:val="left"/>
    </w:pPr>
  </w:style>
  <w:style w:type="paragraph" w:styleId="4">
    <w:name w:val="footer"/>
    <w:basedOn w:val="1"/>
    <w:next w:val="1"/>
    <w:qFormat/>
    <w:uiPriority w:val="0"/>
    <w:pPr>
      <w:tabs>
        <w:tab w:val="center" w:pos="4153"/>
        <w:tab w:val="right" w:pos="8306"/>
      </w:tabs>
      <w:snapToGrid w:val="0"/>
      <w:jc w:val="left"/>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8fd68370-6376-4d51-b22b-4776f4e3dd2e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D7D138</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7f044928-8e82-432e-a5cc-859a2201788c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D7D138</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779516aa-8b17-4b80-9086-283a4681a1a3</errorID>
      <errorWord xmlns="http://schemas.wps.cn/vas-ai-hub/contract-review">4等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4</item>
      </candidateList>
      <explain xmlns="http://schemas.wps.cn/vas-ai-hub/contract-review"/>
      <paraID xmlns="http://schemas.wps.cn/vas-ai-hub/contract-review">7F84A256</paraID>
      <start xmlns="http://schemas.wps.cn/vas-ai-hub/contract-review">165</start>
      <end xmlns="http://schemas.wps.cn/vas-ai-hub/contract-review">167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e4544b74-6cce-4e66-8715-96eeb82a3b85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7474A815</paraID>
      <start xmlns="http://schemas.wps.cn/vas-ai-hub/contract-review">139</start>
      <end xmlns="http://schemas.wps.cn/vas-ai-hub/contract-review">140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b9555f8c-934f-4b8f-8262-f53e5dee385b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7474A815</paraID>
      <start xmlns="http://schemas.wps.cn/vas-ai-hub/contract-review">144</start>
      <end xmlns="http://schemas.wps.cn/vas-ai-hub/contract-review">145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cd49a5ea-c44b-4d94-9854-8da45a1ee08d</errorID>
      <errorWord xmlns="http://schemas.wps.cn/vas-ai-hub/contract-review">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想在</item>
      </candidateList>
      <explain xmlns="http://schemas.wps.cn/vas-ai-hub/contract-review"/>
      <paraID xmlns="http://schemas.wps.cn/vas-ai-hub/contract-review">58EA7DC3</paraID>
      <start xmlns="http://schemas.wps.cn/vas-ai-hub/contract-review">20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b0e89529-e662-4c34-91b0-6cba6274ab72</errorID>
      <errorWord xmlns="http://schemas.wps.cn/vas-ai-hub/contract-review">深</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深入</item>
      </candidateList>
      <explain xmlns="http://schemas.wps.cn/vas-ai-hub/contract-review">❶〈动〉透过外部，达到事物内部或中心：孤军～｜～实际｜～人心。❷〈形〉深刻；透彻：～地分析｜这个问题需要作～的调查研究。</explain>
      <paraID xmlns="http://schemas.wps.cn/vas-ai-hub/contract-review">73377FFC</paraID>
      <start xmlns="http://schemas.wps.cn/vas-ai-hub/contract-review">66</start>
      <end xmlns="http://schemas.wps.cn/vas-ai-hub/contract-review">67</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f024c7a8-e950-4620-ae29-797cf4591203}">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4927</Words>
  <Characters>5073</Characters>
  <Lines>0</Lines>
  <Paragraphs>0</Paragraphs>
  <TotalTime>1</TotalTime>
  <ScaleCrop>false</ScaleCrop>
  <LinksUpToDate>false</LinksUpToDate>
  <CharactersWithSpaces>5073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2025-11-28T15:56:00Z</dcterms:created>
  <dc:creator>朱红军</dc:creator>
  <cp:lastModifiedBy>user</cp:lastModifiedBy>
  <cp:lastPrinted>2026-01-08T18:01:00Z</cp:lastPrinted>
  <dcterms:modified xsi:type="dcterms:W3CDTF">2026-03-19T15:04:47Z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C74EA33E84A1DABC66034069820EEFF2_43</vt:lpwstr>
  </property>
  <property fmtid="{D5CDD505-2E9C-101B-9397-08002B2CF9AE}" pid="4" name="KSOTemplateDocerSaveRecord">
    <vt:lpwstr>eyJoZGlkIjoiMGU3M2U2NzEwNTZmNTk2Mjk1MjBlYzY0MTM1MzM0YTUiLCJ1c2VySWQiOiI2Mzc1MDI3OTEifQ==</vt:lpwstr>
  </property>
</Properties>
</file>