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ADA4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default" w:ascii="Times New Roman" w:hAnsi="Times New Roman" w:eastAsia="方正小标宋简体" w:cs="Times New Roman"/>
          <w:sz w:val="44"/>
          <w:szCs w:val="44"/>
          <w:lang w:eastAsia="zh-CN"/>
        </w:rPr>
      </w:pPr>
      <w:bookmarkStart w:id="0" w:name="OLE_LINK25"/>
      <w:bookmarkStart w:id="1" w:name="OLE_LINK3"/>
      <w:r>
        <w:rPr>
          <w:rFonts w:hint="default" w:ascii="Times New Roman" w:hAnsi="Times New Roman" w:eastAsia="方正小标宋简体" w:cs="Times New Roman"/>
          <w:sz w:val="44"/>
          <w:szCs w:val="44"/>
          <w:lang w:eastAsia="zh-CN"/>
        </w:rPr>
        <w:t>北京市东城区人民政府北新桥街道办事处</w:t>
      </w:r>
    </w:p>
    <w:p w14:paraId="3ACDAE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2025年</w:t>
      </w:r>
      <w:bookmarkStart w:id="2" w:name="OLE_LINK1"/>
      <w:r>
        <w:rPr>
          <w:rFonts w:hint="default" w:ascii="Times New Roman" w:hAnsi="Times New Roman" w:eastAsia="方正小标宋简体" w:cs="Times New Roman"/>
          <w:sz w:val="44"/>
          <w:szCs w:val="44"/>
          <w:lang w:eastAsia="zh-CN"/>
        </w:rPr>
        <w:t>法治政府建设年度情况</w:t>
      </w:r>
      <w:r>
        <w:rPr>
          <w:rFonts w:hint="default" w:ascii="Times New Roman" w:hAnsi="Times New Roman" w:eastAsia="方正小标宋简体" w:cs="Times New Roman"/>
          <w:sz w:val="44"/>
          <w:szCs w:val="44"/>
        </w:rPr>
        <w:t>报告</w:t>
      </w:r>
      <w:bookmarkEnd w:id="0"/>
      <w:bookmarkEnd w:id="2"/>
    </w:p>
    <w:bookmarkEnd w:id="1"/>
    <w:p w14:paraId="56911AE9">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14:paraId="4E17C55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北新桥街道办事处在区委、区政府的坚强领导下，坚持以习近平新时代中国特色社会主义思想为指导，全面贯彻党的二十大和二十届历次全会精神，以习近平法治思想为指引，深入贯彻落实中央、市、区关于法治政府建设的决策部署，结合街道工作实际，扎实推进法治政府建设各项重点工作，在理论武装、制度完善、依法履职、执法规范、纠纷化解等方面取得显著成效，为辖区高质量发展</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lang w:val="en-US" w:eastAsia="zh-CN"/>
        </w:rPr>
        <w:t>了坚实法治保障。现将北新桥街道办事处2025年度法治政府建设情况报告如下。</w:t>
      </w:r>
    </w:p>
    <w:p w14:paraId="6C16D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bookmarkStart w:id="3" w:name="OLE_LINK2"/>
      <w:r>
        <w:rPr>
          <w:rFonts w:hint="default" w:ascii="Times New Roman" w:hAnsi="Times New Roman" w:eastAsia="黑体" w:cs="Times New Roman"/>
          <w:sz w:val="32"/>
          <w:szCs w:val="32"/>
          <w:lang w:val="en-US" w:eastAsia="zh-CN"/>
        </w:rPr>
        <w:t>一、2025年推进法治政府建设的主要举措和成效</w:t>
      </w:r>
    </w:p>
    <w:p w14:paraId="7F049B58">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4" w:name="OLE_LINK4"/>
      <w:r>
        <w:rPr>
          <w:rFonts w:hint="default" w:ascii="Times New Roman" w:hAnsi="Times New Roman" w:eastAsia="楷体_GB2312" w:cs="Times New Roman"/>
          <w:sz w:val="32"/>
          <w:szCs w:val="32"/>
          <w:lang w:val="en-US" w:eastAsia="zh-CN"/>
        </w:rPr>
        <w:t>（一）深化理论武装，以习近平法治思想定向领航</w:t>
      </w:r>
    </w:p>
    <w:p w14:paraId="09D4012E">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始终把学习宣传贯彻习近平法治思想作为首要政治任务，深刻领会其核心要义、精神实质、丰富内涵和实践要求，切实把习近平法治思想贯彻落实到街道法治政府建设全过程、各方面，以法治思维和法治方式引领、规范、保障街道各项工作高质量发展。</w:t>
      </w:r>
    </w:p>
    <w:p w14:paraId="0B676DC5">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1.深化理论武装，筑牢法治思想根基。坚持把学习贯彻习近平法治思想与学习贯彻党的二十大和二十届历次全会精神结合起来，纳入街道</w:t>
      </w:r>
      <w:r>
        <w:rPr>
          <w:rFonts w:hint="default" w:ascii="Times New Roman" w:hAnsi="Times New Roman" w:eastAsia="仿宋_GB2312" w:cs="Times New Roman"/>
          <w:sz w:val="32"/>
          <w:szCs w:val="32"/>
          <w:lang w:eastAsia="zh-CN"/>
        </w:rPr>
        <w:t>处级</w:t>
      </w:r>
      <w:r>
        <w:rPr>
          <w:rFonts w:hint="default" w:ascii="Times New Roman" w:hAnsi="Times New Roman" w:eastAsia="仿宋_GB2312" w:cs="Times New Roman"/>
          <w:sz w:val="32"/>
          <w:szCs w:val="32"/>
          <w:lang w:val="en-US" w:eastAsia="zh-CN"/>
        </w:rPr>
        <w:t>理论学习</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lang w:val="en-US" w:eastAsia="zh-CN"/>
        </w:rPr>
        <w:t>组学习、主任办公会学法、干部教育培训、“三会一课”及主题党</w:t>
      </w:r>
      <w:r>
        <w:rPr>
          <w:rFonts w:hint="eastAsia" w:eastAsia="仿宋_GB2312" w:cs="Times New Roman"/>
          <w:sz w:val="32"/>
          <w:szCs w:val="32"/>
          <w:lang w:val="en-US" w:eastAsia="zh-CN"/>
        </w:rPr>
        <w:t>日等</w:t>
      </w:r>
      <w:r>
        <w:rPr>
          <w:rFonts w:hint="default" w:ascii="Times New Roman" w:hAnsi="Times New Roman" w:eastAsia="仿宋_GB2312" w:cs="Times New Roman"/>
          <w:sz w:val="32"/>
          <w:szCs w:val="32"/>
          <w:lang w:val="en-US" w:eastAsia="zh-CN"/>
        </w:rPr>
        <w:t>重要内容，通过专题研讨、辅导讲座、线上学习、实地调研等多种形式，推动习近平法治思想入脑入心。推动领导干部学法常态化，制定实施《领导干部应知应会法规个性清单》，围绕</w:t>
      </w:r>
      <w:r>
        <w:rPr>
          <w:rFonts w:hint="eastAsia" w:eastAsia="仿宋_GB2312" w:cs="Times New Roman"/>
          <w:sz w:val="32"/>
          <w:szCs w:val="32"/>
          <w:lang w:val="en-US" w:eastAsia="zh-CN"/>
        </w:rPr>
        <w:t>全面从严治党</w:t>
      </w:r>
      <w:r>
        <w:rPr>
          <w:rFonts w:hint="default" w:ascii="Times New Roman" w:hAnsi="Times New Roman" w:eastAsia="仿宋_GB2312" w:cs="Times New Roman"/>
          <w:sz w:val="32"/>
          <w:szCs w:val="32"/>
          <w:lang w:val="en-US" w:eastAsia="zh-CN"/>
        </w:rPr>
        <w:t>、依法行政、行政执法监督及与履行岗位职责密切相关的</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lang w:val="en-US" w:eastAsia="zh-CN"/>
        </w:rPr>
        <w:t>开展集中学习，组织11名干部参加国家工作人员学法考试，持续提升干部法治实践能力。</w:t>
      </w:r>
    </w:p>
    <w:p w14:paraId="0F54A86F">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2.坚持</w:t>
      </w:r>
      <w:r>
        <w:rPr>
          <w:rFonts w:hint="eastAsia" w:eastAsia="仿宋_GB2312" w:cs="Times New Roman"/>
          <w:sz w:val="32"/>
          <w:szCs w:val="32"/>
          <w:lang w:val="en-US" w:eastAsia="zh-CN"/>
        </w:rPr>
        <w:t>全面从严治党</w:t>
      </w:r>
      <w:r>
        <w:rPr>
          <w:rFonts w:hint="default" w:ascii="Times New Roman" w:hAnsi="Times New Roman" w:eastAsia="仿宋_GB2312" w:cs="Times New Roman"/>
          <w:sz w:val="32"/>
          <w:szCs w:val="32"/>
          <w:lang w:val="en-US" w:eastAsia="zh-CN"/>
        </w:rPr>
        <w:t>，深入推进党的自我革命。深入学习贯彻习近平总书记关于党的自我革命的重要思想，以“五个进一步到位”为工作要求，持续推动自我革命走深走实。注重抓早抓小、防微杜渐，针对党员干部中出现的苗头性、倾向性问题，充分运用监督执纪“第一种形态”开展谈话提醒。组织召开街道警示教育大会1次，教育引导干部职工300余人次，进一步筑牢思想防线。</w:t>
      </w:r>
    </w:p>
    <w:p w14:paraId="0D402DD9">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加强宣传引导，营造浓厚法治氛围。聚焦居民法治需求开展精准化法治宣传教育，邀请法官、民警、律师等专业力量，围绕《中华人民共和国民法典》婚姻编新司法解释、预付式消费纠纷、《住房租赁条例》、新修订《中华人民共和国治安管理处罚法》等内容举办专题讲座</w:t>
      </w:r>
      <w:r>
        <w:rPr>
          <w:rFonts w:hint="default" w:ascii="Times New Roman" w:hAnsi="Times New Roman" w:eastAsia="仿宋_GB2312" w:cs="Times New Roman"/>
          <w:sz w:val="32"/>
          <w:szCs w:val="32"/>
          <w:shd w:val="clear" w:color="auto" w:fill="auto"/>
          <w:lang w:val="en-US" w:eastAsia="zh-CN"/>
        </w:rPr>
        <w:t>，提升居民权益保护与化解矛盾能力。</w:t>
      </w:r>
      <w:r>
        <w:rPr>
          <w:rFonts w:hint="default" w:ascii="Times New Roman" w:hAnsi="Times New Roman" w:eastAsia="仿宋_GB2312" w:cs="Times New Roman"/>
          <w:sz w:val="32"/>
          <w:szCs w:val="32"/>
          <w:lang w:val="en-US" w:eastAsia="zh-CN"/>
        </w:rPr>
        <w:t>拓展宣传载体扩大普法覆盖面，联合东方公证处等多方开展“学雷锋·文明实践我行动”暨妇女维权主题宣传、“法润东城，与‘典’同行”民法典主题宣传等活动，将法治宣传与法律服务送到群众身边。扎实推进宪法宣传周、国家安全教育日等主题普法，组织现场法律咨询服务。常态化通过海报、短视频等形式开展国家安全、反诈骗、文明养犬等主题宣传，</w:t>
      </w:r>
      <w:r>
        <w:rPr>
          <w:rFonts w:hint="default" w:ascii="Times New Roman" w:hAnsi="Times New Roman" w:eastAsia="仿宋_GB2312" w:cs="Times New Roman"/>
          <w:sz w:val="32"/>
          <w:szCs w:val="32"/>
          <w:shd w:val="clear" w:color="auto" w:fill="auto"/>
          <w:lang w:val="en-US" w:eastAsia="zh-CN"/>
        </w:rPr>
        <w:t>引导辖区居民形成尊法学法守法用法的良好风尚，为街道法治政府建设营造浓厚社会氛围。</w:t>
      </w:r>
    </w:p>
    <w:p w14:paraId="2C237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（二）完善制度体系，筑牢依法决策坚实根基</w:t>
      </w:r>
    </w:p>
    <w:p w14:paraId="67F02AC6">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highlight w:val="none"/>
          <w:shd w:val="clear" w:color="auto" w:fill="auto"/>
          <w:lang w:val="en-US" w:eastAsia="zh-CN"/>
        </w:rPr>
        <w:t>坚持制度先行，细化决策流程，确保决策科学、民主、法治要求贯穿全过程、落实到具体环节。</w:t>
      </w:r>
    </w:p>
    <w:p w14:paraId="65A2A7AF">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1.严格落实决策法定程序。在重大行政决策过程中，严格执行公众参与、专家论证、风险评估、合法性审查、集体讨论决定“五步走”程序。对于涉及群众切身利益的决策事项，通过居民代表大会、座谈会、听证会、入户征求意见等多种形式广泛征求民意，充分吸纳群众合理建议。坚持民主集中制，全年累计</w:t>
      </w:r>
      <w:r>
        <w:rPr>
          <w:rFonts w:hint="default" w:ascii="Times New Roman" w:hAnsi="Times New Roman" w:eastAsia="仿宋_GB2312" w:cs="Times New Roman"/>
          <w:sz w:val="32"/>
          <w:szCs w:val="32"/>
          <w:highlight w:val="none"/>
          <w:lang w:val="en-US" w:eastAsia="zh-CN"/>
        </w:rPr>
        <w:t>召开工委会39次、主任办公会31次，</w:t>
      </w:r>
      <w:r>
        <w:rPr>
          <w:rFonts w:hint="default" w:ascii="Times New Roman" w:hAnsi="Times New Roman" w:eastAsia="仿宋_GB2312" w:cs="Times New Roman"/>
          <w:sz w:val="32"/>
          <w:szCs w:val="32"/>
          <w:lang w:val="en-US" w:eastAsia="zh-CN"/>
        </w:rPr>
        <w:t>对重大问题实行民主议事、民主决策和民主监督。</w:t>
      </w:r>
    </w:p>
    <w:p w14:paraId="027854F2">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强化合法性审查刚性约束。将合法性审查作为重大行政决策的必经程序和前置条件，明确未经合法性审查或审查不合格的，一律不得提交集体讨论。聘请法律顾问参与重大决策合法性审查工作，审核并修改各类合同、协议等涉法文件154份，有效防范了决策法律风险。</w:t>
      </w:r>
    </w:p>
    <w:p w14:paraId="2C15D779">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lang w:val="en-US" w:eastAsia="zh-CN"/>
        </w:rPr>
        <w:t>）强化依法履职，推进政务服务法治化提质增效</w:t>
      </w:r>
    </w:p>
    <w:p w14:paraId="215A7D94">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以擦亮“北京服务”品牌为抓手，持续深化体制机制改革，推动政府职能优化协同高效。</w:t>
      </w:r>
    </w:p>
    <w:p w14:paraId="23282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sz w:val="32"/>
          <w:szCs w:val="32"/>
          <w:lang w:val="en-US" w:eastAsia="zh-CN"/>
        </w:rPr>
        <w:t>1.民生服务持续优化，社会事业稳步发展。街道工委、办事处将“接诉即办”作为基层治理核心抓手，成立工作专班，以“高位统筹、闭环落实”搭建工作架构。</w:t>
      </w:r>
      <w:r>
        <w:rPr>
          <w:rFonts w:hint="default" w:ascii="Times New Roman" w:hAnsi="Times New Roman" w:eastAsia="仿宋_GB2312" w:cs="Times New Roman"/>
          <w:sz w:val="32"/>
          <w:szCs w:val="32"/>
          <w:lang w:eastAsia="zh-CN"/>
        </w:rPr>
        <w:t>街道主要领导牵头</w:t>
      </w:r>
      <w:r>
        <w:rPr>
          <w:rFonts w:hint="default" w:ascii="Times New Roman" w:hAnsi="Times New Roman" w:eastAsia="仿宋_GB2312" w:cs="Times New Roman"/>
          <w:sz w:val="32"/>
          <w:szCs w:val="32"/>
          <w:lang w:val="en-US" w:eastAsia="zh-CN"/>
        </w:rPr>
        <w:t>，将“五个亲自”要求贯穿问题处置全</w:t>
      </w:r>
      <w:r>
        <w:rPr>
          <w:rFonts w:hint="default" w:ascii="Times New Roman" w:hAnsi="Times New Roman" w:eastAsia="仿宋_GB2312" w:cs="Times New Roman"/>
          <w:sz w:val="32"/>
          <w:szCs w:val="32"/>
          <w:lang w:eastAsia="zh-CN"/>
        </w:rPr>
        <w:t>过</w:t>
      </w:r>
      <w:r>
        <w:rPr>
          <w:rFonts w:hint="default" w:ascii="Times New Roman" w:hAnsi="Times New Roman" w:eastAsia="仿宋_GB2312" w:cs="Times New Roman"/>
          <w:sz w:val="32"/>
          <w:szCs w:val="32"/>
          <w:lang w:val="en-US" w:eastAsia="zh-CN"/>
        </w:rPr>
        <w:t>程，层层压实责任，明晰权责、高效调度，确保群众诉求有人管、有人盯、有人办。构建多部门协同联动体系，实现“接诉即办”全链条、无断层落实，共接收案件6275件，诉求解决率达99.5%，群众满意率达99.2%。</w:t>
      </w:r>
      <w:r>
        <w:rPr>
          <w:rFonts w:hint="default" w:ascii="Times New Roman" w:hAnsi="Times New Roman" w:eastAsia="仿宋_GB2312" w:cs="Times New Roman"/>
          <w:color w:val="000000"/>
          <w:kern w:val="2"/>
          <w:sz w:val="32"/>
          <w:szCs w:val="32"/>
          <w:lang w:val="en-US" w:eastAsia="zh-CN" w:bidi="ar-SA"/>
        </w:rPr>
        <w:t>高质量推动充分就业工作，开展专场招聘会14场</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kern w:val="2"/>
          <w:sz w:val="32"/>
          <w:szCs w:val="32"/>
          <w:lang w:val="en-US" w:eastAsia="zh-CN" w:bidi="ar-SA"/>
        </w:rPr>
        <w:t>立足地区社会化退休人员需求，开展</w:t>
      </w:r>
      <w:r>
        <w:rPr>
          <w:rFonts w:hint="default" w:ascii="Times New Roman" w:hAnsi="Times New Roman" w:eastAsia="仿宋_GB2312" w:cs="Times New Roman"/>
          <w:b w:val="0"/>
          <w:bCs w:val="0"/>
          <w:sz w:val="32"/>
          <w:szCs w:val="32"/>
          <w:lang w:val="en-US" w:eastAsia="zh-CN"/>
        </w:rPr>
        <w:t>服务覆盖7000余人次，</w:t>
      </w:r>
      <w:r>
        <w:rPr>
          <w:rFonts w:hint="default" w:ascii="Times New Roman" w:hAnsi="Times New Roman" w:eastAsia="仿宋_GB2312" w:cs="Times New Roman"/>
          <w:color w:val="000000"/>
          <w:kern w:val="2"/>
          <w:sz w:val="32"/>
          <w:szCs w:val="32"/>
          <w:lang w:val="en-US" w:eastAsia="zh-CN" w:bidi="ar-SA"/>
        </w:rPr>
        <w:t>结合实际打造“乐享新桥”社会服务品牌</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精准推进社会救助工作，</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社救对象按时发放各类补助</w:t>
      </w:r>
      <w:r>
        <w:rPr>
          <w:rFonts w:hint="default" w:ascii="Times New Roman" w:hAnsi="Times New Roman" w:eastAsia="仿宋_GB2312" w:cs="Times New Roman"/>
          <w:b w:val="0"/>
          <w:bCs/>
          <w:color w:val="auto"/>
          <w:sz w:val="32"/>
          <w:szCs w:val="32"/>
          <w:shd w:val="clear" w:color="auto" w:fill="auto"/>
          <w:lang w:val="en-US" w:eastAsia="zh-CN"/>
        </w:rPr>
        <w:t>；</w:t>
      </w:r>
      <w:r>
        <w:rPr>
          <w:rFonts w:hint="default" w:ascii="Times New Roman" w:hAnsi="Times New Roman" w:eastAsia="仿宋_GB2312" w:cs="Times New Roman"/>
          <w:i w:val="0"/>
          <w:iCs w:val="0"/>
          <w:caps w:val="0"/>
          <w:color w:val="1F2329"/>
          <w:spacing w:val="0"/>
          <w:sz w:val="32"/>
          <w:szCs w:val="32"/>
          <w:shd w:val="clear" w:fill="FFFFFF"/>
        </w:rPr>
        <w:t>申请各类</w:t>
      </w:r>
      <w:r>
        <w:rPr>
          <w:rFonts w:hint="default" w:ascii="Times New Roman" w:hAnsi="Times New Roman" w:eastAsia="仿宋_GB2312" w:cs="Times New Roman"/>
          <w:i w:val="0"/>
          <w:iCs w:val="0"/>
          <w:caps w:val="0"/>
          <w:color w:val="1F2329"/>
          <w:spacing w:val="0"/>
          <w:sz w:val="32"/>
          <w:szCs w:val="32"/>
          <w:shd w:val="clear" w:fill="FFFFFF"/>
          <w:lang w:eastAsia="zh-CN"/>
        </w:rPr>
        <w:t>残疾人</w:t>
      </w:r>
      <w:r>
        <w:rPr>
          <w:rFonts w:hint="default" w:ascii="Times New Roman" w:hAnsi="Times New Roman" w:eastAsia="仿宋_GB2312" w:cs="Times New Roman"/>
          <w:i w:val="0"/>
          <w:iCs w:val="0"/>
          <w:caps w:val="0"/>
          <w:color w:val="1F2329"/>
          <w:spacing w:val="0"/>
          <w:sz w:val="32"/>
          <w:szCs w:val="32"/>
          <w:shd w:val="clear" w:fill="FFFFFF"/>
        </w:rPr>
        <w:t>辅助器具</w:t>
      </w:r>
      <w:r>
        <w:rPr>
          <w:rFonts w:hint="default" w:ascii="Times New Roman" w:hAnsi="Times New Roman" w:eastAsia="仿宋_GB2312" w:cs="Times New Roman"/>
          <w:i w:val="0"/>
          <w:iCs w:val="0"/>
          <w:caps w:val="0"/>
          <w:color w:val="1F2329"/>
          <w:spacing w:val="0"/>
          <w:sz w:val="32"/>
          <w:szCs w:val="32"/>
          <w:shd w:val="clear" w:fill="FFFFFF"/>
          <w:lang w:val="en-US" w:eastAsia="zh-CN"/>
        </w:rPr>
        <w:t>1001</w:t>
      </w:r>
      <w:r>
        <w:rPr>
          <w:rFonts w:hint="default" w:ascii="Times New Roman" w:hAnsi="Times New Roman" w:eastAsia="仿宋_GB2312" w:cs="Times New Roman"/>
          <w:i w:val="0"/>
          <w:iCs w:val="0"/>
          <w:caps w:val="0"/>
          <w:color w:val="1F2329"/>
          <w:spacing w:val="0"/>
          <w:sz w:val="32"/>
          <w:szCs w:val="32"/>
          <w:shd w:val="clear" w:fill="FFFFFF"/>
        </w:rPr>
        <w:t>件</w:t>
      </w:r>
      <w:r>
        <w:rPr>
          <w:rFonts w:hint="default" w:ascii="Times New Roman" w:hAnsi="Times New Roman" w:eastAsia="仿宋_GB2312" w:cs="Times New Roman"/>
          <w:i w:val="0"/>
          <w:iCs w:val="0"/>
          <w:caps w:val="0"/>
          <w:color w:val="1F2329"/>
          <w:spacing w:val="0"/>
          <w:sz w:val="32"/>
          <w:szCs w:val="32"/>
          <w:shd w:val="clear" w:fill="FFFFFF"/>
          <w:lang w:eastAsia="zh-CN"/>
        </w:rPr>
        <w:t>；组织实施</w:t>
      </w:r>
      <w:r>
        <w:rPr>
          <w:rFonts w:hint="default" w:ascii="Times New Roman" w:hAnsi="Times New Roman" w:eastAsia="仿宋_GB2312" w:cs="Times New Roman"/>
          <w:i w:val="0"/>
          <w:iCs w:val="0"/>
          <w:caps w:val="0"/>
          <w:color w:val="1F2329"/>
          <w:spacing w:val="0"/>
          <w:sz w:val="32"/>
          <w:szCs w:val="32"/>
          <w:shd w:val="clear" w:fill="FFFFFF"/>
          <w:lang w:val="en-US" w:eastAsia="zh-CN"/>
        </w:rPr>
        <w:t>2个</w:t>
      </w:r>
      <w:r>
        <w:rPr>
          <w:rFonts w:hint="default" w:ascii="Times New Roman" w:hAnsi="Times New Roman" w:eastAsia="仿宋_GB2312" w:cs="Times New Roman"/>
          <w:b w:val="0"/>
          <w:bCs/>
          <w:color w:val="auto"/>
          <w:sz w:val="32"/>
          <w:szCs w:val="32"/>
          <w:shd w:val="clear" w:color="auto" w:fill="auto"/>
          <w:lang w:val="en-US" w:eastAsia="zh-CN"/>
        </w:rPr>
        <w:t>慈善救助项目；</w:t>
      </w:r>
      <w:r>
        <w:rPr>
          <w:rFonts w:hint="default" w:ascii="Times New Roman" w:hAnsi="Times New Roman" w:eastAsia="仿宋_GB2312" w:cs="Times New Roman"/>
          <w:i w:val="0"/>
          <w:iCs w:val="0"/>
          <w:caps w:val="0"/>
          <w:color w:val="1F2329"/>
          <w:spacing w:val="0"/>
          <w:sz w:val="32"/>
          <w:szCs w:val="32"/>
          <w:shd w:val="clear" w:fill="FFFFFF"/>
        </w:rPr>
        <w:t>组织线下健康科普活动220场</w:t>
      </w:r>
      <w:r>
        <w:rPr>
          <w:rFonts w:hint="default" w:ascii="Times New Roman" w:hAnsi="Times New Roman" w:eastAsia="仿宋_GB2312" w:cs="Times New Roman"/>
          <w:i w:val="0"/>
          <w:iCs w:val="0"/>
          <w:caps w:val="0"/>
          <w:color w:val="1F2329"/>
          <w:spacing w:val="0"/>
          <w:sz w:val="32"/>
          <w:szCs w:val="32"/>
          <w:shd w:val="clear" w:fill="FFFFFF"/>
          <w:lang w:eastAsia="zh-CN"/>
        </w:rPr>
        <w:t>；</w:t>
      </w:r>
      <w:r>
        <w:rPr>
          <w:rFonts w:hint="default" w:ascii="Times New Roman" w:hAnsi="Times New Roman" w:eastAsia="仿宋_GB2312" w:cs="Times New Roman"/>
          <w:b w:val="0"/>
          <w:bCs/>
          <w:color w:val="auto"/>
          <w:sz w:val="32"/>
          <w:szCs w:val="32"/>
          <w:shd w:val="clear" w:color="auto" w:fill="auto"/>
          <w:lang w:val="en-US" w:eastAsia="zh-CN"/>
        </w:rPr>
        <w:t>擦亮“桥见・乐龄”养老服务品牌，开展</w:t>
      </w:r>
      <w:r>
        <w:rPr>
          <w:rFonts w:hint="default" w:ascii="Times New Roman" w:hAnsi="Times New Roman" w:eastAsia="仿宋_GB2312" w:cs="Times New Roman"/>
          <w:i w:val="0"/>
          <w:iCs w:val="0"/>
          <w:caps w:val="0"/>
          <w:color w:val="1F2329"/>
          <w:spacing w:val="0"/>
          <w:sz w:val="32"/>
          <w:szCs w:val="32"/>
          <w:shd w:val="clear" w:fill="FFFFFF"/>
          <w:lang w:val="en-US" w:eastAsia="zh-CN"/>
        </w:rPr>
        <w:t>养老</w:t>
      </w:r>
      <w:r>
        <w:rPr>
          <w:rFonts w:hint="default" w:ascii="Times New Roman" w:hAnsi="Times New Roman" w:eastAsia="仿宋_GB2312" w:cs="Times New Roman"/>
          <w:i w:val="0"/>
          <w:iCs w:val="0"/>
          <w:caps w:val="0"/>
          <w:color w:val="1F2329"/>
          <w:spacing w:val="0"/>
          <w:sz w:val="32"/>
          <w:szCs w:val="32"/>
          <w:shd w:val="clear" w:fill="FFFFFF"/>
        </w:rPr>
        <w:t>主题活动13场</w:t>
      </w:r>
      <w:r>
        <w:rPr>
          <w:rFonts w:hint="default" w:ascii="Times New Roman" w:hAnsi="Times New Roman" w:eastAsia="仿宋_GB2312" w:cs="Times New Roman"/>
          <w:i w:val="0"/>
          <w:iCs w:val="0"/>
          <w:caps w:val="0"/>
          <w:color w:val="1F2329"/>
          <w:spacing w:val="0"/>
          <w:sz w:val="32"/>
          <w:szCs w:val="32"/>
          <w:shd w:val="clear" w:fill="FFFFFF"/>
          <w:lang w:eastAsia="zh-CN"/>
        </w:rPr>
        <w:t>，</w:t>
      </w:r>
      <w:r>
        <w:rPr>
          <w:rFonts w:hint="default" w:ascii="Times New Roman" w:hAnsi="Times New Roman" w:eastAsia="仿宋_GB2312" w:cs="Times New Roman"/>
          <w:b w:val="0"/>
          <w:bCs/>
          <w:color w:val="auto"/>
          <w:sz w:val="32"/>
          <w:szCs w:val="32"/>
          <w:shd w:val="clear" w:color="auto" w:fill="auto"/>
          <w:lang w:val="en-US" w:eastAsia="zh-CN"/>
        </w:rPr>
        <w:t>拓展助餐、居家服务6.5万人次</w:t>
      </w:r>
      <w:r>
        <w:rPr>
          <w:rFonts w:hint="default" w:ascii="Times New Roman" w:hAnsi="Times New Roman" w:eastAsia="仿宋_GB2312" w:cs="Times New Roman"/>
          <w:i w:val="0"/>
          <w:iCs w:val="0"/>
          <w:caps w:val="0"/>
          <w:color w:val="1F2329"/>
          <w:spacing w:val="0"/>
          <w:sz w:val="32"/>
          <w:szCs w:val="32"/>
          <w:shd w:val="clear" w:fill="FFFFFF"/>
          <w:lang w:eastAsia="zh-CN"/>
        </w:rPr>
        <w:t>。</w:t>
      </w:r>
    </w:p>
    <w:p w14:paraId="1BCAC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val="en-US" w:eastAsia="zh-CN"/>
        </w:rPr>
        <w:t>经济发展提质增效，营商环境系统升级。深化企业服务，</w:t>
      </w:r>
      <w:r>
        <w:rPr>
          <w:rFonts w:hint="default" w:ascii="Times New Roman" w:hAnsi="Times New Roman" w:eastAsia="仿宋_GB2312" w:cs="Times New Roman"/>
          <w:b w:val="0"/>
          <w:bCs w:val="0"/>
          <w:color w:val="auto"/>
          <w:sz w:val="32"/>
          <w:szCs w:val="32"/>
          <w:lang w:val="en-US" w:eastAsia="zh-CN"/>
        </w:rPr>
        <w:t>全年走访重点企业1922家次，处理诉求300余个；整合特色资源打造“六香服务包”，为企业提供“招引-落地-服务-发展”全流程服务</w:t>
      </w:r>
      <w:r>
        <w:rPr>
          <w:rFonts w:hint="default" w:ascii="Times New Roman" w:hAnsi="Times New Roman" w:eastAsia="仿宋_GB2312" w:cs="Times New Roman"/>
          <w:b w:val="0"/>
          <w:bCs/>
          <w:color w:val="auto"/>
          <w:sz w:val="32"/>
          <w:szCs w:val="32"/>
          <w:shd w:val="clear" w:color="auto" w:fill="auto"/>
          <w:lang w:val="en-US" w:eastAsia="zh-CN"/>
        </w:rPr>
        <w:t>。举办</w:t>
      </w:r>
      <w:r>
        <w:rPr>
          <w:rFonts w:hint="default" w:ascii="Times New Roman" w:hAnsi="Times New Roman" w:eastAsia="仿宋_GB2312" w:cs="Times New Roman"/>
          <w:b w:val="0"/>
          <w:bCs w:val="0"/>
          <w:color w:val="auto"/>
          <w:sz w:val="32"/>
          <w:szCs w:val="32"/>
          <w:shd w:val="clear" w:color="auto" w:fill="auto"/>
          <w:lang w:val="en-US" w:eastAsia="zh-CN"/>
        </w:rPr>
        <w:t>第七届“簋街不夜节”，日均入店客流量近1.5万人次，“不夜节”抖音话题点击率破两千万</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b w:val="0"/>
          <w:bCs/>
          <w:color w:val="auto"/>
          <w:sz w:val="32"/>
          <w:szCs w:val="32"/>
          <w:shd w:val="clear" w:color="auto" w:fill="auto"/>
          <w:lang w:val="en-US" w:eastAsia="zh-CN"/>
        </w:rPr>
        <w:t>为京城的夜间经济注入澎湃活力。</w:t>
      </w:r>
    </w:p>
    <w:p w14:paraId="36835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40"/>
          <w:lang w:val="en-US" w:eastAsia="zh-CN"/>
        </w:rPr>
      </w:pPr>
      <w:r>
        <w:rPr>
          <w:rFonts w:hint="default" w:ascii="Times New Roman" w:hAnsi="Times New Roman" w:eastAsia="仿宋_GB2312" w:cs="Times New Roman"/>
          <w:sz w:val="32"/>
          <w:szCs w:val="32"/>
          <w:lang w:val="en-US" w:eastAsia="zh-CN"/>
        </w:rPr>
        <w:t>3.城市环境精细治理，功能品质全面提升。</w:t>
      </w:r>
      <w:r>
        <w:rPr>
          <w:rFonts w:hint="default" w:ascii="Times New Roman" w:hAnsi="Times New Roman" w:eastAsia="仿宋_GB2312" w:cs="Times New Roman"/>
          <w:b w:val="0"/>
          <w:bCs w:val="0"/>
          <w:color w:val="auto"/>
          <w:sz w:val="32"/>
          <w:szCs w:val="32"/>
          <w:lang w:val="en-US" w:eastAsia="zh-CN"/>
        </w:rPr>
        <w:t>综合整治老旧小区19个和背街小巷21条，完成电梯更新102部，修剪隐患树木707棵；推进育树停车楼拆除腾退，推动雍和宫大街申请式退租，完成腾退工作11户；为5处直管公房引入物业，完成城市家具治理191处；精准防治大气污染，构建全时域监管体系，PM2.5均值</w:t>
      </w:r>
      <w:r>
        <w:rPr>
          <w:rFonts w:hint="default" w:ascii="Times New Roman" w:hAnsi="Times New Roman" w:eastAsia="仿宋_GB2312" w:cs="Times New Roman"/>
          <w:b w:val="0"/>
          <w:bCs w:val="0"/>
          <w:color w:val="auto"/>
          <w:sz w:val="32"/>
          <w:szCs w:val="40"/>
          <w:lang w:val="en-US" w:eastAsia="zh-Hans"/>
        </w:rPr>
        <w:t>排名全区</w:t>
      </w:r>
      <w:r>
        <w:rPr>
          <w:rFonts w:hint="default" w:ascii="Times New Roman" w:hAnsi="Times New Roman" w:eastAsia="仿宋_GB2312" w:cs="Times New Roman"/>
          <w:b w:val="0"/>
          <w:bCs w:val="0"/>
          <w:color w:val="auto"/>
          <w:sz w:val="32"/>
          <w:szCs w:val="40"/>
          <w:lang w:val="en-US" w:eastAsia="zh-CN"/>
        </w:rPr>
        <w:t>靠前。</w:t>
      </w:r>
    </w:p>
    <w:p w14:paraId="287F8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shd w:val="clear" w:color="auto" w:fill="auto"/>
          <w:lang w:eastAsia="zh-CN"/>
        </w:rPr>
      </w:pPr>
      <w:r>
        <w:rPr>
          <w:rFonts w:hint="default" w:ascii="Times New Roman" w:hAnsi="Times New Roman" w:eastAsia="仿宋_GB2312" w:cs="Times New Roman"/>
          <w:sz w:val="32"/>
          <w:szCs w:val="32"/>
          <w:lang w:val="en-US" w:eastAsia="zh-CN"/>
        </w:rPr>
        <w:t>4.安全基础巩固强化，平安建设纵深</w:t>
      </w:r>
      <w:r>
        <w:rPr>
          <w:rFonts w:hint="default" w:ascii="Times New Roman" w:hAnsi="Times New Roman" w:eastAsia="仿宋_GB2312" w:cs="Times New Roman"/>
          <w:color w:val="auto"/>
          <w:sz w:val="32"/>
          <w:szCs w:val="32"/>
          <w:lang w:val="en-US" w:eastAsia="zh-CN"/>
        </w:rPr>
        <w:t>推进。通过</w:t>
      </w:r>
      <w:r>
        <w:rPr>
          <w:rFonts w:hint="default" w:ascii="Times New Roman" w:hAnsi="Times New Roman" w:eastAsia="仿宋_GB2312" w:cs="Times New Roman"/>
          <w:b w:val="0"/>
          <w:bCs w:val="0"/>
          <w:color w:val="auto"/>
          <w:spacing w:val="0"/>
          <w:sz w:val="32"/>
          <w:szCs w:val="32"/>
          <w:shd w:val="clear"/>
          <w:lang w:val="en-US" w:eastAsia="zh-CN"/>
        </w:rPr>
        <w:t>“企安安”数字化平台督促商户履行主体责任，实现</w:t>
      </w:r>
      <w:r>
        <w:rPr>
          <w:rFonts w:hint="default" w:ascii="Times New Roman" w:hAnsi="Times New Roman" w:eastAsia="仿宋_GB2312" w:cs="Times New Roman"/>
          <w:b w:val="0"/>
          <w:bCs w:val="0"/>
          <w:color w:val="auto"/>
          <w:sz w:val="32"/>
          <w:szCs w:val="32"/>
          <w:shd w:val="clear"/>
          <w:lang w:val="en-US" w:eastAsia="zh-CN"/>
        </w:rPr>
        <w:t>3792</w:t>
      </w:r>
      <w:r>
        <w:rPr>
          <w:rFonts w:hint="default" w:ascii="Times New Roman" w:hAnsi="Times New Roman" w:eastAsia="仿宋_GB2312" w:cs="Times New Roman"/>
          <w:b w:val="0"/>
          <w:bCs w:val="0"/>
          <w:color w:val="auto"/>
          <w:sz w:val="32"/>
          <w:szCs w:val="32"/>
          <w:shd w:val="clear"/>
        </w:rPr>
        <w:t>处动火作业报</w:t>
      </w:r>
      <w:r>
        <w:rPr>
          <w:rFonts w:hint="default" w:ascii="Times New Roman" w:hAnsi="Times New Roman" w:eastAsia="仿宋_GB2312" w:cs="Times New Roman"/>
          <w:b w:val="0"/>
          <w:bCs w:val="0"/>
          <w:color w:val="auto"/>
          <w:sz w:val="32"/>
          <w:szCs w:val="32"/>
          <w:shd w:val="clear" w:color="auto" w:fill="auto"/>
        </w:rPr>
        <w:t>备全覆盖</w:t>
      </w:r>
      <w:r>
        <w:rPr>
          <w:rFonts w:hint="default" w:ascii="Times New Roman" w:hAnsi="Times New Roman" w:eastAsia="仿宋_GB2312" w:cs="Times New Roman"/>
          <w:b w:val="0"/>
          <w:bCs w:val="0"/>
          <w:color w:val="auto"/>
          <w:spacing w:val="0"/>
          <w:sz w:val="32"/>
          <w:szCs w:val="32"/>
          <w:shd w:val="clear" w:color="auto" w:fill="auto"/>
          <w:lang w:val="en-US" w:eastAsia="zh-CN"/>
        </w:rPr>
        <w:t>；</w:t>
      </w:r>
      <w:r>
        <w:rPr>
          <w:rFonts w:hint="default" w:ascii="Times New Roman" w:hAnsi="Times New Roman" w:eastAsia="仿宋_GB2312" w:cs="Times New Roman"/>
          <w:b w:val="0"/>
          <w:bCs w:val="0"/>
          <w:color w:val="auto"/>
          <w:sz w:val="32"/>
          <w:szCs w:val="32"/>
          <w:lang w:val="en-US" w:eastAsia="zh-CN"/>
        </w:rPr>
        <w:t>开展煤改电内线抢修，消除隐患约300处；</w:t>
      </w:r>
      <w:r>
        <w:rPr>
          <w:rFonts w:hint="default" w:ascii="Times New Roman" w:hAnsi="Times New Roman" w:eastAsia="仿宋_GB2312" w:cs="Times New Roman"/>
          <w:b w:val="0"/>
          <w:bCs w:val="0"/>
          <w:color w:val="auto"/>
          <w:sz w:val="32"/>
          <w:szCs w:val="32"/>
          <w:shd w:val="clear" w:color="auto" w:fill="auto"/>
        </w:rPr>
        <w:t>清理</w:t>
      </w:r>
      <w:r>
        <w:rPr>
          <w:rFonts w:hint="default" w:ascii="Times New Roman" w:hAnsi="Times New Roman" w:eastAsia="仿宋_GB2312" w:cs="Times New Roman"/>
          <w:b w:val="0"/>
          <w:bCs w:val="0"/>
          <w:color w:val="auto"/>
          <w:kern w:val="2"/>
          <w:sz w:val="32"/>
          <w:szCs w:val="32"/>
          <w:shd w:val="clear" w:color="auto" w:fill="auto"/>
          <w:lang w:val="en-US" w:eastAsia="zh-CN" w:bidi="ar-SA"/>
        </w:rPr>
        <w:t>易</w:t>
      </w:r>
      <w:r>
        <w:rPr>
          <w:rFonts w:hint="default" w:ascii="Times New Roman" w:hAnsi="Times New Roman" w:eastAsia="仿宋_GB2312" w:cs="Times New Roman"/>
          <w:b w:val="0"/>
          <w:bCs w:val="0"/>
          <w:color w:val="auto"/>
          <w:sz w:val="32"/>
          <w:szCs w:val="32"/>
          <w:shd w:val="clear" w:color="auto" w:fill="auto"/>
        </w:rPr>
        <w:t>燃物</w:t>
      </w:r>
      <w:r>
        <w:rPr>
          <w:rFonts w:hint="default" w:ascii="Times New Roman" w:hAnsi="Times New Roman" w:eastAsia="仿宋_GB2312" w:cs="Times New Roman"/>
          <w:b w:val="0"/>
          <w:bCs w:val="0"/>
          <w:color w:val="auto"/>
          <w:kern w:val="2"/>
          <w:sz w:val="32"/>
          <w:szCs w:val="32"/>
          <w:shd w:val="clear" w:color="auto" w:fill="auto"/>
          <w:lang w:val="en-US" w:eastAsia="zh-CN" w:bidi="ar-SA"/>
        </w:rPr>
        <w:t>1931</w:t>
      </w:r>
      <w:r>
        <w:rPr>
          <w:rFonts w:hint="default" w:ascii="Times New Roman" w:hAnsi="Times New Roman" w:eastAsia="仿宋_GB2312" w:cs="Times New Roman"/>
          <w:b w:val="0"/>
          <w:bCs w:val="0"/>
          <w:color w:val="auto"/>
          <w:sz w:val="32"/>
          <w:szCs w:val="32"/>
          <w:shd w:val="clear" w:color="auto" w:fill="auto"/>
        </w:rPr>
        <w:t>处</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b w:val="0"/>
          <w:bCs w:val="0"/>
          <w:color w:val="auto"/>
          <w:spacing w:val="0"/>
          <w:sz w:val="32"/>
          <w:szCs w:val="32"/>
          <w:shd w:val="clear" w:color="auto" w:fill="auto"/>
          <w:lang w:val="en-US" w:eastAsia="zh-CN"/>
        </w:rPr>
        <w:t>建立消防重点关爱人群台账1315人；</w:t>
      </w:r>
      <w:r>
        <w:rPr>
          <w:rFonts w:hint="default" w:ascii="Times New Roman" w:hAnsi="Times New Roman" w:eastAsia="仿宋_GB2312" w:cs="Times New Roman"/>
          <w:b w:val="0"/>
          <w:bCs w:val="0"/>
          <w:color w:val="auto"/>
          <w:sz w:val="32"/>
          <w:szCs w:val="40"/>
          <w:shd w:val="clear" w:color="auto" w:fill="auto"/>
          <w:lang w:val="en-US" w:eastAsia="zh-CN"/>
        </w:rPr>
        <w:t>检测电动自行车电池9625块；</w:t>
      </w:r>
      <w:r>
        <w:rPr>
          <w:rFonts w:hint="default" w:ascii="Times New Roman" w:hAnsi="Times New Roman" w:eastAsia="仿宋_GB2312" w:cs="Times New Roman"/>
          <w:b w:val="0"/>
          <w:bCs w:val="0"/>
          <w:color w:val="auto"/>
          <w:sz w:val="32"/>
          <w:szCs w:val="32"/>
          <w:shd w:val="clear" w:color="auto" w:fill="auto"/>
          <w:lang w:val="en-US" w:eastAsia="zh-CN"/>
        </w:rPr>
        <w:t>汛期</w:t>
      </w:r>
      <w:r>
        <w:rPr>
          <w:rFonts w:hint="default" w:ascii="Times New Roman" w:hAnsi="Times New Roman" w:eastAsia="仿宋_GB2312" w:cs="Times New Roman"/>
          <w:b w:val="0"/>
          <w:bCs w:val="0"/>
          <w:color w:val="auto"/>
          <w:sz w:val="32"/>
          <w:szCs w:val="32"/>
          <w:shd w:val="clear" w:color="auto" w:fill="auto"/>
          <w:lang w:eastAsia="zh-CN"/>
        </w:rPr>
        <w:t>累计转移群众596人次，抢修房屋55处</w:t>
      </w:r>
      <w:bookmarkStart w:id="5" w:name="OLE_LINK5"/>
      <w:r>
        <w:rPr>
          <w:rFonts w:hint="default" w:ascii="Times New Roman" w:hAnsi="Times New Roman" w:eastAsia="仿宋_GB2312" w:cs="Times New Roman"/>
          <w:b w:val="0"/>
          <w:bCs w:val="0"/>
          <w:color w:val="auto"/>
          <w:sz w:val="32"/>
          <w:szCs w:val="32"/>
          <w:shd w:val="clear" w:color="auto" w:fill="auto"/>
          <w:lang w:eastAsia="zh-CN"/>
        </w:rPr>
        <w:t>。</w:t>
      </w:r>
    </w:p>
    <w:bookmarkEnd w:id="5"/>
    <w:p w14:paraId="7F94D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w:t>
      </w:r>
      <w:bookmarkStart w:id="6" w:name="OLE_LINK6"/>
      <w:r>
        <w:rPr>
          <w:rFonts w:hint="default" w:ascii="Times New Roman" w:hAnsi="Times New Roman" w:eastAsia="楷体_GB2312" w:cs="Times New Roman"/>
          <w:sz w:val="32"/>
          <w:szCs w:val="32"/>
          <w:lang w:val="en-US" w:eastAsia="zh-CN"/>
        </w:rPr>
        <w:t>规范执法效能，提升依法行政能力和公信力</w:t>
      </w:r>
    </w:p>
    <w:p w14:paraId="2C0C2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抓实执法制度执行。严格落实《北京市行政执法监督办法》及提升行政执法质量三年行动计划要求，结合街道实际细化任务清单、责任分工与时限节点，确保制度落地。围绕执法实践中难点问题，多次开展专题业务培训，持续提升执法能力。</w:t>
      </w:r>
    </w:p>
    <w:p w14:paraId="5E242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2.强化日常监督与专项治理协同。日常监督中，严格执法人员资格管理，组织4人</w:t>
      </w:r>
      <w:r>
        <w:rPr>
          <w:rFonts w:hint="default" w:ascii="Times New Roman" w:hAnsi="Times New Roman" w:eastAsia="仿宋_GB2312" w:cs="Times New Roman"/>
          <w:sz w:val="32"/>
          <w:szCs w:val="32"/>
          <w:lang w:eastAsia="zh-CN"/>
        </w:rPr>
        <w:t>参加并</w:t>
      </w:r>
      <w:r>
        <w:rPr>
          <w:rFonts w:hint="default" w:ascii="Times New Roman" w:hAnsi="Times New Roman" w:eastAsia="仿宋_GB2312" w:cs="Times New Roman"/>
          <w:sz w:val="32"/>
          <w:szCs w:val="32"/>
          <w:lang w:val="en-US" w:eastAsia="zh-CN"/>
        </w:rPr>
        <w:t>通过行政执法资格考试；累计编发月度执法数据简报12期，</w:t>
      </w:r>
      <w:r>
        <w:rPr>
          <w:rFonts w:hint="default" w:ascii="Times New Roman" w:hAnsi="Times New Roman" w:eastAsia="仿宋_GB2312" w:cs="Times New Roman"/>
          <w:sz w:val="32"/>
          <w:szCs w:val="32"/>
          <w:lang w:eastAsia="zh-CN"/>
        </w:rPr>
        <w:t>每季度</w:t>
      </w:r>
      <w:r>
        <w:rPr>
          <w:rFonts w:hint="default" w:ascii="Times New Roman" w:hAnsi="Times New Roman" w:eastAsia="仿宋_GB2312" w:cs="Times New Roman"/>
          <w:sz w:val="32"/>
          <w:szCs w:val="32"/>
          <w:lang w:val="en-US" w:eastAsia="zh-CN"/>
        </w:rPr>
        <w:t>开展1</w:t>
      </w:r>
      <w:r>
        <w:rPr>
          <w:rFonts w:hint="default" w:ascii="Times New Roman" w:hAnsi="Times New Roman" w:eastAsia="仿宋_GB2312" w:cs="Times New Roman"/>
          <w:sz w:val="32"/>
          <w:szCs w:val="32"/>
          <w:lang w:eastAsia="zh-CN"/>
        </w:rPr>
        <w:t>次</w:t>
      </w:r>
      <w:r>
        <w:rPr>
          <w:rFonts w:hint="default" w:ascii="Times New Roman" w:hAnsi="Times New Roman" w:eastAsia="仿宋_GB2312" w:cs="Times New Roman"/>
          <w:sz w:val="32"/>
          <w:szCs w:val="32"/>
          <w:lang w:val="en-US" w:eastAsia="zh-CN"/>
        </w:rPr>
        <w:t>案卷评查，推进行政执法规范化。专项治理方面，聚焦执法规范与营商环境，自4月起开展趋利性执法及“四乱”问题整治，成立领导小组与工作专班，通过领导调度、纪工委监督、自查自纠及系列培训，推动执法作风与能力提升。同步建立长效机制，将有效做法固化为制度，推动执法工作向常态化治理转型。</w:t>
      </w:r>
    </w:p>
    <w:p w14:paraId="33280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sz w:val="32"/>
          <w:szCs w:val="32"/>
          <w:lang w:val="en-US" w:eastAsia="zh-CN"/>
        </w:rPr>
        <w:t>推进执法规范化提质增效。围绕市容环境、垃圾分类、环境保护等重点领域，开展检查6887次，办结行政处罚案件809</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lang w:val="en-US" w:eastAsia="zh-CN"/>
        </w:rPr>
        <w:t>，拆除存量违建5305.91平方米，公示执法信息40余条，有效维护辖区秩序与环境。</w:t>
      </w:r>
    </w:p>
    <w:bookmarkEnd w:id="6"/>
    <w:p w14:paraId="1C3B1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7" w:name="OLE_LINK9"/>
      <w:r>
        <w:rPr>
          <w:rFonts w:hint="default" w:ascii="Times New Roman" w:hAnsi="Times New Roman" w:eastAsia="楷体_GB2312" w:cs="Times New Roman"/>
          <w:sz w:val="32"/>
          <w:szCs w:val="32"/>
          <w:lang w:val="en-US" w:eastAsia="zh-CN"/>
        </w:rPr>
        <w:t>（五）健全化解体系，筑牢辖区和谐稳定法治防线</w:t>
      </w:r>
    </w:p>
    <w:bookmarkEnd w:id="7"/>
    <w:p w14:paraId="2F43B37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b w:val="0"/>
          <w:bCs w:val="0"/>
          <w:sz w:val="32"/>
          <w:szCs w:val="32"/>
          <w:shd w:val="clear" w:color="auto" w:fill="auto"/>
          <w:lang w:val="en-US" w:eastAsia="zh-CN"/>
        </w:rPr>
        <w:t>1.</w:t>
      </w:r>
      <w:r>
        <w:rPr>
          <w:rFonts w:hint="default" w:ascii="Times New Roman" w:hAnsi="Times New Roman" w:eastAsia="仿宋_GB2312" w:cs="Times New Roman"/>
          <w:sz w:val="32"/>
          <w:szCs w:val="32"/>
          <w:shd w:val="clear" w:color="auto" w:fill="auto"/>
          <w:lang w:val="en-US" w:eastAsia="zh-CN"/>
        </w:rPr>
        <w:t>建强基层调解网络。完成专职人民调解员选聘，强化队伍专业化建设；组织全员参加区级培训，面向社区工作者开展《</w:t>
      </w:r>
      <w:r>
        <w:rPr>
          <w:rFonts w:hint="eastAsia" w:eastAsia="仿宋_GB2312" w:cs="Times New Roman"/>
          <w:sz w:val="32"/>
          <w:szCs w:val="32"/>
          <w:shd w:val="clear" w:color="auto" w:fill="auto"/>
          <w:lang w:val="en-US" w:eastAsia="zh-CN"/>
        </w:rPr>
        <w:t>中华人民共和国人民调解法</w:t>
      </w:r>
      <w:r>
        <w:rPr>
          <w:rFonts w:hint="default" w:ascii="Times New Roman" w:hAnsi="Times New Roman" w:eastAsia="仿宋_GB2312" w:cs="Times New Roman"/>
          <w:sz w:val="32"/>
          <w:szCs w:val="32"/>
          <w:shd w:val="clear" w:color="auto" w:fill="auto"/>
          <w:lang w:val="en-US" w:eastAsia="zh-CN"/>
        </w:rPr>
        <w:t>》专题讲解，提升法律适用与矛盾调处能力。充分发挥社区法律顾问作用，通过咨询、普法、参与调解等方式助力基层解纷。</w:t>
      </w:r>
    </w:p>
    <w:p w14:paraId="76677E16">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shd w:val="clear" w:color="auto" w:fill="auto"/>
          <w:lang w:val="en-US" w:eastAsia="zh-CN"/>
        </w:rPr>
        <w:t>深化矛盾纠纷排查化解。坚持和发展新时代“枫桥经验”，以强化调解能力建设为基础，以源头预防和前端化解为重点，积极构建多元共治的矛盾纠纷调处格局，有效筑牢基层社会稳定防线。坚持情、理、法结合，推动矛盾纠纷与心理疏导同步化解，努力实现“事心双解”。依托“情满九道湾”综治机制，累计接待法律咨询800余小时，排查纠纷2347次，成功调解172件，切实将矛盾纠纷化解在萌芽状态。</w:t>
      </w:r>
    </w:p>
    <w:p w14:paraId="54C49AB6">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3.</w:t>
      </w:r>
      <w:bookmarkEnd w:id="3"/>
      <w:bookmarkEnd w:id="4"/>
      <w:r>
        <w:rPr>
          <w:rFonts w:hint="default" w:ascii="Times New Roman" w:hAnsi="Times New Roman" w:eastAsia="仿宋_GB2312" w:cs="Times New Roman"/>
          <w:sz w:val="32"/>
          <w:szCs w:val="32"/>
          <w:shd w:val="clear" w:color="auto" w:fill="auto"/>
          <w:lang w:val="en-US" w:eastAsia="zh-CN"/>
        </w:rPr>
        <w:t>推动行政争议实质化解。通过规范案件答辩与加强沟通协调相结合，不断提升行政复议与应诉工作的质量和效率。共办理行政复议案件11起，已审结8起，其余案件正在依法审理中；办理行政诉讼案件3起、民事诉讼案件2起。在依法维护街道合法权益的同时，有力促进了行政争议的实质性化解。</w:t>
      </w:r>
    </w:p>
    <w:p w14:paraId="4747A1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2025</w:t>
      </w:r>
      <w:r>
        <w:rPr>
          <w:rFonts w:hint="default" w:ascii="Times New Roman" w:hAnsi="Times New Roman" w:eastAsia="黑体" w:cs="Times New Roman"/>
          <w:sz w:val="32"/>
          <w:szCs w:val="32"/>
        </w:rPr>
        <w:t>年推进法治政府建设存在的不足和原因</w:t>
      </w:r>
    </w:p>
    <w:p w14:paraId="60C694A9">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sz w:val="32"/>
          <w:szCs w:val="32"/>
          <w:shd w:val="clear" w:color="auto" w:fill="auto"/>
          <w:lang w:val="en-US" w:eastAsia="zh-CN"/>
        </w:rPr>
      </w:pPr>
      <w:bookmarkStart w:id="8" w:name="OLE_LINK8"/>
      <w:r>
        <w:rPr>
          <w:rFonts w:hint="default" w:ascii="Times New Roman" w:hAnsi="Times New Roman" w:eastAsia="仿宋_GB2312" w:cs="Times New Roman"/>
          <w:sz w:val="32"/>
          <w:szCs w:val="32"/>
          <w:shd w:val="clear" w:color="auto" w:fill="auto"/>
          <w:lang w:val="en-US" w:eastAsia="zh-CN"/>
        </w:rPr>
        <w:t>一是行政执法规范化水平有待进一步提升。工学矛盾仍然</w:t>
      </w:r>
      <w:r>
        <w:rPr>
          <w:rFonts w:hint="default" w:ascii="Times New Roman" w:hAnsi="Times New Roman" w:eastAsia="仿宋_GB2312" w:cs="Times New Roman"/>
          <w:sz w:val="32"/>
          <w:szCs w:val="32"/>
          <w:shd w:val="clear" w:color="auto" w:fill="auto"/>
          <w:lang w:eastAsia="zh-CN"/>
        </w:rPr>
        <w:t>突出，</w:t>
      </w:r>
      <w:r>
        <w:rPr>
          <w:rFonts w:hint="default" w:ascii="Times New Roman" w:hAnsi="Times New Roman" w:eastAsia="仿宋_GB2312" w:cs="Times New Roman"/>
          <w:sz w:val="32"/>
          <w:szCs w:val="32"/>
          <w:shd w:val="clear" w:color="auto" w:fill="auto"/>
          <w:lang w:val="en-US" w:eastAsia="zh-CN"/>
        </w:rPr>
        <w:t>部分人员对法律法规及执法规范的学习掌握不够及时、全面和深入，业务能力有待加强；程序与证据意识有待提升，存在“重结果、轻程序”的倾向，调查取证不够扎实，执法全过程记录不够细致；行政执法案卷制作规范化、精细化水平不高，重视程度和标准落实有待加强。</w:t>
      </w:r>
    </w:p>
    <w:p w14:paraId="16743827">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二是“谁执法谁普法”责任落实仍有差距。</w:t>
      </w:r>
      <w:r>
        <w:rPr>
          <w:rFonts w:hint="default" w:ascii="Times New Roman" w:hAnsi="Times New Roman" w:eastAsia="仿宋_GB2312" w:cs="Times New Roman"/>
          <w:sz w:val="32"/>
          <w:szCs w:val="32"/>
          <w:shd w:val="clear" w:color="auto" w:fill="auto"/>
          <w:lang w:eastAsia="zh-CN"/>
        </w:rPr>
        <w:t>部分</w:t>
      </w:r>
      <w:r>
        <w:rPr>
          <w:rFonts w:hint="default" w:ascii="Times New Roman" w:hAnsi="Times New Roman" w:eastAsia="仿宋_GB2312" w:cs="Times New Roman"/>
          <w:sz w:val="32"/>
          <w:szCs w:val="32"/>
          <w:shd w:val="clear" w:color="auto" w:fill="auto"/>
          <w:lang w:val="en-US" w:eastAsia="zh-CN"/>
        </w:rPr>
        <w:t>工作人员对普法工作重要性认识不足、责任意识不强，在实际执法和管理服务过程中主动释法说理的意愿与能力均有欠缺，未能有效向群众阐释法律法规和政策依据，导致群众对相关工作理解不深、配合不够，甚至引发不必要的误解与对立情绪，不利于构建和谐互信的干群关系。</w:t>
      </w:r>
    </w:p>
    <w:bookmarkEnd w:id="8"/>
    <w:p w14:paraId="7C9130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三是行政执法监督效能有待加强。监督方式相对单一，全方位、全流程、常态化、长效化监督尚不到位。行政执法内部逐级审核责任未能完全压实，案卷评查的发现问题和推动整改的实效性不强，对疑难复杂案件的预判研判和依法应对能力尚有不足；运用法治思维和群众工作方法从源头预防、化解争议的水平仍需提升。</w:t>
      </w:r>
    </w:p>
    <w:p w14:paraId="4D0AC26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2025年党政主要负责人履行推进法治建设第一责任人职责，加强法治政府建设的有关情况</w:t>
      </w:r>
    </w:p>
    <w:p w14:paraId="6CF35692">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北新桥街道党政主要负责人深入贯彻习近平法治思想，严格落实法治建设第一责任人职责，将法治建设融入基层治理全过程、各方面，以高水平法治政府建设护航辖区经济社会高质量发展。通过“重要工作亲自部署、重大问题亲自过问、重点环节亲自协调、重要任务亲自督办”，推动法治政府建设各项任务落地见效，辖区法治化治理水平显著提升。</w:t>
      </w:r>
    </w:p>
    <w:p w14:paraId="6899B296">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一是强化统筹引领，压实法治责任。坚持党对法治政府建设的全面领导，将法治深度融入街道总体规划和年度重点任务，与中心工作同部署、同推进、同考核。严格落实《法治政府建设实施纲要（2021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2025年）》及市、区相关部署，确保各项工作依法依规开展。健全“主要领导负责、分管领导主抓、部门协同落实”责任体系，</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lang w:val="en-US" w:eastAsia="zh-CN"/>
        </w:rPr>
        <w:t>工委会议定期研究法治工作、听取专题汇报，保障重大决策合法合规、重大风险依法防控。</w:t>
      </w:r>
    </w:p>
    <w:p w14:paraId="5817F513">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坚持系统推进，深化法治实践。以习近平法治思想为指导，围绕街道基层治理、民生服务、平安建设、城市管理等核心职能，全面落实区政府年度法治建设重点任务。将习近平法治思想纳入干部学习培训计划，开展专题教育，提升队伍法治素养。严格执行重大行政决策程序，落实合法性审查与风险评估机制，充分发挥法律顾问和公职律师作用，从源头上防范法律风险。推动法治融入矛盾纠纷化解、民生保障、安全生产、老旧小区改造等重点领域，促进法治建设与基层治理深度融合，切实把法治优势转化为治理效能。</w:t>
      </w:r>
    </w:p>
    <w:p w14:paraId="37366803">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三是自觉接受监督，提升治理公信。主动接受人大法律监督与政协民主监督，</w:t>
      </w:r>
      <w:r>
        <w:rPr>
          <w:rFonts w:hint="default" w:ascii="Times New Roman" w:hAnsi="Times New Roman" w:eastAsia="仿宋_GB2312" w:cs="Times New Roman"/>
          <w:sz w:val="32"/>
          <w:szCs w:val="32"/>
          <w:lang w:eastAsia="zh-CN"/>
        </w:rPr>
        <w:t>自</w:t>
      </w:r>
      <w:bookmarkStart w:id="9" w:name="_GoBack"/>
      <w:r>
        <w:rPr>
          <w:rFonts w:hint="default" w:ascii="Times New Roman" w:hAnsi="Times New Roman" w:eastAsia="仿宋_GB2312" w:cs="Times New Roman"/>
          <w:sz w:val="32"/>
          <w:szCs w:val="32"/>
          <w:lang w:eastAsia="zh-CN"/>
        </w:rPr>
        <w:t>觉</w:t>
      </w:r>
      <w:r>
        <w:rPr>
          <w:rFonts w:hint="eastAsia" w:eastAsia="仿宋_GB2312" w:cs="Times New Roman"/>
          <w:sz w:val="32"/>
          <w:szCs w:val="32"/>
          <w:lang w:eastAsia="zh-CN"/>
        </w:rPr>
        <w:t>接受</w:t>
      </w:r>
      <w:r>
        <w:rPr>
          <w:rFonts w:hint="default" w:ascii="Times New Roman" w:hAnsi="Times New Roman" w:eastAsia="仿宋_GB2312" w:cs="Times New Roman"/>
          <w:sz w:val="32"/>
          <w:szCs w:val="32"/>
          <w:lang w:eastAsia="zh-CN"/>
        </w:rPr>
        <w:t>财</w:t>
      </w:r>
      <w:bookmarkEnd w:id="9"/>
      <w:r>
        <w:rPr>
          <w:rFonts w:hint="default" w:ascii="Times New Roman" w:hAnsi="Times New Roman" w:eastAsia="仿宋_GB2312" w:cs="Times New Roman"/>
          <w:sz w:val="32"/>
          <w:szCs w:val="32"/>
          <w:lang w:eastAsia="zh-CN"/>
        </w:rPr>
        <w:t>政监督、审计监督和统计监督</w:t>
      </w:r>
      <w:r>
        <w:rPr>
          <w:rFonts w:hint="default" w:ascii="Times New Roman" w:hAnsi="Times New Roman" w:eastAsia="仿宋_GB2312" w:cs="Times New Roman"/>
          <w:sz w:val="32"/>
          <w:szCs w:val="32"/>
          <w:lang w:val="en-US" w:eastAsia="zh-CN"/>
        </w:rPr>
        <w:t>，高质量办理人大代表建议和政协委员提案。深化“接诉即办”机制，推动工作模式从被动响应向主动治理、未诉先办转变。完善信访依法处置全链条，引导群众通过法定途径理性维权。</w:t>
      </w:r>
      <w:r>
        <w:rPr>
          <w:rFonts w:hint="default" w:ascii="Times New Roman" w:hAnsi="Times New Roman" w:eastAsia="仿宋_GB2312" w:cs="Times New Roman"/>
          <w:sz w:val="32"/>
          <w:szCs w:val="32"/>
          <w:lang w:eastAsia="zh-CN"/>
        </w:rPr>
        <w:t>加大行政机关负责人出庭应诉力度，实现“应出尽出”。支持和配合检察机关开展行政诉讼监督和行政公益诉讼，主动接受、配合</w:t>
      </w:r>
      <w:r>
        <w:rPr>
          <w:rFonts w:hint="eastAsia" w:eastAsia="仿宋_GB2312" w:cs="Times New Roman"/>
          <w:sz w:val="32"/>
          <w:szCs w:val="32"/>
          <w:lang w:eastAsia="zh-CN"/>
        </w:rPr>
        <w:t>纪检监察机关</w:t>
      </w:r>
      <w:r>
        <w:rPr>
          <w:rFonts w:hint="default" w:ascii="Times New Roman" w:hAnsi="Times New Roman" w:eastAsia="仿宋_GB2312" w:cs="Times New Roman"/>
          <w:sz w:val="32"/>
          <w:szCs w:val="32"/>
          <w:lang w:eastAsia="zh-CN"/>
        </w:rPr>
        <w:t>开展监督。</w:t>
      </w:r>
      <w:r>
        <w:rPr>
          <w:rFonts w:hint="default" w:ascii="Times New Roman" w:hAnsi="Times New Roman" w:eastAsia="仿宋_GB2312" w:cs="Times New Roman"/>
          <w:sz w:val="32"/>
          <w:szCs w:val="32"/>
          <w:lang w:val="en-US" w:eastAsia="zh-CN"/>
        </w:rPr>
        <w:t>坚持以公开促规范、以公开促公信，依托“数字东城”等平台，依法及时公开政务信息，规范办理政府信息公开申请，以透明赢得信任，以公开提升公信。</w:t>
      </w:r>
    </w:p>
    <w:p w14:paraId="6857AA5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2026年推进法治政府建设的主要安排</w:t>
      </w:r>
    </w:p>
    <w:p w14:paraId="425E087C">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2026年，北新桥</w:t>
      </w:r>
      <w:r>
        <w:rPr>
          <w:rFonts w:hint="eastAsia" w:eastAsia="仿宋_GB2312" w:cs="Times New Roman"/>
          <w:kern w:val="2"/>
          <w:sz w:val="32"/>
          <w:szCs w:val="32"/>
          <w:lang w:val="en-US" w:eastAsia="zh-CN" w:bidi="ar-SA"/>
        </w:rPr>
        <w:t>街道将持续</w:t>
      </w:r>
      <w:r>
        <w:rPr>
          <w:rFonts w:hint="default" w:ascii="Times New Roman" w:hAnsi="Times New Roman" w:eastAsia="仿宋_GB2312" w:cs="Times New Roman"/>
          <w:kern w:val="2"/>
          <w:sz w:val="32"/>
          <w:szCs w:val="32"/>
          <w:lang w:val="en-US" w:eastAsia="zh-CN" w:bidi="ar-SA"/>
        </w:rPr>
        <w:t>巩固法治政府建设成果，聚焦工作中存在的不足，以精准施策补短板、靶向发力强弱项、提质增效促提升为抓手，不断提升法治政府建设水平，为推进辖区治理体系和治理能力现代化、建设国际一流的和谐宜居之都贡献基层力量。</w:t>
      </w:r>
    </w:p>
    <w:p w14:paraId="09CB6017">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聚焦强基固本，提升行政执法队伍能力和水平。配齐配强综合行政执法队和司法所力量，人员招录向法律、法学专业倾斜，规范建立新入职人员岗前培训制度。鼓励符合条件的干部参加法律职业资格考试，持续扩充专业人才储备。围绕调查取证、程序履行、文书制作、出庭应诉等薄弱环节，常态化开展专题培训，邀请司法局和法院专家及业务骨干授课，选派执法骨干赴先进</w:t>
      </w:r>
      <w:r>
        <w:rPr>
          <w:rFonts w:hint="default" w:ascii="Times New Roman" w:hAnsi="Times New Roman" w:eastAsia="仿宋_GB2312" w:cs="Times New Roman"/>
          <w:kern w:val="2"/>
          <w:sz w:val="32"/>
          <w:szCs w:val="32"/>
          <w:lang w:eastAsia="zh-CN" w:bidi="ar-SA"/>
        </w:rPr>
        <w:t>街道</w:t>
      </w:r>
      <w:r>
        <w:rPr>
          <w:rFonts w:hint="default" w:ascii="Times New Roman" w:hAnsi="Times New Roman" w:eastAsia="仿宋_GB2312" w:cs="Times New Roman"/>
          <w:kern w:val="2"/>
          <w:sz w:val="32"/>
          <w:szCs w:val="32"/>
          <w:lang w:val="en-US" w:eastAsia="zh-CN" w:bidi="ar-SA"/>
        </w:rPr>
        <w:t>学习经验。系统梳理并动态更新《行政执法参考手册》，细化执法流程与操作指引，为执法一线提供明确规范。主动对接区司法局、区城管执法局等上级部门，在政策解读、复杂案件指导、人员培训等方面争取支持，全面提升队伍专业素养与实战能力。</w:t>
      </w:r>
    </w:p>
    <w:p w14:paraId="0956ECD7">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聚焦为民导向，推动执法与普法深度融合。严格落实“谁执法谁普法”责任制，将政策解读与法律释明贯穿执法全过程；开展靶向普法，增强针对性和实效性；积极推行“说理式执法”，提升执法透明度和说服力。坚持处罚与教育相结合，对情节轻微、未造成危害后果的违法行为，依法适用首违不罚、轻微免罚，体现执法温度。着力推动执法理念从“管理”向“服务”转变，在严格规范公正文明执法中传递法治温度，切实提升群众认同感和配合度。</w:t>
      </w:r>
    </w:p>
    <w:p w14:paraId="28D7011C">
      <w:pPr>
        <w:pStyle w:val="11"/>
        <w:keepNext w:val="0"/>
        <w:keepLines w:val="0"/>
        <w:pageBreakBefore w:val="0"/>
        <w:widowControl w:val="0"/>
        <w:kinsoku/>
        <w:wordWrap/>
        <w:overflowPunct/>
        <w:topLinePunct w:val="0"/>
        <w:autoSpaceDE w:val="0"/>
        <w:autoSpaceDN w:val="0"/>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是聚焦监督问责，增强行政执法监督效能。完善执法内控机制，全面推行复杂案件集体研讨制度，切实保障程序合法与证据链完整。严格落实《行政执法监督条例》，由司法所牵头组织，每月对办结的普通程序案卷开展集中评查，重点围绕证据充分性、裁量适当性等关键环节，逐步扩大评查覆盖面，推动实现普通程序案件应评尽评。加强对行政执法工作的指导，通过政策解读、问题答复、典型案例发布等方式，提升执法实操能力。建立执法数据月报与风险预警机制，对工作中出现的苗头性、倾向性问题，做到早发现、早提示、早处置，有效防范执法风险。健全生效复议决定与司法判决的执行联动机制，对败诉及被纠错案件实行台账管理、专项剖析和限期整改，并及时向街道工委汇报整改进展。加强与监察监督的贯通协同，完善信息共享和线索移送机制，形成监督合力。</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DC7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F3369">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3F336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0C172"/>
    <w:multiLevelType w:val="singleLevel"/>
    <w:tmpl w:val="5FC0C17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6D0E"/>
    <w:rsid w:val="002D250F"/>
    <w:rsid w:val="01B2631A"/>
    <w:rsid w:val="023B2D6C"/>
    <w:rsid w:val="05777F14"/>
    <w:rsid w:val="06322B9C"/>
    <w:rsid w:val="06DA3D30"/>
    <w:rsid w:val="0797610D"/>
    <w:rsid w:val="08385744"/>
    <w:rsid w:val="09A11444"/>
    <w:rsid w:val="0BE7F4E6"/>
    <w:rsid w:val="0FB6F720"/>
    <w:rsid w:val="101E175D"/>
    <w:rsid w:val="107F6E94"/>
    <w:rsid w:val="17A27B28"/>
    <w:rsid w:val="18AB026A"/>
    <w:rsid w:val="1C594810"/>
    <w:rsid w:val="1D720C93"/>
    <w:rsid w:val="1D777B33"/>
    <w:rsid w:val="1E69031B"/>
    <w:rsid w:val="1E787983"/>
    <w:rsid w:val="1FFF273F"/>
    <w:rsid w:val="20275B30"/>
    <w:rsid w:val="26562E6C"/>
    <w:rsid w:val="271257AB"/>
    <w:rsid w:val="282327B4"/>
    <w:rsid w:val="29C41B80"/>
    <w:rsid w:val="2B2E4BC5"/>
    <w:rsid w:val="2F780B73"/>
    <w:rsid w:val="30D8560E"/>
    <w:rsid w:val="31B0162D"/>
    <w:rsid w:val="327B5CD2"/>
    <w:rsid w:val="328B1582"/>
    <w:rsid w:val="332755B0"/>
    <w:rsid w:val="367D4812"/>
    <w:rsid w:val="36E52AE8"/>
    <w:rsid w:val="377693D3"/>
    <w:rsid w:val="385869CD"/>
    <w:rsid w:val="38998F7E"/>
    <w:rsid w:val="396276B1"/>
    <w:rsid w:val="39DB4ED0"/>
    <w:rsid w:val="39F74CE9"/>
    <w:rsid w:val="3A12419E"/>
    <w:rsid w:val="3BFD5E4B"/>
    <w:rsid w:val="3DE725D7"/>
    <w:rsid w:val="3F7F7513"/>
    <w:rsid w:val="3FBF771E"/>
    <w:rsid w:val="3FD6E1CB"/>
    <w:rsid w:val="4321128D"/>
    <w:rsid w:val="4A9130B9"/>
    <w:rsid w:val="4DBF58A7"/>
    <w:rsid w:val="4EFA6944"/>
    <w:rsid w:val="504B6DA2"/>
    <w:rsid w:val="55425FF0"/>
    <w:rsid w:val="57AF53A3"/>
    <w:rsid w:val="5832077F"/>
    <w:rsid w:val="596F64C2"/>
    <w:rsid w:val="5D0A09AA"/>
    <w:rsid w:val="5D2468A8"/>
    <w:rsid w:val="5FFE7E91"/>
    <w:rsid w:val="601E6B56"/>
    <w:rsid w:val="606B573E"/>
    <w:rsid w:val="65C77DC6"/>
    <w:rsid w:val="663B6A15"/>
    <w:rsid w:val="67FF800E"/>
    <w:rsid w:val="68257289"/>
    <w:rsid w:val="696952B8"/>
    <w:rsid w:val="69D97F8D"/>
    <w:rsid w:val="6C4F65AA"/>
    <w:rsid w:val="6CA60585"/>
    <w:rsid w:val="6DFF8555"/>
    <w:rsid w:val="6F7A233A"/>
    <w:rsid w:val="6F7FF9C6"/>
    <w:rsid w:val="6FEBE0EE"/>
    <w:rsid w:val="7121478F"/>
    <w:rsid w:val="715B1778"/>
    <w:rsid w:val="724B5939"/>
    <w:rsid w:val="73FB2BF8"/>
    <w:rsid w:val="74CF5DF8"/>
    <w:rsid w:val="762B7560"/>
    <w:rsid w:val="76BDEA04"/>
    <w:rsid w:val="777B1725"/>
    <w:rsid w:val="7ABD160A"/>
    <w:rsid w:val="7BB103C2"/>
    <w:rsid w:val="7DD2753D"/>
    <w:rsid w:val="7DEF6CA5"/>
    <w:rsid w:val="7DEFF036"/>
    <w:rsid w:val="7EFF229A"/>
    <w:rsid w:val="7F720E25"/>
    <w:rsid w:val="7FB56E77"/>
    <w:rsid w:val="7FDF7E56"/>
    <w:rsid w:val="7FEB3B78"/>
    <w:rsid w:val="7FFEDFAB"/>
    <w:rsid w:val="8E7671D0"/>
    <w:rsid w:val="9AF7E8DA"/>
    <w:rsid w:val="9BFE26A4"/>
    <w:rsid w:val="A5FF506F"/>
    <w:rsid w:val="B5158600"/>
    <w:rsid w:val="CF9FCABD"/>
    <w:rsid w:val="D7FD43F2"/>
    <w:rsid w:val="DBEFCCFF"/>
    <w:rsid w:val="DFF7684C"/>
    <w:rsid w:val="DFFB3B18"/>
    <w:rsid w:val="E61DA80A"/>
    <w:rsid w:val="E9E62588"/>
    <w:rsid w:val="EDDE77CC"/>
    <w:rsid w:val="EF0E9964"/>
    <w:rsid w:val="F3374550"/>
    <w:rsid w:val="F62F5192"/>
    <w:rsid w:val="F9DFA16B"/>
    <w:rsid w:val="FA7A5271"/>
    <w:rsid w:val="FBA7F8ED"/>
    <w:rsid w:val="FDBF8212"/>
    <w:rsid w:val="FDCD3095"/>
    <w:rsid w:val="FEFDB6FA"/>
    <w:rsid w:val="FFD22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16"/>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link w:val="17"/>
    <w:unhideWhenUsed/>
    <w:qFormat/>
    <w:uiPriority w:val="99"/>
    <w:pPr>
      <w:autoSpaceDE w:val="0"/>
      <w:autoSpaceDN w:val="0"/>
      <w:ind w:left="154"/>
    </w:pPr>
    <w:rPr>
      <w:szCs w:val="21"/>
      <w:lang w:val="zh-CN" w:bidi="zh-CN"/>
    </w:rPr>
  </w:style>
  <w:style w:type="paragraph" w:customStyle="1" w:styleId="3">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7">
    <w:name w:val="Plain Text"/>
    <w:basedOn w:val="1"/>
    <w:unhideWhenUsed/>
    <w:qFormat/>
    <w:uiPriority w:val="99"/>
    <w:rPr>
      <w:rFonts w:ascii="宋体" w:hAnsi="Courier New" w:cs="Courier New"/>
      <w:szCs w:val="21"/>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w:basedOn w:val="2"/>
    <w:unhideWhenUsed/>
    <w:qFormat/>
    <w:uiPriority w:val="99"/>
    <w:pPr>
      <w:widowControl w:val="0"/>
      <w:spacing w:after="120" w:line="560" w:lineRule="exact"/>
      <w:ind w:firstLine="420" w:firstLineChars="100"/>
      <w:jc w:val="both"/>
    </w:pPr>
    <w:rPr>
      <w:kern w:val="2"/>
      <w:sz w:val="21"/>
      <w:lang w:val="en-US" w:eastAsia="zh-CN" w:bidi="ar-SA"/>
    </w:rPr>
  </w:style>
  <w:style w:type="character" w:styleId="14">
    <w:name w:val="Strong"/>
    <w:basedOn w:val="13"/>
    <w:qFormat/>
    <w:uiPriority w:val="0"/>
    <w:rPr>
      <w:b/>
    </w:rPr>
  </w:style>
  <w:style w:type="character" w:customStyle="1" w:styleId="15">
    <w:name w:val="标题 2 Char"/>
    <w:link w:val="5"/>
    <w:qFormat/>
    <w:uiPriority w:val="0"/>
    <w:rPr>
      <w:rFonts w:ascii="Arial" w:hAnsi="Arial" w:eastAsia="黑体"/>
      <w:b/>
      <w:sz w:val="32"/>
    </w:rPr>
  </w:style>
  <w:style w:type="character" w:customStyle="1" w:styleId="16">
    <w:name w:val="标题 3 Char"/>
    <w:link w:val="6"/>
    <w:qFormat/>
    <w:uiPriority w:val="0"/>
    <w:rPr>
      <w:b/>
      <w:sz w:val="32"/>
    </w:rPr>
  </w:style>
  <w:style w:type="character" w:customStyle="1" w:styleId="17">
    <w:name w:val="正文文本 Char"/>
    <w:link w:val="2"/>
    <w:qFormat/>
    <w:uiPriority w:val="99"/>
    <w:rPr>
      <w:szCs w:val="21"/>
      <w:lang w:val="zh-CN" w:bidi="zh-CN"/>
    </w:rPr>
  </w:style>
  <w:style w:type="paragraph" w:customStyle="1" w:styleId="18">
    <w:name w:val="index 1"/>
    <w:basedOn w:val="1"/>
    <w:next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542b6e20-be64-4ce4-b403-3aeb88176735</errorID>
      <errorWord xmlns="http://schemas.wps.cn/vas-ai-hub/contract-review">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日等</item>
      </candidateList>
      <explain xmlns="http://schemas.wps.cn/vas-ai-hub/contract-review"/>
      <paraID xmlns="http://schemas.wps.cn/vas-ai-hub/contract-review"> B676DC5</paraID>
      <start xmlns="http://schemas.wps.cn/vas-ai-hub/contract-review">98</start>
      <end xmlns="http://schemas.wps.cn/vas-ai-hub/contract-review">101</end>
      <status xmlns="http://schemas.wps.cn/vas-ai-hub/contract-review">modified</status>
      <modifiedWord xmlns="http://schemas.wps.cn/vas-ai-hub/contract-review">日等</modifiedWord>
      <trackRevisions xmlns="http://schemas.wps.cn/vas-ai-hub/contract-review">true</trackRevisions>
    </reviewItem>
    <reviewItem xmlns="http://schemas.wps.cn/vas-ai-hub/contract-review">
      <errorID xmlns="http://schemas.wps.cn/vas-ai-hub/contract-review">00a67dbf-33a7-4b34-ac42-e9d429425ca1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1BCACC83</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3bbe65ef-c8ad-4130-baf8-08b984bffbf5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1BCACC83</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ab2e9c46-5ea0-41a0-a621-ddb6b2dfffa8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1BCACC83</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e14a5237-c484-416c-8eba-63ff8c8027a0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6899B296</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a9f28869-4ea3-4c4a-b782-4fd593bb6507</errorID>
      <errorWord xmlns="http://schemas.wps.cn/vas-ai-hub/contract-review">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信力</item>
      </candidateList>
      <explain xmlns="http://schemas.wps.cn/vas-ai-hub/contract-review"/>
      <paraID xmlns="http://schemas.wps.cn/vas-ai-hub/contract-review">37366803</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e629d092-1d4d-4c74-adc0-8260b58e9d36</errorID>
      <errorWord xmlns="http://schemas.wps.cn/vas-ai-hub/contract-review">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信力</item>
      </candidateList>
      <explain xmlns="http://schemas.wps.cn/vas-ai-hub/contract-review"/>
      <paraID xmlns="http://schemas.wps.cn/vas-ai-hub/contract-review">37366803</paraID>
      <start xmlns="http://schemas.wps.cn/vas-ai-hub/contract-review">274</start>
      <end xmlns="http://schemas.wps.cn/vas-ai-hub/contract-review">275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bff38-0180-4151-b694-e0501167564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5488</Words>
  <Characters>5626</Characters>
  <Lines>0</Lines>
  <Paragraphs>0</Paragraphs>
  <TotalTime>97</TotalTime>
  <ScaleCrop>false</ScaleCrop>
  <LinksUpToDate>false</LinksUpToDate>
  <CharactersWithSpaces>5626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2026-01-11T09:41:00Z</dcterms:created>
  <dc:creator>lenovo</dc:creator>
  <cp:lastModifiedBy>user</cp:lastModifiedBy>
  <cp:lastPrinted>2026-02-03T11:07:00Z</cp:lastPrinted>
  <dcterms:modified xsi:type="dcterms:W3CDTF">2026-03-19T14:33:58Z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88FD9C15B9A28E0FCCE48E6954463FB5_43</vt:lpwstr>
  </property>
  <property fmtid="{D5CDD505-2E9C-101B-9397-08002B2CF9AE}" pid="4" name="KSOTemplateDocerSaveRecord">
    <vt:lpwstr>eyJoZGlkIjoiMGU3M2U2NzEwNTZmNTk2Mjk1MjBlYzY0MTM1MzM0YTUiLCJ1c2VySWQiOiI2Mzc1MDI3OTEifQ==</vt:lpwstr>
  </property>
</Properties>
</file>