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E7EE0">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outlineLvl w:val="9"/>
        <w:rPr>
          <w:rFonts w:hint="eastAsia"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eastAsia="zh-CN"/>
        </w:rPr>
        <w:t>北京市东城区人民政府东直门街道办事处</w:t>
      </w:r>
    </w:p>
    <w:p w14:paraId="47F47217">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outlineLvl w:val="9"/>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val="en-US" w:eastAsia="zh-CN"/>
        </w:rPr>
        <w:t>2025年</w:t>
      </w:r>
      <w:r>
        <w:rPr>
          <w:rFonts w:hint="default" w:ascii="Times New Roman" w:hAnsi="Times New Roman" w:eastAsia="方正小标宋简体" w:cs="Times New Roman"/>
          <w:color w:val="auto"/>
          <w:sz w:val="44"/>
          <w:szCs w:val="44"/>
          <w:lang w:eastAsia="zh-CN"/>
        </w:rPr>
        <w:t>法治政府建设</w:t>
      </w:r>
      <w:r>
        <w:rPr>
          <w:rFonts w:hint="eastAsia" w:ascii="Times New Roman" w:hAnsi="Times New Roman" w:eastAsia="方正小标宋简体" w:cs="Times New Roman"/>
          <w:color w:val="auto"/>
          <w:sz w:val="44"/>
          <w:szCs w:val="44"/>
          <w:lang w:eastAsia="zh-CN"/>
        </w:rPr>
        <w:t>年度</w:t>
      </w:r>
      <w:r>
        <w:rPr>
          <w:rFonts w:hint="default" w:ascii="Times New Roman" w:hAnsi="Times New Roman" w:eastAsia="方正小标宋简体" w:cs="Times New Roman"/>
          <w:color w:val="auto"/>
          <w:sz w:val="44"/>
          <w:szCs w:val="44"/>
          <w:lang w:eastAsia="zh-CN"/>
        </w:rPr>
        <w:t>情况</w:t>
      </w:r>
      <w:r>
        <w:rPr>
          <w:rFonts w:hint="default" w:ascii="Times New Roman" w:hAnsi="Times New Roman" w:eastAsia="方正小标宋简体" w:cs="Times New Roman"/>
          <w:color w:val="auto"/>
          <w:sz w:val="44"/>
          <w:szCs w:val="44"/>
        </w:rPr>
        <w:t>报告</w:t>
      </w:r>
    </w:p>
    <w:p w14:paraId="62D804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0"/>
        <w:jc w:val="left"/>
        <w:textAlignment w:val="auto"/>
        <w:outlineLvl w:val="9"/>
        <w:rPr>
          <w:rFonts w:hint="eastAsia" w:ascii="Times New Roman" w:hAnsi="Times New Roman" w:eastAsia="仿宋_GB2312" w:cs="仿宋_GB2312"/>
          <w:color w:val="auto"/>
          <w:sz w:val="32"/>
          <w:szCs w:val="32"/>
          <w:lang w:val="en-US" w:eastAsia="zh-CN"/>
        </w:rPr>
      </w:pPr>
    </w:p>
    <w:p w14:paraId="3B7CDC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0"/>
        <w:jc w:val="left"/>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2025年，东直门街道在区委、区政府的坚强领导下，深入贯彻习近平法治思想，全面落实中央、市、区关于法治政府建设的各项决策部署，紧紧围绕《法治政府建设实施纲要（2021</w:t>
      </w:r>
      <w:r>
        <w:rPr>
          <w:rFonts w:hint="eastAsia"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2025年）》目标任务，持续推进依法行政、规范执法、公开透明、多元共治，不断提升基层治理法治化水平。现将本年度工作情况报告如下：</w:t>
      </w:r>
    </w:p>
    <w:p w14:paraId="64DB911B">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left"/>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w:t>
      </w:r>
      <w:r>
        <w:rPr>
          <w:rFonts w:hint="eastAsia" w:ascii="Times New Roman" w:hAnsi="Times New Roman" w:eastAsia="黑体" w:cs="Times New Roman"/>
          <w:color w:val="auto"/>
          <w:sz w:val="32"/>
          <w:szCs w:val="32"/>
          <w:lang w:val="en-US" w:eastAsia="zh-CN"/>
        </w:rPr>
        <w:t>2025</w:t>
      </w:r>
      <w:r>
        <w:rPr>
          <w:rFonts w:hint="default" w:ascii="Times New Roman" w:hAnsi="Times New Roman" w:eastAsia="黑体" w:cs="Times New Roman"/>
          <w:color w:val="auto"/>
          <w:sz w:val="32"/>
          <w:szCs w:val="32"/>
          <w:lang w:val="en-US" w:eastAsia="zh-CN"/>
        </w:rPr>
        <w:t>年推进法治政府建设的主要举措和成效</w:t>
      </w:r>
    </w:p>
    <w:p w14:paraId="3B6C6985">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rightChars="0" w:firstLine="640" w:firstLineChars="200"/>
        <w:jc w:val="left"/>
        <w:textAlignment w:val="auto"/>
        <w:rPr>
          <w:rFonts w:hint="eastAsia" w:ascii="Times New Roman" w:hAnsi="Times New Roman" w:eastAsia="楷体_GB2312" w:cs="楷体_GB2312"/>
          <w:b w:val="0"/>
          <w:bCs/>
          <w:color w:val="auto"/>
          <w:sz w:val="32"/>
          <w:szCs w:val="32"/>
          <w:lang w:val="en-US" w:eastAsia="zh-CN"/>
        </w:rPr>
      </w:pPr>
      <w:r>
        <w:rPr>
          <w:rFonts w:hint="eastAsia" w:ascii="Times New Roman" w:hAnsi="Times New Roman" w:eastAsia="楷体_GB2312" w:cs="楷体_GB2312"/>
          <w:b w:val="0"/>
          <w:bCs/>
          <w:color w:val="auto"/>
          <w:sz w:val="32"/>
          <w:szCs w:val="32"/>
          <w:lang w:val="en-US" w:eastAsia="zh-CN"/>
        </w:rPr>
        <w:t>强化组织引领，压实法治建设主体责任</w:t>
      </w:r>
    </w:p>
    <w:p w14:paraId="1EFF092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firstLineChars="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坚持将法治建设摆在全局工作重要位置，突出领导干部“关键少数”作用。</w:t>
      </w:r>
      <w:r>
        <w:rPr>
          <w:rFonts w:hint="eastAsia" w:ascii="Times New Roman" w:hAnsi="Times New Roman" w:eastAsia="仿宋_GB2312" w:cs="仿宋_GB2312"/>
          <w:b/>
          <w:bCs/>
          <w:color w:val="auto"/>
          <w:sz w:val="32"/>
          <w:szCs w:val="32"/>
          <w:lang w:eastAsia="zh-CN"/>
        </w:rPr>
        <w:t>一是健全领导机制。</w:t>
      </w:r>
      <w:r>
        <w:rPr>
          <w:rFonts w:hint="eastAsia" w:ascii="Times New Roman" w:hAnsi="Times New Roman" w:eastAsia="仿宋_GB2312" w:cs="仿宋_GB2312"/>
          <w:color w:val="auto"/>
          <w:sz w:val="32"/>
          <w:szCs w:val="32"/>
        </w:rPr>
        <w:t>成立由主要领导负责的法治建设领导小组，明确职责分工，将法治工作纳入党工委会议、主任办公会议常设议题，定期研究部署。</w:t>
      </w:r>
      <w:r>
        <w:rPr>
          <w:rFonts w:hint="eastAsia" w:ascii="Times New Roman" w:hAnsi="Times New Roman" w:eastAsia="仿宋_GB2312" w:cs="仿宋_GB2312"/>
          <w:b/>
          <w:bCs/>
          <w:color w:val="auto"/>
          <w:sz w:val="32"/>
          <w:szCs w:val="32"/>
          <w:lang w:eastAsia="zh-CN"/>
        </w:rPr>
        <w:t>二是深化法治学习。</w:t>
      </w:r>
      <w:r>
        <w:rPr>
          <w:rFonts w:hint="eastAsia" w:ascii="Times New Roman" w:hAnsi="Times New Roman" w:eastAsia="仿宋_GB2312" w:cs="仿宋_GB2312"/>
          <w:color w:val="auto"/>
          <w:sz w:val="32"/>
          <w:szCs w:val="32"/>
        </w:rPr>
        <w:t>通过会前学法、理论</w:t>
      </w:r>
      <w:r>
        <w:rPr>
          <w:rFonts w:hint="eastAsia" w:eastAsia="仿宋_GB2312" w:cs="仿宋_GB2312"/>
          <w:color w:val="auto"/>
          <w:sz w:val="32"/>
          <w:szCs w:val="32"/>
          <w:lang w:eastAsia="zh-CN"/>
        </w:rPr>
        <w:t>学习</w:t>
      </w:r>
      <w:r>
        <w:rPr>
          <w:rFonts w:hint="eastAsia" w:ascii="Times New Roman" w:hAnsi="Times New Roman" w:eastAsia="仿宋_GB2312" w:cs="仿宋_GB2312"/>
          <w:color w:val="auto"/>
          <w:sz w:val="32"/>
          <w:szCs w:val="32"/>
        </w:rPr>
        <w:t>中心组学习、专题培训等形式，推动领导班子和</w:t>
      </w:r>
      <w:r>
        <w:rPr>
          <w:rFonts w:hint="eastAsia" w:ascii="Times New Roman" w:hAnsi="Times New Roman" w:eastAsia="仿宋_GB2312" w:cs="仿宋_GB2312"/>
          <w:color w:val="auto"/>
          <w:sz w:val="32"/>
          <w:szCs w:val="32"/>
          <w:lang w:eastAsia="zh-CN"/>
        </w:rPr>
        <w:t>街道干部</w:t>
      </w:r>
      <w:r>
        <w:rPr>
          <w:rFonts w:hint="eastAsia" w:ascii="Times New Roman" w:hAnsi="Times New Roman" w:eastAsia="仿宋_GB2312" w:cs="仿宋_GB2312"/>
          <w:color w:val="auto"/>
          <w:sz w:val="32"/>
          <w:szCs w:val="32"/>
        </w:rPr>
        <w:t>系统学习习近平法治思想及法律法规，全年开展会前学法6次、</w:t>
      </w:r>
      <w:r>
        <w:rPr>
          <w:rFonts w:hint="eastAsia" w:eastAsia="仿宋_GB2312" w:cs="仿宋_GB2312"/>
          <w:color w:val="auto"/>
          <w:sz w:val="32"/>
          <w:szCs w:val="32"/>
          <w:lang w:eastAsia="zh-CN"/>
        </w:rPr>
        <w:t>理论学习</w:t>
      </w:r>
      <w:r>
        <w:rPr>
          <w:rFonts w:hint="eastAsia" w:ascii="Times New Roman" w:hAnsi="Times New Roman" w:eastAsia="仿宋_GB2312" w:cs="仿宋_GB2312"/>
          <w:color w:val="auto"/>
          <w:sz w:val="32"/>
          <w:szCs w:val="32"/>
        </w:rPr>
        <w:t>中心组学法8次</w:t>
      </w:r>
      <w:r>
        <w:rPr>
          <w:rFonts w:hint="eastAsia"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仿宋_GB2312"/>
          <w:b/>
          <w:bCs/>
          <w:color w:val="auto"/>
          <w:sz w:val="32"/>
          <w:szCs w:val="32"/>
          <w:lang w:eastAsia="zh-CN"/>
        </w:rPr>
        <w:t>三是规范依法决策。</w:t>
      </w:r>
      <w:r>
        <w:rPr>
          <w:rFonts w:hint="eastAsia" w:ascii="Times New Roman" w:hAnsi="Times New Roman" w:eastAsia="仿宋_GB2312" w:cs="仿宋_GB2312"/>
          <w:color w:val="auto"/>
          <w:sz w:val="32"/>
          <w:szCs w:val="32"/>
          <w:lang w:eastAsia="zh-CN"/>
        </w:rPr>
        <w:t>严格执行重大行政决策程序，落实公众参与、专家论证、风险评估等机制，确保决策合法合规。全面推行法律顾问制度，年内审核各类合同140余份、信访答复22件，提供法律意见建议30余件，为依法决策提供有力支撑。</w:t>
      </w:r>
    </w:p>
    <w:p w14:paraId="6510182D">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rightChars="0" w:firstLine="640" w:firstLineChars="200"/>
        <w:jc w:val="left"/>
        <w:textAlignment w:val="auto"/>
        <w:rPr>
          <w:rFonts w:hint="eastAsia" w:ascii="Times New Roman" w:hAnsi="Times New Roman" w:eastAsia="楷体_GB2312" w:cs="楷体_GB2312"/>
          <w:b w:val="0"/>
          <w:bCs/>
          <w:color w:val="auto"/>
          <w:sz w:val="32"/>
          <w:szCs w:val="32"/>
          <w:lang w:val="en-US" w:eastAsia="zh-CN"/>
        </w:rPr>
      </w:pPr>
      <w:r>
        <w:rPr>
          <w:rFonts w:hint="eastAsia" w:ascii="Times New Roman" w:hAnsi="Times New Roman" w:eastAsia="楷体_GB2312" w:cs="楷体_GB2312"/>
          <w:b w:val="0"/>
          <w:bCs/>
          <w:color w:val="auto"/>
          <w:sz w:val="32"/>
          <w:szCs w:val="32"/>
          <w:lang w:val="en-US" w:eastAsia="zh-CN"/>
        </w:rPr>
        <w:t>推进公开透明，依法接受监督化解争议</w:t>
      </w:r>
    </w:p>
    <w:p w14:paraId="5AB1D9C2">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rPr>
          <w:rFonts w:hint="eastAsia" w:ascii="Times New Roman" w:hAnsi="Times New Roman" w:eastAsia="仿宋_GB2312" w:cs="仿宋_GB2312"/>
          <w:b w:val="0"/>
          <w:color w:val="auto"/>
          <w:kern w:val="2"/>
          <w:sz w:val="32"/>
          <w:szCs w:val="32"/>
          <w:lang w:val="en-US" w:eastAsia="zh-CN" w:bidi="ar-SA"/>
        </w:rPr>
      </w:pPr>
      <w:r>
        <w:rPr>
          <w:rFonts w:hint="eastAsia" w:ascii="Times New Roman" w:hAnsi="Times New Roman" w:eastAsia="仿宋_GB2312" w:cs="仿宋_GB2312"/>
          <w:b w:val="0"/>
          <w:color w:val="auto"/>
          <w:kern w:val="2"/>
          <w:sz w:val="32"/>
          <w:szCs w:val="32"/>
          <w:lang w:val="en-US" w:eastAsia="zh-CN" w:bidi="ar-SA"/>
        </w:rPr>
        <w:t>持续深化政务公开，畅通监督渠道，规范复议应诉工作。</w:t>
      </w:r>
      <w:r>
        <w:rPr>
          <w:rFonts w:hint="eastAsia" w:ascii="Times New Roman" w:hAnsi="Times New Roman" w:eastAsia="仿宋_GB2312" w:cs="仿宋_GB2312"/>
          <w:b/>
          <w:bCs/>
          <w:color w:val="auto"/>
          <w:kern w:val="2"/>
          <w:sz w:val="32"/>
          <w:szCs w:val="32"/>
          <w:lang w:val="en-US" w:eastAsia="zh-CN" w:bidi="ar-SA"/>
        </w:rPr>
        <w:t>一是深化信息公开。</w:t>
      </w:r>
      <w:r>
        <w:rPr>
          <w:rFonts w:hint="eastAsia" w:ascii="Times New Roman" w:hAnsi="Times New Roman" w:eastAsia="仿宋_GB2312" w:cs="仿宋_GB2312"/>
          <w:b w:val="0"/>
          <w:color w:val="auto"/>
          <w:kern w:val="2"/>
          <w:sz w:val="32"/>
          <w:szCs w:val="32"/>
          <w:lang w:val="en-US" w:eastAsia="zh-CN" w:bidi="ar-SA"/>
        </w:rPr>
        <w:t>严格执行《中华人民共和国政府信息公开条例》，依托“数字东城”门户网站主动公开政务信息283条，办理依申请公开12条。</w:t>
      </w:r>
      <w:r>
        <w:rPr>
          <w:rFonts w:hint="eastAsia" w:ascii="Times New Roman" w:hAnsi="Times New Roman" w:eastAsia="仿宋_GB2312" w:cs="仿宋_GB2312"/>
          <w:b/>
          <w:bCs/>
          <w:color w:val="auto"/>
          <w:kern w:val="2"/>
          <w:sz w:val="32"/>
          <w:szCs w:val="32"/>
          <w:lang w:val="en-US" w:eastAsia="zh-CN" w:bidi="ar-SA"/>
        </w:rPr>
        <w:t>二是规范复议应诉。</w:t>
      </w:r>
      <w:r>
        <w:rPr>
          <w:rFonts w:hint="eastAsia" w:ascii="Times New Roman" w:hAnsi="Times New Roman" w:eastAsia="仿宋_GB2312" w:cs="仿宋_GB2312"/>
          <w:b w:val="0"/>
          <w:color w:val="auto"/>
          <w:kern w:val="2"/>
          <w:sz w:val="32"/>
          <w:szCs w:val="32"/>
          <w:lang w:val="en-US" w:eastAsia="zh-CN" w:bidi="ar-SA"/>
        </w:rPr>
        <w:t>完善行政复议与行政应诉工作机制，依法办理行政复议案件2件、诉讼案件2件，严格落实行政机关负责人出庭应诉制度，尊重并执行生效法律文书，力求案结事了，实质性化解纠纷。</w:t>
      </w:r>
    </w:p>
    <w:p w14:paraId="776A1E10">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rPr>
          <w:rFonts w:hint="eastAsia" w:ascii="Times New Roman" w:hAnsi="Times New Roman" w:eastAsia="楷体_GB2312" w:cs="楷体_GB2312"/>
          <w:b w:val="0"/>
          <w:bCs/>
          <w:color w:val="auto"/>
          <w:sz w:val="32"/>
          <w:szCs w:val="32"/>
          <w:lang w:val="en-US" w:eastAsia="zh-CN"/>
        </w:rPr>
      </w:pPr>
      <w:r>
        <w:rPr>
          <w:rFonts w:hint="eastAsia" w:ascii="Times New Roman" w:hAnsi="Times New Roman" w:eastAsia="楷体_GB2312" w:cs="楷体_GB2312"/>
          <w:b w:val="0"/>
          <w:bCs/>
          <w:color w:val="auto"/>
          <w:sz w:val="32"/>
          <w:szCs w:val="32"/>
          <w:lang w:val="en-US" w:eastAsia="zh-CN"/>
        </w:rPr>
        <w:t>（三）规范执法行为，提升执法效能与公信力</w:t>
      </w:r>
    </w:p>
    <w:p w14:paraId="414302DE">
      <w:pPr>
        <w:keepNext w:val="0"/>
        <w:keepLines w:val="0"/>
        <w:pageBreakBefore w:val="0"/>
        <w:widowControl w:val="0"/>
        <w:kinsoku/>
        <w:wordWrap/>
        <w:overflowPunct/>
        <w:topLinePunct w:val="0"/>
        <w:autoSpaceDE/>
        <w:autoSpaceDN/>
        <w:bidi w:val="0"/>
        <w:adjustRightInd/>
        <w:snapToGrid/>
        <w:spacing w:line="560" w:lineRule="exact"/>
        <w:ind w:left="0" w:right="0" w:rightChars="0"/>
        <w:jc w:val="left"/>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lang w:val="en-US" w:eastAsia="zh-CN"/>
        </w:rPr>
        <w:t xml:space="preserve">    </w:t>
      </w:r>
      <w:r>
        <w:rPr>
          <w:rFonts w:hint="eastAsia"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持续推进执法规范化、专业化建设。</w:t>
      </w:r>
      <w:r>
        <w:rPr>
          <w:rFonts w:hint="default" w:ascii="Times New Roman" w:hAnsi="Times New Roman" w:eastAsia="仿宋_GB2312" w:cs="Times New Roman"/>
          <w:b/>
          <w:bCs/>
          <w:color w:val="auto"/>
          <w:kern w:val="0"/>
          <w:sz w:val="32"/>
          <w:szCs w:val="32"/>
          <w:lang w:val="en-US" w:eastAsia="zh-CN"/>
        </w:rPr>
        <w:t>一是加强队伍建设。</w:t>
      </w:r>
      <w:r>
        <w:rPr>
          <w:rFonts w:hint="default" w:ascii="Times New Roman" w:hAnsi="Times New Roman" w:eastAsia="仿宋_GB2312" w:cs="Times New Roman"/>
          <w:color w:val="auto"/>
          <w:kern w:val="0"/>
          <w:sz w:val="32"/>
          <w:szCs w:val="32"/>
          <w:lang w:val="en-US" w:eastAsia="zh-CN"/>
        </w:rPr>
        <w:t>组织7人参加执法资格考试，举办“法智赋能”法治座</w:t>
      </w:r>
      <w:r>
        <w:rPr>
          <w:rFonts w:hint="eastAsia" w:eastAsia="仿宋_GB2312" w:cs="Times New Roman"/>
          <w:color w:val="auto"/>
          <w:kern w:val="0"/>
          <w:sz w:val="32"/>
          <w:szCs w:val="32"/>
          <w:lang w:val="en-US" w:eastAsia="zh-CN"/>
        </w:rPr>
        <w:t>谈会</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邀请律师法官解答执法过程中的疑难问题，多维度</w:t>
      </w:r>
      <w:r>
        <w:rPr>
          <w:rFonts w:hint="default" w:ascii="Times New Roman" w:hAnsi="Times New Roman" w:eastAsia="仿宋_GB2312" w:cs="Times New Roman"/>
          <w:color w:val="auto"/>
          <w:kern w:val="0"/>
          <w:sz w:val="32"/>
          <w:szCs w:val="32"/>
          <w:lang w:val="en-US" w:eastAsia="zh-CN"/>
        </w:rPr>
        <w:t>提升执法人员</w:t>
      </w:r>
      <w:r>
        <w:rPr>
          <w:rFonts w:hint="eastAsia" w:ascii="Times New Roman" w:hAnsi="Times New Roman" w:eastAsia="仿宋_GB2312" w:cs="Times New Roman"/>
          <w:color w:val="auto"/>
          <w:kern w:val="0"/>
          <w:sz w:val="32"/>
          <w:szCs w:val="32"/>
          <w:lang w:val="en-US" w:eastAsia="zh-CN"/>
        </w:rPr>
        <w:t>法治素养与</w:t>
      </w:r>
      <w:r>
        <w:rPr>
          <w:rFonts w:hint="default" w:ascii="Times New Roman" w:hAnsi="Times New Roman" w:eastAsia="仿宋_GB2312" w:cs="Times New Roman"/>
          <w:color w:val="auto"/>
          <w:kern w:val="0"/>
          <w:sz w:val="32"/>
          <w:szCs w:val="32"/>
          <w:lang w:val="en-US" w:eastAsia="zh-CN"/>
        </w:rPr>
        <w:t>专业能力。</w:t>
      </w:r>
      <w:r>
        <w:rPr>
          <w:rFonts w:hint="default" w:ascii="Times New Roman" w:hAnsi="Times New Roman" w:eastAsia="仿宋_GB2312" w:cs="Times New Roman"/>
          <w:b/>
          <w:bCs/>
          <w:color w:val="auto"/>
          <w:kern w:val="0"/>
          <w:sz w:val="32"/>
          <w:szCs w:val="32"/>
          <w:lang w:val="en-US" w:eastAsia="zh-CN"/>
        </w:rPr>
        <w:t>二是严格执法程序。</w:t>
      </w:r>
      <w:r>
        <w:rPr>
          <w:rFonts w:hint="default" w:ascii="Times New Roman" w:hAnsi="Times New Roman" w:eastAsia="仿宋_GB2312" w:cs="Times New Roman"/>
          <w:color w:val="auto"/>
          <w:kern w:val="0"/>
          <w:sz w:val="32"/>
          <w:szCs w:val="32"/>
          <w:lang w:val="en-US" w:eastAsia="zh-CN"/>
        </w:rPr>
        <w:t>落实重大案件法制审核制度，全年审核重大案件8件，评查案卷4</w:t>
      </w:r>
      <w:r>
        <w:rPr>
          <w:rFonts w:hint="eastAsia" w:ascii="Times New Roman" w:hAnsi="Times New Roman" w:eastAsia="仿宋_GB2312" w:cs="Times New Roman"/>
          <w:color w:val="auto"/>
          <w:kern w:val="0"/>
          <w:sz w:val="32"/>
          <w:szCs w:val="32"/>
          <w:lang w:val="en-US" w:eastAsia="zh-CN"/>
        </w:rPr>
        <w:t>次</w:t>
      </w:r>
      <w:r>
        <w:rPr>
          <w:rFonts w:hint="default" w:ascii="Times New Roman" w:hAnsi="Times New Roman" w:eastAsia="仿宋_GB2312" w:cs="Times New Roman"/>
          <w:color w:val="auto"/>
          <w:kern w:val="0"/>
          <w:sz w:val="32"/>
          <w:szCs w:val="32"/>
          <w:lang w:val="en-US" w:eastAsia="zh-CN"/>
        </w:rPr>
        <w:t>。推行包容审慎监管，办理免罚慎罚案件29起，免除罚款10.31万元。</w:t>
      </w:r>
      <w:r>
        <w:rPr>
          <w:rFonts w:hint="eastAsia" w:ascii="Times New Roman" w:hAnsi="Times New Roman" w:eastAsia="仿宋_GB2312" w:cs="Times New Roman"/>
          <w:color w:val="auto"/>
          <w:kern w:val="0"/>
          <w:sz w:val="32"/>
          <w:szCs w:val="32"/>
          <w:lang w:val="en-US" w:eastAsia="zh-CN"/>
        </w:rPr>
        <w:t>保障执法行为始终在法治轨道运行，实现“执法有力度、服务有温度”；</w:t>
      </w:r>
      <w:r>
        <w:rPr>
          <w:rFonts w:hint="eastAsia" w:ascii="Times New Roman" w:hAnsi="Times New Roman" w:eastAsia="仿宋_GB2312" w:cs="Times New Roman"/>
          <w:b/>
          <w:bCs/>
          <w:color w:val="auto"/>
          <w:kern w:val="0"/>
          <w:sz w:val="32"/>
          <w:szCs w:val="32"/>
          <w:lang w:val="en-US" w:eastAsia="zh-CN"/>
        </w:rPr>
        <w:t>三是深化执法改革。</w:t>
      </w:r>
      <w:r>
        <w:rPr>
          <w:rFonts w:hint="default" w:ascii="Times New Roman" w:hAnsi="Times New Roman" w:eastAsia="仿宋_GB2312" w:cs="Times New Roman"/>
          <w:color w:val="auto"/>
          <w:kern w:val="0"/>
          <w:sz w:val="32"/>
          <w:szCs w:val="32"/>
          <w:lang w:val="en-US" w:eastAsia="zh-CN"/>
        </w:rPr>
        <w:t>坚持“依法依规、精简高效”原则，创新推行“非现场监管为主、现场检查为辅”模式，通过“执法城管通”数字化非现场监管平台，拓宽问题线索发现渠道；利用“综合监管</w:t>
      </w:r>
      <w:r>
        <w:rPr>
          <w:rFonts w:hint="eastAsia" w:eastAsia="仿宋_GB2312" w:cs="Times New Roman"/>
          <w:color w:val="auto"/>
          <w:kern w:val="0"/>
          <w:sz w:val="32"/>
          <w:szCs w:val="32"/>
          <w:lang w:val="en-US" w:eastAsia="zh-CN"/>
        </w:rPr>
        <w:t>e</w:t>
      </w:r>
      <w:r>
        <w:rPr>
          <w:rFonts w:hint="default" w:ascii="Times New Roman" w:hAnsi="Times New Roman" w:eastAsia="仿宋_GB2312" w:cs="Times New Roman"/>
          <w:color w:val="auto"/>
          <w:kern w:val="0"/>
          <w:sz w:val="32"/>
          <w:szCs w:val="32"/>
          <w:lang w:val="en-US" w:eastAsia="zh-CN"/>
        </w:rPr>
        <w:t>码查”平台，实现跨部门双随机抽查、“综合查一次”，提升了检查质效与精准度。全年行政检查5089次，非现场检查4659次，占比91.55%，</w:t>
      </w:r>
      <w:r>
        <w:rPr>
          <w:rFonts w:hint="eastAsia" w:ascii="Times New Roman" w:hAnsi="Times New Roman" w:eastAsia="仿宋_GB2312" w:cs="Times New Roman"/>
          <w:color w:val="auto"/>
          <w:kern w:val="0"/>
          <w:sz w:val="32"/>
          <w:szCs w:val="32"/>
          <w:lang w:val="en-US" w:eastAsia="zh-CN"/>
        </w:rPr>
        <w:t>实现精准高效、减少扰企</w:t>
      </w:r>
      <w:r>
        <w:rPr>
          <w:rFonts w:hint="default" w:ascii="Times New Roman" w:hAnsi="Times New Roman" w:eastAsia="仿宋_GB2312" w:cs="Times New Roman"/>
          <w:color w:val="auto"/>
          <w:kern w:val="0"/>
          <w:sz w:val="32"/>
          <w:szCs w:val="32"/>
          <w:lang w:val="en-US" w:eastAsia="zh-CN"/>
        </w:rPr>
        <w:t>。</w:t>
      </w:r>
    </w:p>
    <w:p w14:paraId="7C35D6D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left"/>
        <w:textAlignment w:val="auto"/>
        <w:rPr>
          <w:rFonts w:hint="eastAsia" w:ascii="Times New Roman" w:hAnsi="Times New Roman" w:eastAsia="楷体_GB2312" w:cs="楷体_GB2312"/>
          <w:b w:val="0"/>
          <w:bCs/>
          <w:color w:val="auto"/>
          <w:sz w:val="32"/>
          <w:szCs w:val="32"/>
          <w:lang w:val="en-US" w:eastAsia="zh-CN"/>
        </w:rPr>
      </w:pPr>
      <w:r>
        <w:rPr>
          <w:rFonts w:hint="eastAsia" w:ascii="Times New Roman" w:hAnsi="Times New Roman" w:eastAsia="楷体_GB2312" w:cs="楷体_GB2312"/>
          <w:b w:val="0"/>
          <w:bCs/>
          <w:color w:val="auto"/>
          <w:sz w:val="32"/>
          <w:szCs w:val="32"/>
          <w:lang w:val="en-US" w:eastAsia="zh-CN"/>
        </w:rPr>
        <w:t>（四）健全解纷机制，推动矛盾纠纷源头化解</w:t>
      </w:r>
    </w:p>
    <w:p w14:paraId="00FAC6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left"/>
        <w:textAlignment w:val="auto"/>
        <w:outlineLvl w:val="9"/>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整合多方资源，构建多元共治的纠纷化解格局。一</w:t>
      </w:r>
      <w:r>
        <w:rPr>
          <w:rFonts w:hint="eastAsia" w:ascii="Times New Roman" w:hAnsi="Times New Roman" w:eastAsia="仿宋_GB2312" w:cs="Times New Roman"/>
          <w:b/>
          <w:bCs/>
          <w:color w:val="auto"/>
          <w:kern w:val="0"/>
          <w:sz w:val="32"/>
          <w:szCs w:val="32"/>
          <w:lang w:val="en-US" w:eastAsia="zh-CN"/>
        </w:rPr>
        <w:t>是聚力联动解纷。</w:t>
      </w:r>
      <w:r>
        <w:rPr>
          <w:rFonts w:hint="eastAsia" w:ascii="Times New Roman" w:hAnsi="Times New Roman" w:eastAsia="仿宋_GB2312" w:cs="Times New Roman"/>
          <w:color w:val="auto"/>
          <w:kern w:val="0"/>
          <w:sz w:val="32"/>
          <w:szCs w:val="32"/>
          <w:lang w:val="en-US" w:eastAsia="zh-CN"/>
        </w:rPr>
        <w:t>发挥街道综治中心“握指成拳”优势，协调多部门联动化解纠纷，深化“府院联动”机制，推动以调解化解基层矛盾纠纷，让人民调解主动进校园、进企业，调解员与法官一同实质性化解群众矛盾争议。全年共化解纠纷379件，调解成功当场完成司法确认1件。</w:t>
      </w:r>
      <w:r>
        <w:rPr>
          <w:rFonts w:hint="eastAsia" w:ascii="Times New Roman" w:hAnsi="Times New Roman" w:eastAsia="仿宋_GB2312" w:cs="Times New Roman"/>
          <w:b/>
          <w:bCs/>
          <w:color w:val="auto"/>
          <w:kern w:val="0"/>
          <w:sz w:val="32"/>
          <w:szCs w:val="32"/>
          <w:lang w:val="en-US" w:eastAsia="zh-CN"/>
        </w:rPr>
        <w:t>二是夯实网格治理。</w:t>
      </w:r>
      <w:r>
        <w:rPr>
          <w:rFonts w:hint="eastAsia" w:ascii="Times New Roman" w:hAnsi="Times New Roman" w:eastAsia="仿宋_GB2312" w:cs="Times New Roman"/>
          <w:color w:val="auto"/>
          <w:kern w:val="0"/>
          <w:sz w:val="32"/>
          <w:szCs w:val="32"/>
          <w:lang w:val="en-US" w:eastAsia="zh-CN"/>
        </w:rPr>
        <w:t>结合设点宣传、座谈会、入户走访、微信公众号、居民网格群等“线上线下”宣传平台，积极向社会公众宣传讲解人民调解知识，及时化解纠纷，指导社区开展限制行为能力人指定监护人3次。发挥人民调解优势，协助处理接诉即办案件20余件。</w:t>
      </w:r>
      <w:r>
        <w:rPr>
          <w:rFonts w:hint="eastAsia" w:ascii="Times New Roman" w:hAnsi="Times New Roman" w:eastAsia="仿宋_GB2312" w:cs="Times New Roman"/>
          <w:b/>
          <w:bCs/>
          <w:color w:val="auto"/>
          <w:kern w:val="0"/>
          <w:sz w:val="32"/>
          <w:szCs w:val="32"/>
          <w:lang w:val="en-US" w:eastAsia="zh-CN"/>
        </w:rPr>
        <w:t>三是落实领导接访。</w:t>
      </w:r>
      <w:r>
        <w:rPr>
          <w:rFonts w:hint="eastAsia" w:ascii="Times New Roman" w:hAnsi="Times New Roman" w:eastAsia="仿宋_GB2312" w:cs="Times New Roman"/>
          <w:color w:val="auto"/>
          <w:kern w:val="0"/>
          <w:sz w:val="32"/>
          <w:szCs w:val="32"/>
          <w:lang w:val="en-US" w:eastAsia="zh-CN"/>
        </w:rPr>
        <w:t>坚持关口前移、防范在先，变被动为主动，变事后为事先，努力将矛盾纠纷化解在源头，消除于萌芽状态。开展矛盾纠纷排查，严格落实常态化矛盾纠纷排查调处责任，努力做到“早发现、早介入、早化解”。</w:t>
      </w:r>
    </w:p>
    <w:p w14:paraId="093B7494">
      <w:pPr>
        <w:keepNext w:val="0"/>
        <w:keepLines w:val="0"/>
        <w:pageBreakBefore w:val="0"/>
        <w:widowControl w:val="0"/>
        <w:numPr>
          <w:ilvl w:val="0"/>
          <w:numId w:val="2"/>
        </w:numPr>
        <w:kinsoku/>
        <w:wordWrap/>
        <w:overflowPunct/>
        <w:topLinePunct w:val="0"/>
        <w:autoSpaceDE/>
        <w:autoSpaceDN/>
        <w:bidi w:val="0"/>
        <w:spacing w:line="560" w:lineRule="exact"/>
        <w:ind w:left="0" w:right="0" w:rightChars="0" w:firstLine="640" w:firstLineChars="200"/>
        <w:jc w:val="left"/>
        <w:textAlignment w:val="auto"/>
        <w:rPr>
          <w:rFonts w:hint="eastAsia" w:ascii="Times New Roman" w:hAnsi="Times New Roman" w:eastAsia="楷体_GB2312" w:cs="楷体_GB2312"/>
          <w:b w:val="0"/>
          <w:bCs/>
          <w:color w:val="auto"/>
          <w:kern w:val="2"/>
          <w:sz w:val="32"/>
          <w:szCs w:val="32"/>
          <w:lang w:val="en-US" w:eastAsia="zh-CN" w:bidi="ar-SA"/>
        </w:rPr>
      </w:pPr>
      <w:r>
        <w:rPr>
          <w:rFonts w:hint="eastAsia" w:ascii="Times New Roman" w:hAnsi="Times New Roman" w:eastAsia="楷体_GB2312" w:cs="楷体_GB2312"/>
          <w:b w:val="0"/>
          <w:bCs/>
          <w:color w:val="auto"/>
          <w:kern w:val="2"/>
          <w:sz w:val="32"/>
          <w:szCs w:val="32"/>
          <w:lang w:val="en-US" w:eastAsia="zh-CN" w:bidi="ar-SA"/>
        </w:rPr>
        <w:t>深化普法宣传，营造辖区法治良好氛围</w:t>
      </w:r>
    </w:p>
    <w:p w14:paraId="4CD0D700">
      <w:pPr>
        <w:pStyle w:val="2"/>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left"/>
        <w:textAlignment w:val="auto"/>
        <w:rPr>
          <w:rFonts w:hint="eastAsia" w:ascii="Times New Roman" w:hAnsi="Times New Roman" w:eastAsia="仿宋_GB2312" w:cs="Times New Roman"/>
          <w:b w:val="0"/>
          <w:color w:val="auto"/>
          <w:kern w:val="0"/>
          <w:sz w:val="32"/>
          <w:szCs w:val="32"/>
          <w:lang w:val="en-US" w:eastAsia="zh-CN" w:bidi="ar-SA"/>
        </w:rPr>
      </w:pPr>
      <w:r>
        <w:rPr>
          <w:rFonts w:hint="eastAsia" w:ascii="Times New Roman" w:hAnsi="Times New Roman" w:eastAsia="仿宋_GB2312" w:cs="Times New Roman"/>
          <w:b w:val="0"/>
          <w:color w:val="auto"/>
          <w:kern w:val="0"/>
          <w:sz w:val="32"/>
          <w:szCs w:val="32"/>
          <w:lang w:val="en-US" w:eastAsia="zh-CN" w:bidi="ar-SA"/>
        </w:rPr>
        <w:t>打好“八五”普法收官之战，不断增强辖区群众法律意识，推动法治在基层落地生根。</w:t>
      </w:r>
      <w:r>
        <w:rPr>
          <w:rFonts w:hint="eastAsia" w:ascii="Times New Roman" w:hAnsi="Times New Roman" w:eastAsia="仿宋_GB2312" w:cs="Times New Roman"/>
          <w:b/>
          <w:bCs/>
          <w:color w:val="auto"/>
          <w:kern w:val="0"/>
          <w:sz w:val="32"/>
          <w:szCs w:val="32"/>
          <w:lang w:val="en-US" w:eastAsia="zh-CN" w:bidi="ar-SA"/>
        </w:rPr>
        <w:t>一是开展主题普法。</w:t>
      </w:r>
      <w:r>
        <w:rPr>
          <w:rFonts w:hint="eastAsia" w:ascii="Times New Roman" w:hAnsi="Times New Roman" w:eastAsia="仿宋_GB2312" w:cs="Times New Roman"/>
          <w:b w:val="0"/>
          <w:color w:val="auto"/>
          <w:kern w:val="0"/>
          <w:sz w:val="32"/>
          <w:szCs w:val="32"/>
          <w:lang w:val="en-US" w:eastAsia="zh-CN" w:bidi="ar-SA"/>
        </w:rPr>
        <w:t>以三八妇女节、3.15消费者权益保护日、国家安全日、民法典宣传月以及八一建军节等重要时间节点为契机，开展了普法宣传进交通枢纽、进校园、进军营等多种形式普法活动40余场，开展群众“点单式普法”，围绕居民诉求开展婚姻家庭、遗产继承、老年人防诈骗等“法治文化基层行”活动3场。</w:t>
      </w:r>
      <w:r>
        <w:rPr>
          <w:rFonts w:hint="eastAsia" w:ascii="Times New Roman" w:hAnsi="Times New Roman" w:eastAsia="仿宋_GB2312" w:cs="Times New Roman"/>
          <w:b/>
          <w:bCs w:val="0"/>
          <w:color w:val="auto"/>
          <w:kern w:val="0"/>
          <w:sz w:val="32"/>
          <w:szCs w:val="32"/>
          <w:lang w:val="en-US" w:eastAsia="zh-CN"/>
        </w:rPr>
        <w:t>二是整合公共法律服务资源。</w:t>
      </w:r>
      <w:r>
        <w:rPr>
          <w:rFonts w:hint="eastAsia" w:ascii="Times New Roman" w:hAnsi="Times New Roman" w:eastAsia="仿宋_GB2312" w:cs="Times New Roman"/>
          <w:b w:val="0"/>
          <w:color w:val="auto"/>
          <w:kern w:val="0"/>
          <w:sz w:val="32"/>
          <w:szCs w:val="32"/>
          <w:lang w:val="en-US" w:eastAsia="zh-CN" w:bidi="ar-SA"/>
        </w:rPr>
        <w:t>持续发挥“法育家园·东直门街道公益律师服务团”品牌作用，以公益律师为依托满足辖区居民基本公共法律诉求，配合街道共同开展法治建设、法治宣传、法治教育工作。落实律师值班制度，定期安排律师在街道综治中心驻点接待，通过线上渠道公示服务时间，提升知晓率。全年提供法律咨询70余次，法律援助指引顺畅。实现10个社区法律顾问全覆盖，为基层提供常态化法律咨询、普法宣传及纠纷调处支持。以宪法宣传日为契机发布“正阳同心·法润新生”特殊群体公益普法品牌。为聋哑特殊群体提供法律服务。</w:t>
      </w:r>
    </w:p>
    <w:p w14:paraId="22369D0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right="0" w:rightChars="0" w:firstLine="640" w:firstLineChars="200"/>
        <w:jc w:val="left"/>
        <w:textAlignment w:val="auto"/>
        <w:outlineLvl w:val="9"/>
        <w:rPr>
          <w:rFonts w:hint="default"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val="en-US" w:eastAsia="zh-CN"/>
        </w:rPr>
        <w:t>2025</w:t>
      </w:r>
      <w:r>
        <w:rPr>
          <w:rFonts w:hint="default" w:ascii="Times New Roman" w:hAnsi="Times New Roman" w:eastAsia="黑体" w:cs="Times New Roman"/>
          <w:color w:val="auto"/>
          <w:kern w:val="0"/>
          <w:sz w:val="32"/>
          <w:szCs w:val="32"/>
        </w:rPr>
        <w:t>年推进法治政府建设存在的不足和原因</w:t>
      </w:r>
    </w:p>
    <w:p w14:paraId="671C2BA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在肯定成绩的同时，我们也清醒认识到，当前街道法治建设工作仍存在一些亟待破解的短板与弱项，主要体现在以下方面：</w:t>
      </w:r>
    </w:p>
    <w:p w14:paraId="2A06A72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楷体_GB2312" w:cs="楷体_GB2312"/>
          <w:b w:val="0"/>
          <w:bCs/>
          <w:color w:val="auto"/>
          <w:kern w:val="2"/>
          <w:sz w:val="32"/>
          <w:szCs w:val="32"/>
          <w:lang w:val="en-US" w:eastAsia="zh-CN" w:bidi="ar-SA"/>
        </w:rPr>
      </w:pPr>
      <w:r>
        <w:rPr>
          <w:rFonts w:hint="default" w:ascii="Times New Roman" w:hAnsi="Times New Roman" w:eastAsia="楷体_GB2312" w:cs="楷体_GB2312"/>
          <w:b w:val="0"/>
          <w:bCs/>
          <w:color w:val="auto"/>
          <w:kern w:val="2"/>
          <w:sz w:val="32"/>
          <w:szCs w:val="32"/>
          <w:lang w:val="en-US" w:eastAsia="zh-CN" w:bidi="ar-SA"/>
        </w:rPr>
        <w:t>法治培训的常态化与精准性有待进一步提升</w:t>
      </w:r>
    </w:p>
    <w:p w14:paraId="51E8A3D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目前培训工作的系统性和长期规划尚有完善空间，培训内容与基层实际工作、干部履职需求的结合度可以进一步加强，学以致用的效果有待深化。主要原因在于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对不同岗位、不同对象的差异化需求调研不够深入，针对性有待提高；培训后的效果跟踪与成果转化机制也需进一步健全，以形成更完整的管理闭环。</w:t>
      </w:r>
    </w:p>
    <w:p w14:paraId="502C8D9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楷体_GB2312" w:cs="楷体_GB2312"/>
          <w:b w:val="0"/>
          <w:bCs/>
          <w:color w:val="auto"/>
          <w:kern w:val="2"/>
          <w:sz w:val="32"/>
          <w:szCs w:val="32"/>
          <w:lang w:val="en-US" w:eastAsia="zh-CN" w:bidi="ar-SA"/>
        </w:rPr>
      </w:pPr>
      <w:r>
        <w:rPr>
          <w:rFonts w:hint="default" w:ascii="Times New Roman" w:hAnsi="Times New Roman" w:eastAsia="楷体_GB2312" w:cs="楷体_GB2312"/>
          <w:b w:val="0"/>
          <w:bCs/>
          <w:color w:val="auto"/>
          <w:kern w:val="2"/>
          <w:sz w:val="32"/>
          <w:szCs w:val="32"/>
          <w:lang w:val="en-US" w:eastAsia="zh-CN" w:bidi="ar-SA"/>
        </w:rPr>
        <w:t>公共法律服务资源的整合与宣传普及有待增强</w:t>
      </w:r>
    </w:p>
    <w:p w14:paraId="3C483E8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有法律服务力量之间的协同联动有待加强，平台整合与信息共享机制需进一步优化。面向群众的法律服务渠道、政策宣传覆盖面与知晓率仍有提升空间，便捷性和可及性有待提高。这主要源于部门间协调联动机制有待畅通，资源整合力度可以加大；线上线下一体化服务平台建设需加快完善；宣传方式也可更多借助新媒体优势，提升传播互动效果。</w:t>
      </w:r>
    </w:p>
    <w:p w14:paraId="69DAF22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楷体_GB2312" w:cs="楷体_GB2312"/>
          <w:b w:val="0"/>
          <w:bCs/>
          <w:color w:val="auto"/>
          <w:kern w:val="2"/>
          <w:sz w:val="32"/>
          <w:szCs w:val="32"/>
          <w:lang w:val="en-US" w:eastAsia="zh-CN" w:bidi="ar-SA"/>
        </w:rPr>
      </w:pPr>
      <w:r>
        <w:rPr>
          <w:rFonts w:hint="default" w:ascii="Times New Roman" w:hAnsi="Times New Roman" w:eastAsia="楷体_GB2312" w:cs="楷体_GB2312"/>
          <w:b w:val="0"/>
          <w:bCs/>
          <w:color w:val="auto"/>
          <w:kern w:val="2"/>
          <w:sz w:val="32"/>
          <w:szCs w:val="32"/>
          <w:lang w:val="en-US" w:eastAsia="zh-CN" w:bidi="ar-SA"/>
        </w:rPr>
        <w:t>法治宣传教育形式与载体的创新探索有待深化</w:t>
      </w:r>
    </w:p>
    <w:p w14:paraId="6365F2A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lang w:val="en-US" w:eastAsia="zh-CN"/>
        </w:rPr>
      </w:pPr>
      <w:r>
        <w:rPr>
          <w:rFonts w:hint="default" w:ascii="Times New Roman" w:hAnsi="Times New Roman" w:eastAsia="仿宋_GB2312" w:cs="Times New Roman"/>
          <w:sz w:val="32"/>
          <w:szCs w:val="32"/>
        </w:rPr>
        <w:t>当前普法工作在方式方法的多样性、互动性上尚有潜力可挖，对青少年等重点群体的吸引力有待加强。宣传内容的生活化、故事化转换可以更充分，以提升感染力和接受度。深层次看，工作理念需进一步向互动服务型转变，对新媒介传播规律的运用能力有待提升，同时鼓励形式创新、效果导向的机制环境也需进一步营造。</w:t>
      </w:r>
      <w:r>
        <w:rPr>
          <w:rFonts w:hint="eastAsia" w:ascii="Times New Roman" w:hAnsi="Times New Roman"/>
          <w:lang w:val="en-US" w:eastAsia="zh-CN"/>
        </w:rPr>
        <w:t xml:space="preserve"> </w:t>
      </w:r>
    </w:p>
    <w:p w14:paraId="61C428B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楷体_GB2312" w:cs="楷体_GB2312"/>
          <w:b w:val="0"/>
          <w:bCs/>
          <w:color w:val="auto"/>
          <w:kern w:val="2"/>
          <w:sz w:val="32"/>
          <w:szCs w:val="32"/>
          <w:lang w:val="zh-CN" w:eastAsia="zh-CN" w:bidi="ar-SA"/>
        </w:rPr>
      </w:pPr>
      <w:r>
        <w:rPr>
          <w:rFonts w:hint="eastAsia" w:ascii="Times New Roman" w:hAnsi="Times New Roman" w:eastAsia="楷体_GB2312" w:cs="楷体_GB2312"/>
          <w:b w:val="0"/>
          <w:bCs/>
          <w:color w:val="auto"/>
          <w:kern w:val="2"/>
          <w:sz w:val="32"/>
          <w:szCs w:val="32"/>
          <w:lang w:val="zh-CN" w:eastAsia="zh-CN" w:bidi="ar-SA"/>
        </w:rPr>
        <w:t>基层矛盾纠纷的法治化化解效能有待优化</w:t>
      </w:r>
    </w:p>
    <w:p w14:paraId="4F8012C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rPr>
        <w:t>多元预防调处化解综合机制运行中各环节的衔接配合有时不够顺畅高效，部分社区运用法治手段自主化解纠纷的能力有待加强。推动法治建设责任压力向社区、网格有效传导的机制需进一步完善。街道层面法治工作专业力量相对紧张，应对高频、多元法治任务的承载力有待加强。</w:t>
      </w:r>
    </w:p>
    <w:p w14:paraId="7137EDD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right="0" w:rightChars="0" w:firstLine="640" w:firstLineChars="200"/>
        <w:jc w:val="left"/>
        <w:textAlignment w:val="auto"/>
        <w:outlineLvl w:val="9"/>
        <w:rPr>
          <w:rFonts w:hint="default"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val="en-US" w:eastAsia="zh-CN"/>
        </w:rPr>
        <w:t>2025年</w:t>
      </w:r>
      <w:r>
        <w:rPr>
          <w:rFonts w:hint="default" w:ascii="Times New Roman" w:hAnsi="Times New Roman" w:eastAsia="黑体" w:cs="Times New Roman"/>
          <w:color w:val="auto"/>
          <w:kern w:val="0"/>
          <w:sz w:val="32"/>
          <w:szCs w:val="32"/>
          <w:lang w:val="en-US" w:eastAsia="zh-CN"/>
        </w:rPr>
        <w:t>党政主要负责人履行推进法治建设第一责任人职责，加强法治政府建设的有关情况</w:t>
      </w:r>
    </w:p>
    <w:p w14:paraId="52765588">
      <w:pPr>
        <w:keepNext w:val="0"/>
        <w:keepLines w:val="0"/>
        <w:pageBreakBefore w:val="0"/>
        <w:widowControl w:val="0"/>
        <w:numPr>
          <w:ilvl w:val="0"/>
          <w:numId w:val="5"/>
        </w:numPr>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楷体_GB2312" w:cs="楷体_GB2312"/>
          <w:b w:val="0"/>
          <w:bCs/>
          <w:color w:val="auto"/>
          <w:kern w:val="2"/>
          <w:sz w:val="32"/>
          <w:szCs w:val="32"/>
          <w:lang w:val="en-US" w:eastAsia="zh-CN" w:bidi="ar-SA"/>
        </w:rPr>
      </w:pPr>
      <w:r>
        <w:rPr>
          <w:rFonts w:hint="default" w:ascii="Times New Roman" w:hAnsi="Times New Roman" w:eastAsia="楷体_GB2312" w:cs="楷体_GB2312"/>
          <w:b w:val="0"/>
          <w:bCs/>
          <w:color w:val="auto"/>
          <w:kern w:val="2"/>
          <w:sz w:val="32"/>
          <w:szCs w:val="32"/>
          <w:lang w:val="en-US" w:eastAsia="zh-CN" w:bidi="ar-SA"/>
        </w:rPr>
        <w:t>深化理论武装，筑牢法治建设思想根基</w:t>
      </w:r>
    </w:p>
    <w:p w14:paraId="7B468A4F">
      <w:pPr>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始终将</w:t>
      </w:r>
      <w:r>
        <w:rPr>
          <w:rFonts w:hint="eastAsia" w:ascii="Times New Roman" w:hAnsi="Times New Roman" w:eastAsia="仿宋_GB2312" w:cs="Times New Roman"/>
          <w:sz w:val="32"/>
          <w:szCs w:val="32"/>
          <w:lang w:eastAsia="zh-CN"/>
        </w:rPr>
        <w:t>法治建设摆在突出位置</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带头深入学习贯彻习近平法治思想，</w:t>
      </w:r>
      <w:r>
        <w:rPr>
          <w:rFonts w:hint="default" w:ascii="Times New Roman" w:hAnsi="Times New Roman" w:eastAsia="仿宋_GB2312" w:cs="Times New Roman"/>
          <w:sz w:val="32"/>
          <w:szCs w:val="32"/>
        </w:rPr>
        <w:t>全年组织开展专题学法8次。通过北京干部教育网、会前学法、专家讲座等多种形式，持续增强领导班子和干部队伍的法治意识与素养。定期召开专题会议研究部署法治工作，确保法治建设与街道中心工作同谋划、同部署、同推进。</w:t>
      </w:r>
    </w:p>
    <w:p w14:paraId="68FE7ADF">
      <w:pPr>
        <w:keepNext w:val="0"/>
        <w:keepLines w:val="0"/>
        <w:pageBreakBefore w:val="0"/>
        <w:widowControl w:val="0"/>
        <w:numPr>
          <w:ilvl w:val="0"/>
          <w:numId w:val="5"/>
        </w:numPr>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楷体_GB2312" w:cs="楷体_GB2312"/>
          <w:b w:val="0"/>
          <w:bCs/>
          <w:color w:val="auto"/>
          <w:kern w:val="2"/>
          <w:sz w:val="32"/>
          <w:szCs w:val="32"/>
          <w:lang w:val="en-US" w:eastAsia="zh-CN" w:bidi="ar-SA"/>
        </w:rPr>
      </w:pPr>
      <w:r>
        <w:rPr>
          <w:rFonts w:hint="default" w:ascii="Times New Roman" w:hAnsi="Times New Roman" w:eastAsia="楷体_GB2312" w:cs="楷体_GB2312"/>
          <w:b w:val="0"/>
          <w:bCs/>
          <w:color w:val="auto"/>
          <w:kern w:val="2"/>
          <w:sz w:val="32"/>
          <w:szCs w:val="32"/>
          <w:lang w:val="en-US" w:eastAsia="zh-CN" w:bidi="ar-SA"/>
        </w:rPr>
        <w:t>健全工作机制，压实依法决策主体责任</w:t>
      </w:r>
    </w:p>
    <w:p w14:paraId="27A4C6AB">
      <w:pPr>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严格遵循</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重大行政决策程序暂行条例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并落实“三重一大”事项集体决策制度，严格执行主要负责人末位表态制，确保决策民主、程序正当、过程公开。全面推行法律顾问和公职律师制度，聘请专业律师事务所担任法律顾问，对重大行政决策、规范性文件制定、重要合同协议等进行合法性审查，有效防范法律风险，提升决策科学化、法治化水平。</w:t>
      </w:r>
    </w:p>
    <w:p w14:paraId="535CD990">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640" w:firstLineChars="200"/>
        <w:jc w:val="left"/>
        <w:textAlignment w:val="auto"/>
        <w:rPr>
          <w:rFonts w:hint="default" w:ascii="Times New Roman" w:hAnsi="Times New Roman" w:eastAsia="楷体_GB2312" w:cs="楷体_GB2312"/>
          <w:b w:val="0"/>
          <w:bCs/>
          <w:color w:val="auto"/>
          <w:kern w:val="2"/>
          <w:sz w:val="32"/>
          <w:szCs w:val="32"/>
          <w:lang w:val="en-US" w:eastAsia="zh-CN" w:bidi="ar-SA"/>
        </w:rPr>
      </w:pPr>
      <w:r>
        <w:rPr>
          <w:rFonts w:hint="default" w:ascii="Times New Roman" w:hAnsi="Times New Roman" w:eastAsia="楷体_GB2312" w:cs="楷体_GB2312"/>
          <w:b w:val="0"/>
          <w:bCs/>
          <w:color w:val="auto"/>
          <w:kern w:val="2"/>
          <w:sz w:val="32"/>
          <w:szCs w:val="32"/>
          <w:lang w:val="en-US" w:eastAsia="zh-CN" w:bidi="ar-SA"/>
        </w:rPr>
        <w:t>规范权力运行，全力支持依法履职</w:t>
      </w:r>
    </w:p>
    <w:p w14:paraId="4C7772C4">
      <w:pPr>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坚决执行</w:t>
      </w:r>
      <w:r>
        <w:rPr>
          <w:rFonts w:hint="default" w:ascii="Times New Roman" w:hAnsi="Times New Roman" w:eastAsia="仿宋_GB2312" w:cs="Times New Roman"/>
          <w:sz w:val="32"/>
          <w:szCs w:val="32"/>
          <w:highlight w:val="none"/>
        </w:rPr>
        <w:t>《领导干部干预司法活动、插手具体案件处理的记录、通报和责任追究规定》</w:t>
      </w:r>
      <w:r>
        <w:rPr>
          <w:rFonts w:hint="default" w:ascii="Times New Roman" w:hAnsi="Times New Roman" w:eastAsia="仿宋_GB2312" w:cs="Times New Roman"/>
          <w:sz w:val="32"/>
          <w:szCs w:val="32"/>
        </w:rPr>
        <w:t>，带头维护司法权威。积极支持街道人大工委、办事处、纪工委（监察组）、司法所等依法依章程履行职能，定期听取相关工作汇报，协调解决履职中遇到的困难。督促领导班子其他成员和各部门负责人依法办事，将法治建设成效纳入年度考核的重要内容，推动形成依法履职、依法用权的良好氛围。</w:t>
      </w:r>
    </w:p>
    <w:p w14:paraId="5D6F6A46">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640" w:firstLineChars="200"/>
        <w:jc w:val="left"/>
        <w:textAlignment w:val="auto"/>
        <w:rPr>
          <w:rFonts w:hint="default" w:ascii="Times New Roman" w:hAnsi="Times New Roman" w:eastAsia="楷体_GB2312" w:cs="楷体_GB2312"/>
          <w:b w:val="0"/>
          <w:bCs/>
          <w:color w:val="auto"/>
          <w:kern w:val="2"/>
          <w:sz w:val="32"/>
          <w:szCs w:val="32"/>
          <w:lang w:val="en-US" w:eastAsia="zh-CN" w:bidi="ar-SA"/>
        </w:rPr>
      </w:pPr>
      <w:r>
        <w:rPr>
          <w:rFonts w:hint="default" w:ascii="Times New Roman" w:hAnsi="Times New Roman" w:eastAsia="楷体_GB2312" w:cs="楷体_GB2312"/>
          <w:b w:val="0"/>
          <w:bCs/>
          <w:color w:val="auto"/>
          <w:kern w:val="2"/>
          <w:sz w:val="32"/>
          <w:szCs w:val="32"/>
          <w:lang w:val="en-US" w:eastAsia="zh-CN" w:bidi="ar-SA"/>
        </w:rPr>
        <w:t>加强队伍建设，树立鲜明用人导向</w:t>
      </w:r>
    </w:p>
    <w:p w14:paraId="4C73B311">
      <w:pPr>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仿宋_GB2312" w:cs="Times New Roman"/>
          <w:sz w:val="32"/>
          <w:szCs w:val="32"/>
        </w:rPr>
        <w:t>坚持全面从严治党、依规治党，带头学习贯彻《中国共产党纪律处分条例》等党内法规，全年组织召开党风廉政建设专题会议4次，开展警示教育活动6场。坚持将法治素养和法治能力作为干部选拔任用、评优评先的重要依据，组织新入职、新提拔干部及行政执法人员开展专题法治培训与考核。</w:t>
      </w:r>
      <w:r>
        <w:rPr>
          <w:rFonts w:hint="default" w:ascii="Times New Roman" w:hAnsi="Times New Roman" w:eastAsia="仿宋_GB2312" w:cs="Times New Roman"/>
          <w:sz w:val="32"/>
          <w:szCs w:val="32"/>
          <w:highlight w:val="none"/>
        </w:rPr>
        <w:t>鼓励干部参加</w:t>
      </w:r>
      <w:r>
        <w:rPr>
          <w:rFonts w:hint="eastAsia" w:ascii="Times New Roman" w:hAnsi="Times New Roman" w:eastAsia="仿宋_GB2312" w:cs="Times New Roman"/>
          <w:sz w:val="32"/>
          <w:szCs w:val="32"/>
          <w:highlight w:val="none"/>
          <w:lang w:eastAsia="zh-CN"/>
        </w:rPr>
        <w:t>执法</w:t>
      </w:r>
      <w:r>
        <w:rPr>
          <w:rFonts w:hint="default" w:ascii="Times New Roman" w:hAnsi="Times New Roman" w:eastAsia="仿宋_GB2312" w:cs="Times New Roman"/>
          <w:sz w:val="32"/>
          <w:szCs w:val="32"/>
          <w:highlight w:val="none"/>
        </w:rPr>
        <w:t>资格考试，</w:t>
      </w:r>
      <w:r>
        <w:rPr>
          <w:rFonts w:hint="eastAsia" w:ascii="Times New Roman" w:hAnsi="Times New Roman" w:eastAsia="仿宋_GB2312" w:cs="Times New Roman"/>
          <w:sz w:val="32"/>
          <w:szCs w:val="32"/>
          <w:highlight w:val="none"/>
          <w:lang w:eastAsia="zh-CN"/>
        </w:rPr>
        <w:t>储备执法力量</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持续夯实法治工作人才基础。</w:t>
      </w:r>
    </w:p>
    <w:p w14:paraId="7E08D96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right="0" w:rightChars="0" w:firstLine="640" w:firstLineChars="200"/>
        <w:jc w:val="left"/>
        <w:textAlignment w:val="auto"/>
        <w:outlineLvl w:val="9"/>
        <w:rPr>
          <w:rFonts w:hint="default"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val="en-US" w:eastAsia="zh-CN"/>
        </w:rPr>
        <w:t>2026</w:t>
      </w:r>
      <w:r>
        <w:rPr>
          <w:rFonts w:hint="default" w:ascii="Times New Roman" w:hAnsi="Times New Roman" w:eastAsia="黑体" w:cs="Times New Roman"/>
          <w:color w:val="auto"/>
          <w:kern w:val="0"/>
          <w:sz w:val="32"/>
          <w:szCs w:val="32"/>
          <w:lang w:val="en-US" w:eastAsia="zh-CN"/>
        </w:rPr>
        <w:t>年推进法治政府建设的主要安排</w:t>
      </w:r>
    </w:p>
    <w:p w14:paraId="7BA2657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45" w:firstLineChars="0"/>
        <w:jc w:val="left"/>
        <w:textAlignment w:val="auto"/>
        <w:outlineLvl w:val="9"/>
        <w:rPr>
          <w:rFonts w:hint="eastAsia" w:ascii="Times New Roman" w:hAnsi="Times New Roman" w:eastAsia="楷体_GB2312" w:cs="楷体_GB2312"/>
          <w:color w:val="auto"/>
          <w:kern w:val="0"/>
          <w:sz w:val="32"/>
          <w:szCs w:val="32"/>
          <w:lang w:val="en-US" w:eastAsia="zh-CN"/>
        </w:rPr>
      </w:pPr>
      <w:r>
        <w:rPr>
          <w:rFonts w:hint="eastAsia" w:ascii="Times New Roman" w:hAnsi="Times New Roman" w:eastAsia="楷体_GB2312" w:cs="楷体_GB2312"/>
          <w:color w:val="auto"/>
          <w:kern w:val="0"/>
          <w:sz w:val="32"/>
          <w:szCs w:val="32"/>
          <w:lang w:val="en-US" w:eastAsia="zh-CN"/>
        </w:rPr>
        <w:t>强化理论武装，提升法治思维能力</w:t>
      </w:r>
    </w:p>
    <w:p w14:paraId="136E88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val="0"/>
          <w:bCs w:val="0"/>
          <w:color w:val="auto"/>
          <w:sz w:val="32"/>
          <w:szCs w:val="32"/>
          <w:lang w:val="en-US" w:eastAsia="zh-CN"/>
        </w:rPr>
        <w:t>2026年，街道将继续深入学习贯彻落实习近平法治思想，不断提升法治政府意识。继续坚持开展主任办公会会前学法制度，制定主任办公会会前学</w:t>
      </w:r>
      <w:r>
        <w:rPr>
          <w:rFonts w:hint="eastAsia" w:ascii="Times New Roman" w:hAnsi="Times New Roman" w:eastAsia="仿宋_GB2312" w:cs="仿宋_GB2312"/>
          <w:color w:val="auto"/>
          <w:sz w:val="32"/>
          <w:szCs w:val="32"/>
        </w:rPr>
        <w:t>法年度</w:t>
      </w:r>
      <w:r>
        <w:rPr>
          <w:rFonts w:hint="eastAsia" w:ascii="Times New Roman" w:hAnsi="Times New Roman" w:eastAsia="仿宋_GB2312" w:cs="仿宋_GB2312"/>
          <w:color w:val="auto"/>
          <w:sz w:val="32"/>
          <w:szCs w:val="32"/>
          <w:lang w:eastAsia="zh-CN"/>
        </w:rPr>
        <w:t>计划。</w:t>
      </w:r>
      <w:r>
        <w:rPr>
          <w:rFonts w:hint="eastAsia" w:ascii="Times New Roman" w:hAnsi="Times New Roman" w:eastAsia="仿宋_GB2312" w:cs="仿宋_GB2312"/>
          <w:color w:val="auto"/>
          <w:kern w:val="0"/>
          <w:sz w:val="32"/>
          <w:szCs w:val="32"/>
          <w:lang w:val="en-US" w:eastAsia="zh-CN"/>
        </w:rPr>
        <w:t>把法治教育纳入领导干部理论学习规划，开展</w:t>
      </w:r>
      <w:r>
        <w:rPr>
          <w:rFonts w:hint="eastAsia" w:eastAsia="仿宋_GB2312" w:cs="仿宋_GB2312"/>
          <w:color w:val="auto"/>
          <w:kern w:val="0"/>
          <w:sz w:val="32"/>
          <w:szCs w:val="32"/>
          <w:lang w:val="en-US" w:eastAsia="zh-CN"/>
        </w:rPr>
        <w:t>理论学习中心组</w:t>
      </w:r>
      <w:r>
        <w:rPr>
          <w:rFonts w:hint="eastAsia" w:ascii="Times New Roman" w:hAnsi="Times New Roman" w:eastAsia="仿宋_GB2312" w:cs="仿宋_GB2312"/>
          <w:color w:val="auto"/>
          <w:kern w:val="0"/>
          <w:sz w:val="32"/>
          <w:szCs w:val="32"/>
          <w:lang w:val="en-US" w:eastAsia="zh-CN"/>
        </w:rPr>
        <w:t>专题学习。全面落实国家工作人员学法用法制度，把法治教育纳入干部教育培训内容，定期组织开展法治讲座、法治研讨和旁听庭审等活动。</w:t>
      </w:r>
      <w:r>
        <w:rPr>
          <w:rFonts w:hint="eastAsia" w:ascii="Times New Roman" w:hAnsi="Times New Roman" w:eastAsia="仿宋_GB2312" w:cs="仿宋_GB2312"/>
          <w:color w:val="auto"/>
          <w:sz w:val="32"/>
          <w:szCs w:val="32"/>
          <w:lang w:eastAsia="zh-CN"/>
        </w:rPr>
        <w:t>加强</w:t>
      </w:r>
      <w:r>
        <w:rPr>
          <w:rFonts w:hint="eastAsia" w:ascii="Times New Roman" w:hAnsi="Times New Roman" w:eastAsia="仿宋_GB2312" w:cs="仿宋_GB2312"/>
          <w:color w:val="auto"/>
          <w:sz w:val="32"/>
          <w:szCs w:val="32"/>
        </w:rPr>
        <w:t>对新出台的法律法规的学习，</w:t>
      </w:r>
      <w:r>
        <w:rPr>
          <w:rFonts w:hint="eastAsia" w:ascii="Times New Roman" w:hAnsi="Times New Roman" w:eastAsia="仿宋_GB2312" w:cs="仿宋_GB2312"/>
          <w:color w:val="auto"/>
          <w:sz w:val="32"/>
          <w:szCs w:val="32"/>
          <w:lang w:eastAsia="zh-CN"/>
        </w:rPr>
        <w:t>以</w:t>
      </w:r>
      <w:r>
        <w:rPr>
          <w:rFonts w:hint="eastAsia" w:ascii="Times New Roman" w:hAnsi="Times New Roman" w:eastAsia="仿宋_GB2312" w:cs="仿宋_GB2312"/>
          <w:color w:val="auto"/>
          <w:sz w:val="32"/>
          <w:szCs w:val="32"/>
        </w:rPr>
        <w:t>提高领导班子依法决策、民主决策和科学决策的能力，增强各科室的法规意识和依法行政意识。牢固树立起法律至上观念，在发展经济社会事务、协调处理矛盾纠纷时，善于运用法律手段解决问题，树立法治政府的良好形象。</w:t>
      </w:r>
    </w:p>
    <w:p w14:paraId="0A655F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firstLineChars="0"/>
        <w:jc w:val="left"/>
        <w:textAlignment w:val="auto"/>
        <w:outlineLvl w:val="9"/>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（二）规范执法行为，深化执法为民实践</w:t>
      </w:r>
    </w:p>
    <w:p w14:paraId="1C0A3C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firstLineChars="0"/>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加强执法队伍专业化建设，推广柔性执法，提升执法规范化水平和群众满意度。完</w:t>
      </w:r>
      <w:r>
        <w:rPr>
          <w:rFonts w:hint="eastAsia" w:ascii="Times New Roman" w:hAnsi="Times New Roman" w:eastAsia="仿宋_GB2312"/>
          <w:color w:val="auto"/>
          <w:sz w:val="32"/>
          <w:szCs w:val="32"/>
          <w:lang w:val="en-US" w:eastAsia="zh-CN"/>
        </w:rPr>
        <w:t>善行政执法程序，严格落实行政执法公示、执法全过程记录、重大行政执法决定法制审核制度，提高执法案卷、文书规范化水平。创新行政执法方式，广泛运用说服教育、劝导示范、警示告诫、指导约谈等方式，努力做到宽严相济、法理相融，让执法既有力度又有温度。</w:t>
      </w:r>
      <w:r>
        <w:rPr>
          <w:rFonts w:hint="eastAsia" w:ascii="Times New Roman" w:hAnsi="Times New Roman" w:eastAsia="仿宋_GB2312" w:cs="Times New Roman"/>
          <w:color w:val="auto"/>
          <w:sz w:val="32"/>
          <w:szCs w:val="32"/>
          <w:lang w:val="en-US" w:eastAsia="zh-CN"/>
        </w:rPr>
        <w:t>扎实推进综合执法改革，通过充实执法力量、强化业务培训、规范执法行为等方式，不断提升行政执法能力水平。</w:t>
      </w:r>
      <w:r>
        <w:rPr>
          <w:rFonts w:hint="default" w:ascii="Times New Roman" w:hAnsi="Times New Roman" w:eastAsia="仿宋_GB2312" w:cs="Times New Roman"/>
          <w:color w:val="auto"/>
          <w:sz w:val="32"/>
          <w:szCs w:val="32"/>
          <w:lang w:val="en-US" w:eastAsia="zh-CN"/>
        </w:rPr>
        <w:t>严格</w:t>
      </w:r>
      <w:r>
        <w:rPr>
          <w:rFonts w:hint="eastAsia" w:ascii="Times New Roman" w:hAnsi="Times New Roman" w:eastAsia="仿宋_GB2312" w:cs="Times New Roman"/>
          <w:color w:val="auto"/>
          <w:sz w:val="32"/>
          <w:szCs w:val="32"/>
          <w:lang w:val="en-US" w:eastAsia="zh-CN"/>
        </w:rPr>
        <w:t>落实</w:t>
      </w:r>
      <w:r>
        <w:rPr>
          <w:rFonts w:hint="default" w:ascii="Times New Roman" w:hAnsi="Times New Roman" w:eastAsia="仿宋_GB2312" w:cs="Times New Roman"/>
          <w:color w:val="auto"/>
          <w:sz w:val="32"/>
          <w:szCs w:val="32"/>
          <w:lang w:val="en-US" w:eastAsia="zh-CN"/>
        </w:rPr>
        <w:t>执法责任，加强执法监督，推进严格规范公正文明执法</w:t>
      </w:r>
      <w:r>
        <w:rPr>
          <w:rFonts w:hint="eastAsia" w:ascii="Times New Roman" w:hAnsi="Times New Roman" w:eastAsia="仿宋_GB2312" w:cs="Times New Roman"/>
          <w:color w:val="auto"/>
          <w:sz w:val="32"/>
          <w:szCs w:val="32"/>
          <w:lang w:val="en-US" w:eastAsia="zh-CN"/>
        </w:rPr>
        <w:t>。</w:t>
      </w:r>
    </w:p>
    <w:p w14:paraId="7A8B12C9">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kern w:val="0"/>
          <w:sz w:val="32"/>
          <w:szCs w:val="32"/>
          <w:lang w:val="en-US" w:eastAsia="zh-CN"/>
        </w:rPr>
        <w:t>（三</w:t>
      </w:r>
      <w:r>
        <w:rPr>
          <w:rFonts w:hint="eastAsia" w:ascii="Times New Roman" w:hAnsi="Times New Roman" w:eastAsia="楷体_GB2312" w:cs="楷体_GB2312"/>
          <w:color w:val="auto"/>
          <w:sz w:val="32"/>
          <w:szCs w:val="32"/>
          <w:lang w:val="en-US" w:eastAsia="zh-CN"/>
        </w:rPr>
        <w:t>）公开接受监督，推进透明政府建设</w:t>
      </w:r>
    </w:p>
    <w:p w14:paraId="1F3C92A9">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Times New Roman" w:hAnsi="Times New Roman"/>
          <w:color w:val="auto"/>
          <w:sz w:val="32"/>
          <w:szCs w:val="32"/>
          <w:lang w:eastAsia="zh-CN"/>
        </w:rPr>
      </w:pPr>
      <w:r>
        <w:rPr>
          <w:rFonts w:hint="eastAsia" w:ascii="Times New Roman" w:hAnsi="Times New Roman" w:eastAsia="仿宋_GB2312"/>
          <w:color w:val="auto"/>
          <w:sz w:val="32"/>
          <w:szCs w:val="32"/>
          <w:lang w:eastAsia="zh-CN"/>
        </w:rPr>
        <w:t>完善政府信息公开机制，贯彻实施《</w:t>
      </w:r>
      <w:r>
        <w:rPr>
          <w:rFonts w:hint="eastAsia" w:eastAsia="仿宋_GB2312"/>
          <w:color w:val="auto"/>
          <w:sz w:val="32"/>
          <w:szCs w:val="32"/>
          <w:lang w:eastAsia="zh-CN"/>
        </w:rPr>
        <w:t>中华人民共和国政府信息公开条例</w:t>
      </w:r>
      <w:r>
        <w:rPr>
          <w:rFonts w:hint="eastAsia" w:ascii="Times New Roman" w:hAnsi="Times New Roman" w:eastAsia="仿宋_GB2312"/>
          <w:color w:val="auto"/>
          <w:sz w:val="32"/>
          <w:szCs w:val="32"/>
          <w:lang w:eastAsia="zh-CN"/>
        </w:rPr>
        <w:t>》</w:t>
      </w:r>
      <w:r>
        <w:rPr>
          <w:rFonts w:hint="eastAsia" w:eastAsia="仿宋_GB2312"/>
          <w:color w:val="auto"/>
          <w:sz w:val="32"/>
          <w:szCs w:val="32"/>
          <w:lang w:eastAsia="zh-CN"/>
        </w:rPr>
        <w:t>，</w:t>
      </w:r>
      <w:bookmarkStart w:id="0" w:name="_GoBack"/>
      <w:bookmarkEnd w:id="0"/>
      <w:r>
        <w:rPr>
          <w:rFonts w:hint="eastAsia" w:ascii="Times New Roman" w:hAnsi="Times New Roman" w:eastAsia="仿宋_GB2312"/>
          <w:color w:val="auto"/>
          <w:sz w:val="32"/>
          <w:szCs w:val="32"/>
          <w:lang w:eastAsia="zh-CN"/>
        </w:rPr>
        <w:t>进一步加强政务公开，做到准确及时发布政府信息公开事项，加强政府信息公开条例执行情况的监督检查。扎实做好行政复议办理与行政诉讼应诉工作，及时查明事实做好沟通，力求实质化解争议。</w:t>
      </w:r>
    </w:p>
    <w:p w14:paraId="04634907">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Times New Roman" w:hAnsi="Times New Roman" w:eastAsia="仿宋_GB2312"/>
          <w:color w:val="auto"/>
          <w:sz w:val="32"/>
          <w:szCs w:val="32"/>
          <w:lang w:eastAsia="zh-CN"/>
        </w:rPr>
      </w:pPr>
      <w:r>
        <w:rPr>
          <w:rFonts w:hint="eastAsia" w:ascii="Times New Roman" w:hAnsi="Times New Roman" w:eastAsia="楷体_GB2312" w:cs="楷体_GB2312"/>
          <w:color w:val="auto"/>
          <w:sz w:val="32"/>
          <w:szCs w:val="32"/>
          <w:lang w:eastAsia="zh-CN"/>
        </w:rPr>
        <w:t>（四）完善调解体系，促进社会和谐稳定</w:t>
      </w:r>
    </w:p>
    <w:p w14:paraId="3A5107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firstLineChars="0"/>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健全“一站式”矛盾纠纷调处机制，推动人民调解、行政调解、司法调解联动，夯实基层治理法治根基，用法治守护人民群众生命财产安全。落实律师值班开展法律咨询等工作，为辖区居民提供优质便利的法律服务。发挥司法所指导人民调解，基层政府行政调解功能，发扬新时代“枫桥精神”，规范调解流程与秩序，努力将矛盾化解在基层。</w:t>
      </w:r>
    </w:p>
    <w:p w14:paraId="2F133B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firstLineChars="0"/>
        <w:jc w:val="left"/>
        <w:textAlignment w:val="auto"/>
        <w:outlineLvl w:val="9"/>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（五）创新普法模式，增强法治宣传实效</w:t>
      </w:r>
    </w:p>
    <w:p w14:paraId="2FD552E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firstLineChars="0"/>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zh-CN" w:eastAsia="zh-CN"/>
        </w:rPr>
        <w:t>增强法治宣传感染力。针对辖区不同群体需求实现差异化普法。积极运用短视频、直播互动、情景剧等新媒体普法形式，打造具有街道特色的普法品牌。深化“民主法治示范社区”创建，着力营造办事依法、遇事找法、解决问题用法、化解矛盾靠法的良好法治氛围。</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AE867C"/>
    <w:multiLevelType w:val="singleLevel"/>
    <w:tmpl w:val="25AE867C"/>
    <w:lvl w:ilvl="0" w:tentative="0">
      <w:start w:val="1"/>
      <w:numFmt w:val="chineseCounting"/>
      <w:suff w:val="nothing"/>
      <w:lvlText w:val="（%1）"/>
      <w:lvlJc w:val="left"/>
      <w:rPr>
        <w:rFonts w:hint="eastAsia"/>
      </w:rPr>
    </w:lvl>
  </w:abstractNum>
  <w:abstractNum w:abstractNumId="1">
    <w:nsid w:val="2DA09F71"/>
    <w:multiLevelType w:val="singleLevel"/>
    <w:tmpl w:val="2DA09F71"/>
    <w:lvl w:ilvl="0" w:tentative="0">
      <w:start w:val="1"/>
      <w:numFmt w:val="chineseCounting"/>
      <w:suff w:val="nothing"/>
      <w:lvlText w:val="（%1）"/>
      <w:lvlJc w:val="left"/>
      <w:rPr>
        <w:rFonts w:hint="eastAsia"/>
      </w:rPr>
    </w:lvl>
  </w:abstractNum>
  <w:abstractNum w:abstractNumId="2">
    <w:nsid w:val="5FC0C172"/>
    <w:multiLevelType w:val="singleLevel"/>
    <w:tmpl w:val="5FC0C172"/>
    <w:lvl w:ilvl="0" w:tentative="0">
      <w:start w:val="2"/>
      <w:numFmt w:val="chineseCounting"/>
      <w:suff w:val="nothing"/>
      <w:lvlText w:val="%1、"/>
      <w:lvlJc w:val="left"/>
    </w:lvl>
  </w:abstractNum>
  <w:abstractNum w:abstractNumId="3">
    <w:nsid w:val="61CAAD04"/>
    <w:multiLevelType w:val="singleLevel"/>
    <w:tmpl w:val="61CAAD04"/>
    <w:lvl w:ilvl="0" w:tentative="0">
      <w:start w:val="1"/>
      <w:numFmt w:val="chineseCounting"/>
      <w:suff w:val="nothing"/>
      <w:lvlText w:val="（%1）"/>
      <w:lvlJc w:val="left"/>
    </w:lvl>
  </w:abstractNum>
  <w:abstractNum w:abstractNumId="4">
    <w:nsid w:val="676CC1AF"/>
    <w:multiLevelType w:val="singleLevel"/>
    <w:tmpl w:val="676CC1AF"/>
    <w:lvl w:ilvl="0" w:tentative="0">
      <w:start w:val="1"/>
      <w:numFmt w:val="chineseCounting"/>
      <w:suff w:val="nothing"/>
      <w:lvlText w:val="（%1）"/>
      <w:lvlJc w:val="left"/>
    </w:lvl>
  </w:abstractNum>
  <w:abstractNum w:abstractNumId="5">
    <w:nsid w:val="6775F1FF"/>
    <w:multiLevelType w:val="singleLevel"/>
    <w:tmpl w:val="6775F1FF"/>
    <w:lvl w:ilvl="0" w:tentative="0">
      <w:start w:val="5"/>
      <w:numFmt w:val="chineseCounting"/>
      <w:suff w:val="nothing"/>
      <w:lvlText w:val="（%1）"/>
      <w:lvlJc w:val="left"/>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14CE9"/>
    <w:rsid w:val="0A382075"/>
    <w:rsid w:val="0BA72AD7"/>
    <w:rsid w:val="1019786B"/>
    <w:rsid w:val="116E568B"/>
    <w:rsid w:val="12A7443B"/>
    <w:rsid w:val="13EF4F40"/>
    <w:rsid w:val="157C59CB"/>
    <w:rsid w:val="17EC44CB"/>
    <w:rsid w:val="19992218"/>
    <w:rsid w:val="2F5434C6"/>
    <w:rsid w:val="3110026B"/>
    <w:rsid w:val="42F66544"/>
    <w:rsid w:val="441F3044"/>
    <w:rsid w:val="4A2C3998"/>
    <w:rsid w:val="4C3F7D2D"/>
    <w:rsid w:val="52103D9A"/>
    <w:rsid w:val="59514CE9"/>
    <w:rsid w:val="6BD21E25"/>
    <w:rsid w:val="737E2534"/>
    <w:rsid w:val="7D996E97"/>
    <w:rsid w:val="7EAA5E67"/>
    <w:rsid w:val="BFBF45B4"/>
    <w:rsid w:val="EAE353A2"/>
    <w:rsid w:val="EFD17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b3fca35b-edd8-4565-be01-c7bdf6e32ce1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3B7CDCC3</paraID>
      <start xmlns="http://schemas.wps.cn/vas-ai-hub/contract-review">83</start>
      <end xmlns="http://schemas.wps.cn/vas-ai-hub/contract-review">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f5d0e6d8-d709-4471-ba3b-e495a5e231a7</errorID>
      <errorWord xmlns="http://schemas.wps.cn/vas-ai-hub/contract-review">树立起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树立</item>
      </candidateList>
      <explain xmlns="http://schemas.wps.cn/vas-ai-hub/contract-review">〈动〉建立（多用于抽象的好的事情）：～榜样｜～典型｜～助人为乐的风尚。</explain>
      <paraID xmlns="http://schemas.wps.cn/vas-ai-hub/contract-review">136E885D</paraID>
      <start xmlns="http://schemas.wps.cn/vas-ai-hub/contract-review">226</start>
      <end xmlns="http://schemas.wps.cn/vas-ai-hub/contract-review">229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e08465a9-81cc-40bb-a6b7-5760edbb8d21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1F3C92A9</paraID>
      <start xmlns="http://schemas.wps.cn/vas-ai-hub/contract-review">40</start>
      <end xmlns="http://schemas.wps.cn/vas-ai-hub/contract-review">42</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8abf564f-31f4-4e11-a776-747d3caca016</errorID>
      <errorWord xmlns="http://schemas.wps.cn/vas-ai-hub/contract-review">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强对</item>
      </candidateList>
      <explain xmlns="http://schemas.wps.cn/vas-ai-hub/contract-review"/>
      <paraID xmlns="http://schemas.wps.cn/vas-ai-hub/contract-review">1F3C92A9</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5581dcfd-c9a6-42b1-822a-7580706a5650}">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4293</Words>
  <Characters>4354</Characters>
  <Lines>0</Lines>
  <Paragraphs>0</Paragraphs>
  <TotalTime>229</TotalTime>
  <ScaleCrop>false</ScaleCrop>
  <LinksUpToDate>false</LinksUpToDate>
  <CharactersWithSpaces>4361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2024-12-26T18:03:00Z</dcterms:created>
  <dc:creator>金鹏</dc:creator>
  <cp:lastModifiedBy>user</cp:lastModifiedBy>
  <cp:lastPrinted>2026-01-19T22:31:00Z</cp:lastPrinted>
  <dcterms:modified xsi:type="dcterms:W3CDTF">2026-03-19T15:17:12Z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F9182213F04042EAB8C07490647D0F6D_12</vt:lpwstr>
  </property>
  <property fmtid="{D5CDD505-2E9C-101B-9397-08002B2CF9AE}" pid="4" name="KSOTemplateDocerSaveRecord">
    <vt:lpwstr>eyJoZGlkIjoiMGU3M2U2NzEwNTZmNTk2Mjk1MjBlYzY0MTM1MzM0YTUiLCJ1c2VySWQiOiI2Mzc1MDI3OTEifQ==</vt:lpwstr>
  </property>
</Properties>
</file>