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E51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北京市东城区人民政府</w:t>
      </w:r>
      <w:r>
        <w:rPr>
          <w:rFonts w:hint="default" w:ascii="Times New Roman" w:hAnsi="Times New Roman" w:eastAsia="方正小标宋简体" w:cs="Times New Roman"/>
          <w:color w:val="auto"/>
          <w:sz w:val="44"/>
          <w:szCs w:val="44"/>
        </w:rPr>
        <w:t>崇</w:t>
      </w:r>
      <w:r>
        <w:rPr>
          <w:rFonts w:hint="eastAsia" w:ascii="Times New Roman" w:hAnsi="Times New Roman" w:eastAsia="方正小标宋简体" w:cs="Times New Roman"/>
          <w:color w:val="auto"/>
          <w:sz w:val="44"/>
          <w:szCs w:val="44"/>
          <w:lang w:eastAsia="zh-CN"/>
        </w:rPr>
        <w:t>文门</w:t>
      </w:r>
      <w:r>
        <w:rPr>
          <w:rFonts w:hint="default" w:ascii="Times New Roman" w:hAnsi="Times New Roman" w:eastAsia="方正小标宋简体" w:cs="Times New Roman"/>
          <w:color w:val="auto"/>
          <w:sz w:val="44"/>
          <w:szCs w:val="44"/>
        </w:rPr>
        <w:t>外街道</w:t>
      </w:r>
      <w:r>
        <w:rPr>
          <w:rFonts w:hint="eastAsia" w:ascii="Times New Roman" w:hAnsi="Times New Roman" w:eastAsia="方正小标宋简体" w:cs="Times New Roman"/>
          <w:color w:val="auto"/>
          <w:sz w:val="44"/>
          <w:szCs w:val="44"/>
          <w:lang w:val="en-US" w:eastAsia="zh-CN"/>
        </w:rPr>
        <w:t>办事处</w:t>
      </w:r>
    </w:p>
    <w:p w14:paraId="5F34066F">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eastAsia"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年法治政府建设年度情况报告</w:t>
      </w:r>
    </w:p>
    <w:p w14:paraId="326E5C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p>
    <w:p w14:paraId="51E70E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rPr>
      </w:pPr>
      <w:r>
        <w:rPr>
          <w:rFonts w:hint="default" w:ascii="Times New Roman" w:hAnsi="Times New Roman" w:eastAsia="仿宋" w:cs="Times New Roman"/>
          <w:color w:val="auto"/>
          <w:sz w:val="32"/>
          <w:szCs w:val="32"/>
        </w:rPr>
        <w:t>2025</w:t>
      </w:r>
      <w:r>
        <w:rPr>
          <w:rFonts w:hint="eastAsia" w:ascii="仿宋_GB2312" w:hAnsi="仿宋_GB2312" w:eastAsia="仿宋_GB2312" w:cs="仿宋_GB2312"/>
          <w:color w:val="auto"/>
          <w:sz w:val="32"/>
          <w:szCs w:val="32"/>
        </w:rPr>
        <w:t>年是全面贯彻落实党的二十大精神的关键之年，更是“十四五”规划收官决胜、衔接新征程的重要节点。在这一承前启后的关键时期，</w:t>
      </w:r>
      <w:r>
        <w:rPr>
          <w:rFonts w:hint="eastAsia" w:ascii="仿宋_GB2312" w:hAnsi="仿宋_GB2312" w:eastAsia="仿宋_GB2312" w:cs="仿宋_GB2312"/>
          <w:color w:val="auto"/>
          <w:sz w:val="32"/>
          <w:szCs w:val="32"/>
          <w:lang w:eastAsia="zh-CN"/>
        </w:rPr>
        <w:t>崇文门外街道</w:t>
      </w:r>
      <w:r>
        <w:rPr>
          <w:rFonts w:hint="eastAsia" w:ascii="仿宋_GB2312" w:hAnsi="仿宋_GB2312" w:eastAsia="仿宋_GB2312" w:cs="仿宋_GB2312"/>
          <w:color w:val="auto"/>
          <w:sz w:val="32"/>
          <w:szCs w:val="32"/>
        </w:rPr>
        <w:t>始终以习近平新时代中国特色社会主义思想为根本遵循，深入践行习近平法治思想，牢牢把握</w:t>
      </w:r>
      <w:r>
        <w:rPr>
          <w:rFonts w:hint="eastAsia" w:ascii="仿宋_GB2312" w:hAnsi="仿宋_GB2312" w:eastAsia="仿宋_GB2312" w:cs="仿宋_GB2312"/>
          <w:color w:val="auto"/>
          <w:sz w:val="32"/>
          <w:szCs w:val="32"/>
          <w:lang w:eastAsia="zh-CN"/>
        </w:rPr>
        <w:t>《法治政府建设实施纲要（</w:t>
      </w:r>
      <w:r>
        <w:rPr>
          <w:rFonts w:hint="default" w:ascii="Times New Roman" w:hAnsi="Times New Roman" w:eastAsia="仿宋_GB2312" w:cs="Times New Roman"/>
          <w:color w:val="auto"/>
          <w:sz w:val="32"/>
          <w:szCs w:val="32"/>
          <w:lang w:eastAsia="zh-CN"/>
        </w:rPr>
        <w:t>2021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2025</w:t>
      </w:r>
      <w:r>
        <w:rPr>
          <w:rFonts w:hint="eastAsia" w:ascii="仿宋_GB2312" w:hAnsi="仿宋_GB2312" w:eastAsia="仿宋_GB2312" w:cs="仿宋_GB2312"/>
          <w:color w:val="auto"/>
          <w:sz w:val="32"/>
          <w:szCs w:val="32"/>
          <w:lang w:eastAsia="zh-CN"/>
        </w:rPr>
        <w:t>年）》</w:t>
      </w:r>
      <w:r>
        <w:rPr>
          <w:rFonts w:hint="default" w:ascii="仿宋_GB2312" w:hAnsi="仿宋_GB2312" w:eastAsia="仿宋_GB2312" w:cs="仿宋_GB2312"/>
          <w:color w:val="auto"/>
          <w:sz w:val="32"/>
          <w:szCs w:val="32"/>
        </w:rPr>
        <w:t>核心要求，将法治政府建设作为推进基层治理体系和治理能力现代化的核心支撑。现就有关工作开展情况报告如下。</w:t>
      </w:r>
    </w:p>
    <w:p w14:paraId="42A2AD6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一、202</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年推进法治政府建设的举措和成效</w:t>
      </w:r>
    </w:p>
    <w:p w14:paraId="599883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（一）聚焦</w:t>
      </w:r>
      <w:r>
        <w:rPr>
          <w:rFonts w:hint="eastAsia" w:ascii="楷体_GB2312" w:hAnsi="楷体_GB2312" w:eastAsia="楷体_GB2312" w:cs="楷体_GB2312"/>
          <w:color w:val="auto"/>
          <w:sz w:val="32"/>
          <w:szCs w:val="32"/>
          <w:lang w:val="en-US" w:eastAsia="zh-CN"/>
        </w:rPr>
        <w:t>主责主业，贯彻法治理念</w:t>
      </w:r>
    </w:p>
    <w:p w14:paraId="3B2ADA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崇文门外街道以《北京市街道办事处条例》《关于加强新时代街道工作的意见》等文件为指引，严格落实《北京市接诉即办工作条例》《北京市生活垃圾管理条例》《北京市物业管理条例》等</w:t>
      </w:r>
      <w:r>
        <w:rPr>
          <w:rFonts w:hint="eastAsia" w:ascii="仿宋_GB2312" w:hAnsi="仿宋_GB2312" w:eastAsia="仿宋_GB2312" w:cs="仿宋_GB2312"/>
          <w:color w:val="auto"/>
          <w:sz w:val="32"/>
          <w:szCs w:val="32"/>
          <w:lang w:val="en-US" w:eastAsia="zh-CN"/>
        </w:rPr>
        <w:t>法规</w:t>
      </w:r>
      <w:r>
        <w:rPr>
          <w:rFonts w:hint="default" w:ascii="仿宋_GB2312" w:hAnsi="仿宋_GB2312" w:eastAsia="仿宋_GB2312" w:cs="仿宋_GB2312"/>
          <w:color w:val="auto"/>
          <w:sz w:val="32"/>
          <w:szCs w:val="32"/>
          <w:lang w:val="en-US" w:eastAsia="zh-CN"/>
        </w:rPr>
        <w:t>要求，将依法办事贯穿民生服务全过程，扎实推进基层社会治理提质增效。聚焦接诉即办</w:t>
      </w:r>
      <w:r>
        <w:rPr>
          <w:rFonts w:hint="eastAsia" w:ascii="仿宋_GB2312" w:hAnsi="仿宋_GB2312" w:eastAsia="仿宋_GB2312" w:cs="仿宋_GB2312"/>
          <w:color w:val="auto"/>
          <w:sz w:val="32"/>
          <w:szCs w:val="32"/>
          <w:lang w:val="en-US" w:eastAsia="zh-CN"/>
        </w:rPr>
        <w:t>中心工作</w:t>
      </w:r>
      <w:r>
        <w:rPr>
          <w:rFonts w:hint="default" w:ascii="仿宋_GB2312" w:hAnsi="仿宋_GB2312" w:eastAsia="仿宋_GB2312" w:cs="仿宋_GB2312"/>
          <w:color w:val="auto"/>
          <w:sz w:val="32"/>
          <w:szCs w:val="32"/>
          <w:lang w:val="en-US" w:eastAsia="zh-CN"/>
        </w:rPr>
        <w:t>，高效处置辖区居民各类诉求案</w:t>
      </w:r>
      <w:r>
        <w:rPr>
          <w:rFonts w:hint="default" w:ascii="仿宋_GB2312" w:hAnsi="仿宋_GB2312" w:eastAsia="仿宋_GB2312" w:cs="仿宋_GB2312"/>
          <w:color w:val="auto"/>
          <w:sz w:val="32"/>
          <w:szCs w:val="32"/>
          <w:highlight w:val="none"/>
          <w:lang w:val="en-US" w:eastAsia="zh-CN"/>
        </w:rPr>
        <w:t>件</w:t>
      </w:r>
      <w:r>
        <w:rPr>
          <w:rFonts w:hint="default" w:ascii="Times New Roman" w:hAnsi="Times New Roman" w:eastAsia="仿宋_GB2312" w:cs="Times New Roman"/>
          <w:color w:val="auto"/>
          <w:sz w:val="32"/>
          <w:szCs w:val="32"/>
          <w:highlight w:val="none"/>
          <w:lang w:val="en-US" w:eastAsia="zh-CN"/>
        </w:rPr>
        <w:t>4976件，办结数4976件，办结率</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lang w:val="en-US" w:eastAsia="zh-CN"/>
        </w:rPr>
        <w:t>，</w:t>
      </w:r>
      <w:r>
        <w:rPr>
          <w:rFonts w:hint="default" w:ascii="仿宋_GB2312" w:hAnsi="仿宋_GB2312" w:eastAsia="仿宋_GB2312" w:cs="仿宋_GB2312"/>
          <w:color w:val="auto"/>
          <w:sz w:val="32"/>
          <w:szCs w:val="32"/>
          <w:lang w:val="en-US" w:eastAsia="zh-CN"/>
        </w:rPr>
        <w:t>实现案件受理、办理、反馈全流程闭环管理，切实解决群众急难愁盼问题，推动居民幸福感和获得感显著提升。同时，坚持和发展新时代“枫桥经验”，构建“源头预防、多元化解”的矛盾纠纷调处机制。将律师力量嵌入基层治理末梢，邀请专业律师参与街道“吹哨报到”协调会，针对</w:t>
      </w:r>
      <w:r>
        <w:rPr>
          <w:rFonts w:hint="eastAsia" w:ascii="仿宋_GB2312" w:hAnsi="仿宋_GB2312" w:eastAsia="仿宋_GB2312" w:cs="仿宋_GB2312"/>
          <w:color w:val="auto"/>
          <w:sz w:val="32"/>
          <w:szCs w:val="32"/>
          <w:lang w:val="en-US" w:eastAsia="zh-CN"/>
        </w:rPr>
        <w:t>复杂</w:t>
      </w:r>
      <w:r>
        <w:rPr>
          <w:rFonts w:hint="default" w:ascii="仿宋_GB2312" w:hAnsi="仿宋_GB2312" w:eastAsia="仿宋_GB2312" w:cs="仿宋_GB2312"/>
          <w:color w:val="auto"/>
          <w:sz w:val="32"/>
          <w:szCs w:val="32"/>
          <w:lang w:val="en-US" w:eastAsia="zh-CN"/>
        </w:rPr>
        <w:t>物业纠纷、邻里矛盾、民生诉求等基层治理难点问题，从法律角度提供专业意见，引导群众通过合法途径表达诉求、化解纠纷。通过“法理情”融合调处，将大量矛盾纠纷化解在基层、解决在萌芽状态，有效维护辖区和谐稳定，以法治力量为民生保障和职能转变保驾护航。</w:t>
      </w:r>
    </w:p>
    <w:p w14:paraId="45469F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（二）规范用权意识，提升执法效能</w:t>
      </w:r>
    </w:p>
    <w:p w14:paraId="059AD16A">
      <w:pPr>
        <w:pStyle w:val="2"/>
        <w:keepNext w:val="0"/>
        <w:keepLines w:val="0"/>
        <w:pageBreakBefore w:val="0"/>
        <w:kinsoku/>
        <w:wordWrap/>
        <w:overflowPunct/>
        <w:autoSpaceDE/>
        <w:autoSpaceDN/>
        <w:bidi w:val="0"/>
        <w:snapToGrid/>
        <w:spacing w:line="560" w:lineRule="exact"/>
        <w:ind w:left="0" w:leftChars="0" w:right="0" w:righ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崇文门外街道以</w:t>
      </w:r>
      <w:r>
        <w:rPr>
          <w:rFonts w:hint="eastAsia" w:ascii="仿宋_GB2312" w:hAnsi="仿宋_GB2312" w:eastAsia="仿宋_GB2312" w:cs="仿宋_GB2312"/>
          <w:color w:val="auto"/>
          <w:kern w:val="2"/>
          <w:sz w:val="32"/>
          <w:szCs w:val="32"/>
          <w:lang w:val="en-US" w:eastAsia="zh-CN" w:bidi="ar-SA"/>
        </w:rPr>
        <w:t>规范执法、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优化服务为目标，聚焦一体化综合监管改革，推动行政执法效能实现新突破。</w:t>
      </w:r>
    </w:p>
    <w:p w14:paraId="0181B717">
      <w:pPr>
        <w:pStyle w:val="2"/>
        <w:keepNext w:val="0"/>
        <w:keepLines w:val="0"/>
        <w:pageBreakBefore w:val="0"/>
        <w:kinsoku/>
        <w:wordWrap/>
        <w:overflowPunct/>
        <w:autoSpaceDE/>
        <w:autoSpaceDN/>
        <w:bidi w:val="0"/>
        <w:snapToGrid/>
        <w:spacing w:line="560" w:lineRule="exact"/>
        <w:ind w:left="0" w:leftChars="0" w:right="0" w:rightChars="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一是持续深化机制建设，夯实协同执法基础。以综合执法组实体化运行为依托，持续发挥“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”综合执法体系优势，助力“崇文卫士”治理模式创新升级，推动跨部门联合执法，实现职权领域监管全覆盖，凝聚协同监管合力。</w:t>
      </w:r>
    </w:p>
    <w:p w14:paraId="722B3FAB">
      <w:pPr>
        <w:pStyle w:val="2"/>
        <w:keepNext w:val="0"/>
        <w:keepLines w:val="0"/>
        <w:pageBreakBefore w:val="0"/>
        <w:kinsoku/>
        <w:wordWrap/>
        <w:overflowPunct/>
        <w:autoSpaceDE/>
        <w:autoSpaceDN/>
        <w:bidi w:val="0"/>
        <w:snapToGrid/>
        <w:spacing w:line="560" w:lineRule="exact"/>
        <w:ind w:left="0" w:leftChars="0" w:right="0" w:rightChars="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是提升执法检查质效，筑牢精准监管防线。纵深推进一体化综合监管改革，强化执法与服务融合，科学制定检查计划，精准选取检查对象，深化“双随机”联合抽查、“综合查一次”机制效能，聚焦重点领域、关键环节实施靶向监管，全年累计完成各类检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2471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户次，同比下降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33.56%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，问题发现率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48.96%，同比提升35.35%，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实现执法资源集约利用与监管效能提升的双赢。</w:t>
      </w:r>
    </w:p>
    <w:p w14:paraId="5BFADC86">
      <w:pPr>
        <w:pStyle w:val="2"/>
        <w:keepNext w:val="0"/>
        <w:keepLines w:val="0"/>
        <w:pageBreakBefore w:val="0"/>
        <w:kinsoku/>
        <w:wordWrap/>
        <w:overflowPunct/>
        <w:autoSpaceDE/>
        <w:autoSpaceDN/>
        <w:bidi w:val="0"/>
        <w:snapToGrid/>
        <w:spacing w:line="560" w:lineRule="exact"/>
        <w:ind w:left="0" w:leftChars="0" w:right="0" w:righ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三是拓宽非现场监管路径，赋能营商环境优化。积极运用数据比对、设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备监控、远程核查等数字化手段开展监管，全年非现场检查占比超过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。严格遵循“发现问题为导向”“无事不扰为底线”原则，探索驱动类非现场监管应用场景，推动非现场监管迭代升级，以监管创新助力营商环境持续向好。</w:t>
      </w:r>
    </w:p>
    <w:p w14:paraId="5806B9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（三）细化执法监督，规范执法行为</w:t>
      </w:r>
    </w:p>
    <w:p w14:paraId="697C95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崇文门外街道</w:t>
      </w:r>
      <w:r>
        <w:rPr>
          <w:rFonts w:hint="eastAsia" w:ascii="仿宋_GB2312" w:hAnsi="仿宋_GB2312" w:eastAsia="仿宋_GB2312" w:cs="仿宋_GB2312"/>
          <w:color w:val="auto"/>
          <w:sz w:val="32"/>
          <w:szCs w:val="32"/>
          <w:lang w:val="en-US" w:eastAsia="zh-CN"/>
        </w:rPr>
        <w:t>始终将规范行政执法作为提升治理能力的关键环节，持续强化对执法权力运行的制约与监督。</w:t>
      </w:r>
    </w:p>
    <w:p w14:paraId="076D36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w:t>
      </w:r>
      <w:r>
        <w:rPr>
          <w:rFonts w:hint="default" w:ascii="仿宋_GB2312" w:hAnsi="仿宋_GB2312" w:eastAsia="仿宋_GB2312" w:cs="仿宋_GB2312"/>
          <w:b w:val="0"/>
          <w:bCs w:val="0"/>
          <w:color w:val="auto"/>
          <w:sz w:val="32"/>
          <w:szCs w:val="32"/>
          <w:lang w:val="en-US" w:eastAsia="zh-CN"/>
        </w:rPr>
        <w:t>严格落实重大</w:t>
      </w:r>
      <w:r>
        <w:rPr>
          <w:rFonts w:hint="eastAsia" w:ascii="仿宋_GB2312" w:hAnsi="仿宋_GB2312" w:eastAsia="仿宋_GB2312" w:cs="仿宋_GB2312"/>
          <w:b w:val="0"/>
          <w:bCs w:val="0"/>
          <w:color w:val="auto"/>
          <w:sz w:val="32"/>
          <w:szCs w:val="32"/>
          <w:lang w:val="en-US" w:eastAsia="zh-CN"/>
        </w:rPr>
        <w:t>行政</w:t>
      </w:r>
      <w:r>
        <w:rPr>
          <w:rFonts w:hint="default" w:ascii="仿宋_GB2312" w:hAnsi="仿宋_GB2312" w:eastAsia="仿宋_GB2312" w:cs="仿宋_GB2312"/>
          <w:b w:val="0"/>
          <w:bCs w:val="0"/>
          <w:color w:val="auto"/>
          <w:sz w:val="32"/>
          <w:szCs w:val="32"/>
          <w:lang w:val="en-US" w:eastAsia="zh-CN"/>
        </w:rPr>
        <w:t>执法决定法制审核制度，聚焦执法主体资格、执法对象认定、证据链条完整性、法律适用准确性等核心要素，对全年重大执法案件开展全面法制审核，逐案出具审核意见，有效防范执法风险。</w:t>
      </w:r>
    </w:p>
    <w:p w14:paraId="087EF6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二是</w:t>
      </w:r>
      <w:r>
        <w:rPr>
          <w:rFonts w:hint="default" w:ascii="仿宋_GB2312" w:hAnsi="仿宋_GB2312" w:eastAsia="仿宋_GB2312" w:cs="仿宋_GB2312"/>
          <w:b w:val="0"/>
          <w:bCs w:val="0"/>
          <w:color w:val="auto"/>
          <w:sz w:val="32"/>
          <w:szCs w:val="32"/>
          <w:lang w:val="en-US" w:eastAsia="zh-CN"/>
        </w:rPr>
        <w:t>强化执法案卷规范化</w:t>
      </w:r>
      <w:r>
        <w:rPr>
          <w:rFonts w:hint="eastAsia" w:ascii="仿宋_GB2312" w:hAnsi="仿宋_GB2312" w:eastAsia="仿宋_GB2312" w:cs="仿宋_GB2312"/>
          <w:b w:val="0"/>
          <w:bCs w:val="0"/>
          <w:color w:val="auto"/>
          <w:sz w:val="32"/>
          <w:szCs w:val="32"/>
          <w:lang w:val="en-US" w:eastAsia="zh-CN"/>
        </w:rPr>
        <w:t>监督。</w:t>
      </w:r>
      <w:r>
        <w:rPr>
          <w:rFonts w:hint="default" w:ascii="仿宋_GB2312" w:hAnsi="仿宋_GB2312" w:eastAsia="仿宋_GB2312" w:cs="仿宋_GB2312"/>
          <w:b w:val="0"/>
          <w:bCs w:val="0"/>
          <w:color w:val="auto"/>
          <w:sz w:val="32"/>
          <w:szCs w:val="32"/>
          <w:lang w:val="en-US" w:eastAsia="zh-CN"/>
        </w:rPr>
        <w:t>采取随机抽查的方式，</w:t>
      </w:r>
      <w:r>
        <w:rPr>
          <w:rFonts w:hint="eastAsia" w:ascii="仿宋_GB2312" w:hAnsi="仿宋_GB2312" w:eastAsia="仿宋_GB2312" w:cs="仿宋_GB2312"/>
          <w:b w:val="0"/>
          <w:bCs w:val="0"/>
          <w:color w:val="auto"/>
          <w:sz w:val="32"/>
          <w:szCs w:val="32"/>
          <w:lang w:val="en-US" w:eastAsia="zh-CN"/>
        </w:rPr>
        <w:t>分两批次</w:t>
      </w:r>
      <w:r>
        <w:rPr>
          <w:rFonts w:hint="default" w:ascii="仿宋_GB2312" w:hAnsi="仿宋_GB2312" w:eastAsia="仿宋_GB2312" w:cs="仿宋_GB2312"/>
          <w:b w:val="0"/>
          <w:bCs w:val="0"/>
          <w:color w:val="auto"/>
          <w:sz w:val="32"/>
          <w:szCs w:val="32"/>
          <w:lang w:val="en-US" w:eastAsia="zh-CN"/>
        </w:rPr>
        <w:t>对</w:t>
      </w:r>
      <w:r>
        <w:rPr>
          <w:rFonts w:hint="default" w:ascii="Times New Roman" w:hAnsi="Times New Roman" w:eastAsia="仿宋_GB2312" w:cs="Times New Roman"/>
          <w:b w:val="0"/>
          <w:bCs w:val="0"/>
          <w:color w:val="auto"/>
          <w:sz w:val="32"/>
          <w:szCs w:val="32"/>
          <w:lang w:val="en-US" w:eastAsia="zh-CN"/>
        </w:rPr>
        <w:t>63</w:t>
      </w:r>
      <w:r>
        <w:rPr>
          <w:rFonts w:hint="eastAsia" w:ascii="仿宋_GB2312" w:hAnsi="仿宋_GB2312" w:eastAsia="仿宋_GB2312" w:cs="仿宋_GB2312"/>
          <w:b w:val="0"/>
          <w:bCs w:val="0"/>
          <w:color w:val="auto"/>
          <w:sz w:val="32"/>
          <w:szCs w:val="32"/>
          <w:lang w:val="en-US" w:eastAsia="zh-CN"/>
        </w:rPr>
        <w:t>本</w:t>
      </w:r>
      <w:r>
        <w:rPr>
          <w:rFonts w:hint="default" w:ascii="仿宋_GB2312" w:hAnsi="仿宋_GB2312" w:eastAsia="仿宋_GB2312" w:cs="仿宋_GB2312"/>
          <w:b w:val="0"/>
          <w:bCs w:val="0"/>
          <w:color w:val="auto"/>
          <w:sz w:val="32"/>
          <w:szCs w:val="32"/>
          <w:lang w:val="en-US" w:eastAsia="zh-CN"/>
        </w:rPr>
        <w:t>行政处罚案卷</w:t>
      </w:r>
      <w:r>
        <w:rPr>
          <w:rFonts w:hint="eastAsia" w:ascii="仿宋_GB2312" w:hAnsi="仿宋_GB2312" w:eastAsia="仿宋_GB2312" w:cs="仿宋_GB2312"/>
          <w:b w:val="0"/>
          <w:bCs w:val="0"/>
          <w:color w:val="auto"/>
          <w:sz w:val="32"/>
          <w:szCs w:val="32"/>
          <w:lang w:val="en-US" w:eastAsia="zh-CN"/>
        </w:rPr>
        <w:t>进行自评</w:t>
      </w:r>
      <w:r>
        <w:rPr>
          <w:rFonts w:hint="default" w:ascii="仿宋_GB2312" w:hAnsi="仿宋_GB2312" w:eastAsia="仿宋_GB2312" w:cs="仿宋_GB2312"/>
          <w:b w:val="0"/>
          <w:bCs w:val="0"/>
          <w:color w:val="auto"/>
          <w:sz w:val="32"/>
          <w:szCs w:val="32"/>
          <w:lang w:val="en-US" w:eastAsia="zh-CN"/>
        </w:rPr>
        <w:t>，针对案卷中存在的文书填写不规范、</w:t>
      </w:r>
      <w:r>
        <w:rPr>
          <w:rFonts w:hint="eastAsia" w:ascii="仿宋_GB2312" w:hAnsi="仿宋_GB2312" w:eastAsia="仿宋_GB2312" w:cs="仿宋_GB2312"/>
          <w:b w:val="0"/>
          <w:bCs w:val="0"/>
          <w:color w:val="auto"/>
          <w:sz w:val="32"/>
          <w:szCs w:val="32"/>
          <w:lang w:val="en-US" w:eastAsia="zh-CN"/>
        </w:rPr>
        <w:t>语言表述</w:t>
      </w:r>
      <w:r>
        <w:rPr>
          <w:rFonts w:hint="default" w:ascii="仿宋_GB2312" w:hAnsi="仿宋_GB2312" w:eastAsia="仿宋_GB2312" w:cs="仿宋_GB2312"/>
          <w:b w:val="0"/>
          <w:bCs w:val="0"/>
          <w:color w:val="auto"/>
          <w:sz w:val="32"/>
          <w:szCs w:val="32"/>
          <w:lang w:val="en-US" w:eastAsia="zh-CN"/>
        </w:rPr>
        <w:t>不严谨等问题，</w:t>
      </w:r>
      <w:r>
        <w:rPr>
          <w:rFonts w:hint="eastAsia" w:ascii="仿宋_GB2312" w:hAnsi="仿宋_GB2312" w:eastAsia="仿宋_GB2312" w:cs="仿宋_GB2312"/>
          <w:b w:val="0"/>
          <w:bCs w:val="0"/>
          <w:color w:val="auto"/>
          <w:sz w:val="32"/>
          <w:szCs w:val="32"/>
          <w:lang w:val="en-US" w:eastAsia="zh-CN"/>
        </w:rPr>
        <w:t>提出意见建议。</w:t>
      </w:r>
    </w:p>
    <w:p w14:paraId="13B623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三是开展</w:t>
      </w:r>
      <w:r>
        <w:rPr>
          <w:rFonts w:hint="eastAsia" w:ascii="仿宋_GB2312" w:hAnsi="仿宋_GB2312" w:eastAsia="仿宋_GB2312" w:cs="仿宋_GB2312"/>
          <w:color w:val="auto"/>
          <w:sz w:val="32"/>
          <w:szCs w:val="32"/>
          <w:lang w:val="en-US" w:eastAsia="zh-CN"/>
        </w:rPr>
        <w:t>嵌入式深度监督。街道司法所</w:t>
      </w:r>
      <w:r>
        <w:rPr>
          <w:rFonts w:hint="eastAsia" w:ascii="仿宋_GB2312" w:hAnsi="仿宋_GB2312" w:eastAsia="仿宋_GB2312" w:cs="仿宋_GB2312"/>
          <w:sz w:val="32"/>
          <w:szCs w:val="32"/>
        </w:rPr>
        <w:t>联合纪工委对综合执法队开展“伴随式”行政执法监督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重点围绕执法人员规范着装、亮证执法、全过程记录及法律文书现场制作</w:t>
      </w:r>
      <w:r>
        <w:rPr>
          <w:rFonts w:ascii="仿宋_GB2312" w:hAnsi="仿宋_GB2312" w:eastAsia="仿宋_GB2312"/>
          <w:sz w:val="32"/>
          <w:szCs w:val="32"/>
        </w:rPr>
        <w:t>等关键环节</w:t>
      </w:r>
      <w:r>
        <w:rPr>
          <w:rFonts w:hint="eastAsia" w:ascii="仿宋_GB2312" w:hAnsi="仿宋_GB2312" w:eastAsia="仿宋_GB2312"/>
          <w:sz w:val="32"/>
          <w:szCs w:val="32"/>
          <w:lang w:eastAsia="zh-CN"/>
        </w:rPr>
        <w:t>进行</w:t>
      </w:r>
      <w:r>
        <w:rPr>
          <w:rFonts w:hint="eastAsia" w:ascii="仿宋_GB2312" w:hAnsi="仿宋_GB2312" w:eastAsia="仿宋_GB2312" w:cs="仿宋_GB2312"/>
          <w:sz w:val="32"/>
          <w:szCs w:val="32"/>
        </w:rPr>
        <w:t>全流程嵌入式督导，着力构建规范高效的执法监督体系</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保障市场主体合法权益。</w:t>
      </w:r>
      <w:r>
        <w:rPr>
          <w:rFonts w:hint="default" w:ascii="仿宋_GB2312" w:hAnsi="仿宋_GB2312" w:eastAsia="仿宋_GB2312" w:cs="仿宋_GB2312"/>
          <w:color w:val="auto"/>
          <w:sz w:val="32"/>
          <w:szCs w:val="32"/>
          <w:lang w:val="en-US" w:eastAsia="zh-CN"/>
        </w:rPr>
        <w:t>通过“审核+评查</w:t>
      </w:r>
      <w:r>
        <w:rPr>
          <w:rFonts w:hint="eastAsia" w:ascii="仿宋_GB2312" w:hAnsi="仿宋_GB2312" w:eastAsia="仿宋_GB2312" w:cs="仿宋_GB2312"/>
          <w:color w:val="auto"/>
          <w:sz w:val="32"/>
          <w:szCs w:val="32"/>
          <w:lang w:val="en-US" w:eastAsia="zh-CN"/>
        </w:rPr>
        <w:t>+日常监督</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多点</w:t>
      </w:r>
      <w:r>
        <w:rPr>
          <w:rFonts w:hint="default" w:ascii="仿宋_GB2312" w:hAnsi="仿宋_GB2312" w:eastAsia="仿宋_GB2312" w:cs="仿宋_GB2312"/>
          <w:color w:val="auto"/>
          <w:sz w:val="32"/>
          <w:szCs w:val="32"/>
          <w:lang w:val="en-US" w:eastAsia="zh-CN"/>
        </w:rPr>
        <w:t>发力，推动执法行为全过程规范、全流程留痕，切实提升行政执法的公信力和权威性。</w:t>
      </w:r>
    </w:p>
    <w:p w14:paraId="173697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（四）优化法律服务</w:t>
      </w:r>
      <w:r>
        <w:rPr>
          <w:rFonts w:hint="eastAsia"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val="en-US" w:eastAsia="zh-CN"/>
        </w:rPr>
        <w:t>厚植法治根基</w:t>
      </w:r>
    </w:p>
    <w:p w14:paraId="1E58D84A">
      <w:pPr>
        <w:pStyle w:val="2"/>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崇文门外街道聚焦群众法治需求，构建“精准普法+专业服务”双轮驱动的法律服务体系，切实将法治保障融入基层治理各环节。</w:t>
      </w:r>
    </w:p>
    <w:p w14:paraId="53D8B1ED">
      <w:pPr>
        <w:pStyle w:val="2"/>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一是</w:t>
      </w:r>
      <w:r>
        <w:rPr>
          <w:rFonts w:hint="default" w:ascii="仿宋_GB2312" w:hAnsi="仿宋_GB2312" w:eastAsia="仿宋_GB2312" w:cs="仿宋_GB2312"/>
          <w:b w:val="0"/>
          <w:bCs w:val="0"/>
          <w:color w:val="auto"/>
          <w:kern w:val="2"/>
          <w:sz w:val="32"/>
          <w:szCs w:val="32"/>
          <w:lang w:val="en-US" w:eastAsia="zh-CN" w:bidi="ar-SA"/>
        </w:rPr>
        <w:t>紧扣消费者权益日、民法典宣传月、国家安全日、敬老月等重要节点，围绕反诈、禁毒、消防安全等核心主题，面向老年人、妇女、青少年等重点群体开展针对性普法讲座</w:t>
      </w:r>
      <w:r>
        <w:rPr>
          <w:rFonts w:hint="default" w:ascii="Times New Roman" w:hAnsi="Times New Roman" w:cs="Times New Roman"/>
          <w:b w:val="0"/>
          <w:bCs w:val="0"/>
          <w:lang w:val="en-US" w:eastAsia="zh-CN"/>
        </w:rPr>
        <w:t>100</w:t>
      </w:r>
      <w:r>
        <w:rPr>
          <w:rFonts w:hint="default" w:ascii="仿宋_GB2312" w:hAnsi="仿宋_GB2312" w:eastAsia="仿宋_GB2312" w:cs="仿宋_GB2312"/>
          <w:b w:val="0"/>
          <w:bCs w:val="0"/>
          <w:color w:val="auto"/>
          <w:kern w:val="2"/>
          <w:sz w:val="32"/>
          <w:szCs w:val="32"/>
          <w:lang w:val="en-US" w:eastAsia="zh-CN" w:bidi="ar-SA"/>
        </w:rPr>
        <w:t>余场，通过以案释法、现场答疑等形式，筑牢辖区平安法治防线。联动东城区律师协会、街道公益法律服务团，开展青少年权益保障、新就业群体法治护航等专题宣讲活动</w:t>
      </w:r>
      <w:r>
        <w:rPr>
          <w:rFonts w:hint="default" w:ascii="Times New Roman" w:hAnsi="Times New Roman" w:cs="Times New Roman"/>
          <w:b w:val="0"/>
          <w:bCs w:val="0"/>
          <w:lang w:val="en-US" w:eastAsia="zh-CN"/>
        </w:rPr>
        <w:t>8</w:t>
      </w:r>
      <w:r>
        <w:rPr>
          <w:rFonts w:hint="default" w:ascii="仿宋_GB2312" w:hAnsi="仿宋_GB2312" w:eastAsia="仿宋_GB2312" w:cs="仿宋_GB2312"/>
          <w:b w:val="0"/>
          <w:bCs w:val="0"/>
          <w:color w:val="auto"/>
          <w:kern w:val="2"/>
          <w:sz w:val="32"/>
          <w:szCs w:val="32"/>
          <w:lang w:val="en-US" w:eastAsia="zh-CN" w:bidi="ar-SA"/>
        </w:rPr>
        <w:t>次，精准提升特定群体的法律意识和维权能力。</w:t>
      </w:r>
    </w:p>
    <w:p w14:paraId="7566A279">
      <w:pPr>
        <w:pStyle w:val="2"/>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二是</w:t>
      </w:r>
      <w:r>
        <w:rPr>
          <w:rFonts w:hint="default" w:ascii="仿宋_GB2312" w:hAnsi="仿宋_GB2312" w:eastAsia="仿宋_GB2312" w:cs="仿宋_GB2312"/>
          <w:b w:val="0"/>
          <w:bCs w:val="0"/>
          <w:color w:val="auto"/>
          <w:kern w:val="2"/>
          <w:sz w:val="32"/>
          <w:szCs w:val="32"/>
          <w:lang w:val="en-US" w:eastAsia="zh-CN" w:bidi="ar-SA"/>
        </w:rPr>
        <w:t>充分盘活辖区商圈大屏、便民服务大厅电子屏等宣传阵地</w:t>
      </w:r>
      <w:r>
        <w:rPr>
          <w:rFonts w:hint="eastAsia" w:ascii="仿宋_GB2312" w:hAnsi="仿宋_GB2312" w:cs="仿宋_GB2312"/>
          <w:b w:val="0"/>
          <w:bCs w:val="0"/>
          <w:color w:val="auto"/>
          <w:kern w:val="2"/>
          <w:sz w:val="32"/>
          <w:szCs w:val="32"/>
          <w:lang w:val="en-US" w:eastAsia="zh-CN" w:bidi="ar-SA"/>
        </w:rPr>
        <w:t>资源</w:t>
      </w:r>
      <w:r>
        <w:rPr>
          <w:rFonts w:hint="default" w:ascii="仿宋_GB2312" w:hAnsi="仿宋_GB2312" w:eastAsia="仿宋_GB2312" w:cs="仿宋_GB2312"/>
          <w:b w:val="0"/>
          <w:bCs w:val="0"/>
          <w:color w:val="auto"/>
          <w:kern w:val="2"/>
          <w:sz w:val="32"/>
          <w:szCs w:val="32"/>
          <w:lang w:val="en-US" w:eastAsia="zh-CN" w:bidi="ar-SA"/>
        </w:rPr>
        <w:t>，循环播放宪法、劳动法、农民工权益保障法等法律法规宣传内容，拓宽普法覆盖面，增强法治宣传渗透力。</w:t>
      </w:r>
    </w:p>
    <w:p w14:paraId="25E935AE">
      <w:pPr>
        <w:pStyle w:val="2"/>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三是</w:t>
      </w:r>
      <w:r>
        <w:rPr>
          <w:rFonts w:hint="default" w:ascii="仿宋_GB2312" w:hAnsi="仿宋_GB2312" w:eastAsia="仿宋_GB2312" w:cs="仿宋_GB2312"/>
          <w:b w:val="0"/>
          <w:bCs w:val="0"/>
          <w:color w:val="auto"/>
          <w:kern w:val="2"/>
          <w:sz w:val="32"/>
          <w:szCs w:val="32"/>
          <w:lang w:val="en-US" w:eastAsia="zh-CN" w:bidi="ar-SA"/>
        </w:rPr>
        <w:t>针对基层治理难点痛点，深化法律服务赋能实效，围绕接诉即办高</w:t>
      </w:r>
      <w:r>
        <w:rPr>
          <w:rFonts w:hint="default" w:ascii="仿宋_GB2312" w:hAnsi="仿宋_GB2312" w:eastAsia="仿宋_GB2312" w:cs="仿宋_GB2312"/>
          <w:color w:val="auto"/>
          <w:kern w:val="2"/>
          <w:sz w:val="32"/>
          <w:szCs w:val="32"/>
          <w:lang w:val="en-US" w:eastAsia="zh-CN" w:bidi="ar-SA"/>
        </w:rPr>
        <w:t>频事项开展专项普法答疑会，聚焦执法程序规范、物业纠纷调解等工作难点，邀请执业律师深度参与街道各类涉法事务，通过常态化交流互动为基层工作提供专业法律指导。一年来，组织律师</w:t>
      </w:r>
      <w:r>
        <w:rPr>
          <w:rFonts w:hint="eastAsia" w:ascii="仿宋_GB2312" w:hAnsi="仿宋_GB2312" w:cs="仿宋_GB2312"/>
          <w:color w:val="auto"/>
          <w:kern w:val="2"/>
          <w:sz w:val="32"/>
          <w:szCs w:val="32"/>
          <w:lang w:val="en-US" w:eastAsia="zh-CN" w:bidi="ar-SA"/>
        </w:rPr>
        <w:t>审核</w:t>
      </w:r>
      <w:r>
        <w:rPr>
          <w:rFonts w:hint="default" w:ascii="仿宋_GB2312" w:hAnsi="仿宋_GB2312" w:eastAsia="仿宋_GB2312" w:cs="仿宋_GB2312"/>
          <w:color w:val="auto"/>
          <w:kern w:val="2"/>
          <w:sz w:val="32"/>
          <w:szCs w:val="32"/>
          <w:lang w:val="en-US" w:eastAsia="zh-CN" w:bidi="ar-SA"/>
        </w:rPr>
        <w:t>街道合同</w:t>
      </w:r>
      <w:r>
        <w:rPr>
          <w:rFonts w:hint="default" w:ascii="仿宋_GB2312" w:hAnsi="仿宋_GB2312" w:eastAsia="仿宋_GB2312" w:cs="仿宋_GB2312"/>
          <w:color w:val="auto"/>
          <w:kern w:val="2"/>
          <w:sz w:val="32"/>
          <w:szCs w:val="32"/>
          <w:highlight w:val="none"/>
          <w:lang w:val="en-US" w:eastAsia="zh-CN" w:bidi="ar-SA"/>
        </w:rPr>
        <w:t>文本</w:t>
      </w:r>
      <w:r>
        <w:rPr>
          <w:rFonts w:hint="eastAsia" w:ascii="Times New Roman" w:hAnsi="Times New Roman" w:cs="Times New Roman"/>
          <w:color w:val="auto"/>
          <w:kern w:val="2"/>
          <w:sz w:val="32"/>
          <w:szCs w:val="32"/>
          <w:highlight w:val="none"/>
          <w:lang w:val="en-US" w:eastAsia="zh-CN" w:bidi="ar-SA"/>
        </w:rPr>
        <w:t>198</w:t>
      </w:r>
      <w:r>
        <w:rPr>
          <w:rFonts w:hint="eastAsia" w:ascii="仿宋_GB2312" w:hAnsi="仿宋_GB2312" w:cs="仿宋_GB2312"/>
          <w:color w:val="auto"/>
          <w:kern w:val="2"/>
          <w:sz w:val="32"/>
          <w:szCs w:val="32"/>
          <w:highlight w:val="none"/>
          <w:lang w:val="en-US" w:eastAsia="zh-CN" w:bidi="ar-SA"/>
        </w:rPr>
        <w:t>件、其他涉法文件</w:t>
      </w:r>
      <w:r>
        <w:rPr>
          <w:rFonts w:hint="default" w:ascii="Times New Roman" w:hAnsi="Times New Roman" w:cs="Times New Roman"/>
          <w:color w:val="auto"/>
          <w:kern w:val="2"/>
          <w:sz w:val="32"/>
          <w:szCs w:val="32"/>
          <w:highlight w:val="none"/>
          <w:lang w:val="en-US" w:eastAsia="zh-CN" w:bidi="ar-SA"/>
        </w:rPr>
        <w:t>80</w:t>
      </w:r>
      <w:r>
        <w:rPr>
          <w:rFonts w:hint="eastAsia" w:ascii="仿宋_GB2312" w:hAnsi="仿宋_GB2312" w:cs="仿宋_GB2312"/>
          <w:color w:val="auto"/>
          <w:kern w:val="2"/>
          <w:sz w:val="32"/>
          <w:szCs w:val="32"/>
          <w:highlight w:val="none"/>
          <w:lang w:val="en-US" w:eastAsia="zh-CN" w:bidi="ar-SA"/>
        </w:rPr>
        <w:t>余件，</w:t>
      </w:r>
      <w:r>
        <w:rPr>
          <w:rFonts w:hint="default" w:ascii="仿宋_GB2312" w:hAnsi="仿宋_GB2312" w:eastAsia="仿宋_GB2312" w:cs="仿宋_GB2312"/>
          <w:color w:val="auto"/>
          <w:kern w:val="2"/>
          <w:sz w:val="32"/>
          <w:szCs w:val="32"/>
          <w:lang w:val="en-US" w:eastAsia="zh-CN" w:bidi="ar-SA"/>
        </w:rPr>
        <w:t>有效防范化解行政法律风险，为街道依法履职、规范治理提供</w:t>
      </w:r>
      <w:r>
        <w:rPr>
          <w:rFonts w:hint="eastAsia" w:ascii="仿宋_GB2312" w:hAnsi="仿宋_GB2312" w:cs="仿宋_GB2312"/>
          <w:color w:val="auto"/>
          <w:kern w:val="2"/>
          <w:sz w:val="32"/>
          <w:szCs w:val="32"/>
          <w:lang w:val="en-US" w:eastAsia="zh-CN" w:bidi="ar-SA"/>
        </w:rPr>
        <w:t>了</w:t>
      </w:r>
      <w:r>
        <w:rPr>
          <w:rFonts w:hint="default" w:ascii="仿宋_GB2312" w:hAnsi="仿宋_GB2312" w:eastAsia="仿宋_GB2312" w:cs="仿宋_GB2312"/>
          <w:color w:val="auto"/>
          <w:kern w:val="2"/>
          <w:sz w:val="32"/>
          <w:szCs w:val="32"/>
          <w:lang w:val="en-US" w:eastAsia="zh-CN" w:bidi="ar-SA"/>
        </w:rPr>
        <w:t>坚实法治保障。</w:t>
      </w:r>
    </w:p>
    <w:p w14:paraId="11559F0C">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二、202</w:t>
      </w:r>
      <w:r>
        <w:rPr>
          <w:rFonts w:hint="eastAsia" w:ascii="Times New Roman" w:hAnsi="Times New Roman" w:eastAsia="黑体" w:cs="Times New Roman"/>
          <w:kern w:val="0"/>
          <w:sz w:val="32"/>
          <w:szCs w:val="32"/>
          <w:lang w:val="en-US" w:eastAsia="zh-CN"/>
        </w:rPr>
        <w:t>5</w:t>
      </w:r>
      <w:r>
        <w:rPr>
          <w:rFonts w:hint="default" w:ascii="Times New Roman" w:hAnsi="Times New Roman" w:eastAsia="黑体" w:cs="Times New Roman"/>
          <w:kern w:val="0"/>
          <w:sz w:val="32"/>
          <w:szCs w:val="32"/>
          <w:lang w:val="en-US" w:eastAsia="zh-CN"/>
        </w:rPr>
        <w:t>年推进法治政府建设存在的不足和原因</w:t>
      </w:r>
    </w:p>
    <w:p w14:paraId="4DA2EB38">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2025</w:t>
      </w:r>
      <w:r>
        <w:rPr>
          <w:rFonts w:hint="default" w:ascii="仿宋_GB2312" w:hAnsi="仿宋_GB2312" w:eastAsia="仿宋_GB2312" w:cs="仿宋_GB2312"/>
          <w:color w:val="auto"/>
          <w:kern w:val="2"/>
          <w:sz w:val="32"/>
          <w:szCs w:val="32"/>
          <w:lang w:val="en-US" w:eastAsia="zh-CN" w:bidi="ar-SA"/>
        </w:rPr>
        <w:t>年，崇文门外街道法治政府建设工作稳步推进并取得一定成效，</w:t>
      </w:r>
      <w:r>
        <w:rPr>
          <w:rFonts w:hint="eastAsia" w:ascii="仿宋_GB2312" w:hAnsi="仿宋_GB2312" w:eastAsia="仿宋_GB2312" w:cs="仿宋_GB2312"/>
          <w:color w:val="auto"/>
          <w:kern w:val="2"/>
          <w:sz w:val="32"/>
          <w:szCs w:val="32"/>
          <w:lang w:val="en-US" w:eastAsia="zh-CN" w:bidi="ar-SA"/>
        </w:rPr>
        <w:t>但</w:t>
      </w:r>
      <w:r>
        <w:rPr>
          <w:rFonts w:hint="default" w:ascii="仿宋_GB2312" w:hAnsi="仿宋_GB2312" w:eastAsia="仿宋_GB2312" w:cs="仿宋_GB2312"/>
          <w:color w:val="auto"/>
          <w:kern w:val="2"/>
          <w:sz w:val="32"/>
          <w:szCs w:val="32"/>
          <w:lang w:val="en-US" w:eastAsia="zh-CN" w:bidi="ar-SA"/>
        </w:rPr>
        <w:t>仍存在一些短板和薄弱环节，具体体现在以下方面：</w:t>
      </w:r>
    </w:p>
    <w:p w14:paraId="45CDB2C5">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一是法治思维与依法行政能力存在短板。部分工作人员在学习法律知识和应用法律方面的主动性仍需加强，在具体工作中运用法治逻辑分析问题、以法治手段破解难题的能力有待提升，有时仍存在“重经验、轻法规”的惯性思维，影响了依法履职的质效。</w:t>
      </w:r>
    </w:p>
    <w:p w14:paraId="113245FE">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二是普法宣传工作质效有</w:t>
      </w:r>
      <w:r>
        <w:rPr>
          <w:rFonts w:hint="eastAsia" w:ascii="仿宋_GB2312" w:hAnsi="仿宋_GB2312" w:eastAsia="仿宋_GB2312" w:cs="仿宋_GB2312"/>
          <w:b w:val="0"/>
          <w:bCs w:val="0"/>
          <w:color w:val="auto"/>
          <w:kern w:val="2"/>
          <w:sz w:val="32"/>
          <w:szCs w:val="32"/>
          <w:lang w:val="en-US" w:eastAsia="zh-CN" w:bidi="ar-SA"/>
        </w:rPr>
        <w:t>进一步</w:t>
      </w:r>
      <w:r>
        <w:rPr>
          <w:rFonts w:hint="default" w:ascii="仿宋_GB2312" w:hAnsi="仿宋_GB2312" w:eastAsia="仿宋_GB2312" w:cs="仿宋_GB2312"/>
          <w:b w:val="0"/>
          <w:bCs w:val="0"/>
          <w:color w:val="auto"/>
          <w:kern w:val="2"/>
          <w:sz w:val="32"/>
          <w:szCs w:val="32"/>
          <w:lang w:val="en-US" w:eastAsia="zh-CN" w:bidi="ar-SA"/>
        </w:rPr>
        <w:t>提升</w:t>
      </w:r>
      <w:r>
        <w:rPr>
          <w:rFonts w:hint="eastAsia" w:ascii="仿宋_GB2312" w:hAnsi="仿宋_GB2312" w:eastAsia="仿宋_GB2312" w:cs="仿宋_GB2312"/>
          <w:b w:val="0"/>
          <w:bCs w:val="0"/>
          <w:color w:val="auto"/>
          <w:kern w:val="2"/>
          <w:sz w:val="32"/>
          <w:szCs w:val="32"/>
          <w:lang w:val="en-US" w:eastAsia="zh-CN" w:bidi="ar-SA"/>
        </w:rPr>
        <w:t>空间</w:t>
      </w:r>
      <w:r>
        <w:rPr>
          <w:rFonts w:hint="default" w:ascii="仿宋_GB2312" w:hAnsi="仿宋_GB2312" w:eastAsia="仿宋_GB2312" w:cs="仿宋_GB2312"/>
          <w:b w:val="0"/>
          <w:bCs w:val="0"/>
          <w:color w:val="auto"/>
          <w:kern w:val="2"/>
          <w:sz w:val="32"/>
          <w:szCs w:val="32"/>
          <w:lang w:val="en-US" w:eastAsia="zh-CN" w:bidi="ar-SA"/>
        </w:rPr>
        <w:t>。普法工作形式较为单一，缺乏创新吸引力，特别是</w:t>
      </w:r>
      <w:r>
        <w:rPr>
          <w:rFonts w:hint="eastAsia" w:ascii="仿宋_GB2312" w:hAnsi="仿宋_GB2312" w:eastAsia="仿宋_GB2312" w:cs="仿宋_GB2312"/>
          <w:b w:val="0"/>
          <w:bCs w:val="0"/>
          <w:color w:val="auto"/>
          <w:kern w:val="2"/>
          <w:sz w:val="32"/>
          <w:szCs w:val="32"/>
          <w:lang w:val="en-US" w:eastAsia="zh-CN" w:bidi="ar-SA"/>
        </w:rPr>
        <w:t>针对</w:t>
      </w:r>
      <w:r>
        <w:rPr>
          <w:rFonts w:hint="default" w:ascii="仿宋_GB2312" w:hAnsi="仿宋_GB2312" w:eastAsia="仿宋_GB2312" w:cs="仿宋_GB2312"/>
          <w:b w:val="0"/>
          <w:bCs w:val="0"/>
          <w:color w:val="auto"/>
          <w:kern w:val="2"/>
          <w:sz w:val="32"/>
          <w:szCs w:val="32"/>
          <w:lang w:val="en-US" w:eastAsia="zh-CN" w:bidi="ar-SA"/>
        </w:rPr>
        <w:t>不同群体的差异化需求，普法供给</w:t>
      </w:r>
      <w:r>
        <w:rPr>
          <w:rFonts w:hint="eastAsia" w:ascii="仿宋_GB2312" w:hAnsi="仿宋_GB2312" w:eastAsia="仿宋_GB2312" w:cs="仿宋_GB2312"/>
          <w:b w:val="0"/>
          <w:bCs w:val="0"/>
          <w:color w:val="auto"/>
          <w:kern w:val="2"/>
          <w:sz w:val="32"/>
          <w:szCs w:val="32"/>
          <w:lang w:val="en-US" w:eastAsia="zh-CN" w:bidi="ar-SA"/>
        </w:rPr>
        <w:t>的</w:t>
      </w:r>
      <w:r>
        <w:rPr>
          <w:rFonts w:hint="default" w:ascii="仿宋_GB2312" w:hAnsi="仿宋_GB2312" w:eastAsia="仿宋_GB2312" w:cs="仿宋_GB2312"/>
          <w:b w:val="0"/>
          <w:bCs w:val="0"/>
          <w:color w:val="auto"/>
          <w:kern w:val="2"/>
          <w:sz w:val="32"/>
          <w:szCs w:val="32"/>
          <w:lang w:val="en-US" w:eastAsia="zh-CN" w:bidi="ar-SA"/>
        </w:rPr>
        <w:t>内容</w:t>
      </w:r>
      <w:r>
        <w:rPr>
          <w:rFonts w:hint="eastAsia" w:ascii="仿宋_GB2312" w:hAnsi="仿宋_GB2312" w:eastAsia="仿宋_GB2312" w:cs="仿宋_GB2312"/>
          <w:b w:val="0"/>
          <w:bCs w:val="0"/>
          <w:color w:val="auto"/>
          <w:kern w:val="2"/>
          <w:sz w:val="32"/>
          <w:szCs w:val="32"/>
          <w:lang w:val="en-US" w:eastAsia="zh-CN" w:bidi="ar-SA"/>
        </w:rPr>
        <w:t>和形式</w:t>
      </w:r>
      <w:r>
        <w:rPr>
          <w:rFonts w:hint="default" w:ascii="仿宋_GB2312" w:hAnsi="仿宋_GB2312" w:eastAsia="仿宋_GB2312" w:cs="仿宋_GB2312"/>
          <w:b w:val="0"/>
          <w:bCs w:val="0"/>
          <w:color w:val="auto"/>
          <w:kern w:val="2"/>
          <w:sz w:val="32"/>
          <w:szCs w:val="32"/>
          <w:lang w:val="en-US" w:eastAsia="zh-CN" w:bidi="ar-SA"/>
        </w:rPr>
        <w:t>不</w:t>
      </w:r>
      <w:r>
        <w:rPr>
          <w:rFonts w:hint="eastAsia" w:ascii="仿宋_GB2312" w:hAnsi="仿宋_GB2312" w:eastAsia="仿宋_GB2312" w:cs="仿宋_GB2312"/>
          <w:b w:val="0"/>
          <w:bCs w:val="0"/>
          <w:color w:val="auto"/>
          <w:kern w:val="2"/>
          <w:sz w:val="32"/>
          <w:szCs w:val="32"/>
          <w:lang w:val="en-US" w:eastAsia="zh-CN" w:bidi="ar-SA"/>
        </w:rPr>
        <w:t>够丰富</w:t>
      </w:r>
      <w:r>
        <w:rPr>
          <w:rFonts w:hint="default" w:ascii="仿宋_GB2312" w:hAnsi="仿宋_GB2312" w:eastAsia="仿宋_GB2312" w:cs="仿宋_GB2312"/>
          <w:b w:val="0"/>
          <w:bCs w:val="0"/>
          <w:color w:val="auto"/>
          <w:kern w:val="2"/>
          <w:sz w:val="32"/>
          <w:szCs w:val="32"/>
          <w:lang w:val="en-US" w:eastAsia="zh-CN" w:bidi="ar-SA"/>
        </w:rPr>
        <w:t>。新媒体宣传手段运用不充分，法治宣传教育的普及范围和影响力未能达到更广泛的层次。</w:t>
      </w:r>
    </w:p>
    <w:p w14:paraId="6511C10E">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三是行</w:t>
      </w:r>
      <w:r>
        <w:rPr>
          <w:rFonts w:hint="default" w:ascii="仿宋_GB2312" w:hAnsi="仿宋_GB2312" w:eastAsia="仿宋_GB2312" w:cs="仿宋_GB2312"/>
          <w:color w:val="auto"/>
          <w:kern w:val="2"/>
          <w:sz w:val="32"/>
          <w:szCs w:val="32"/>
          <w:lang w:val="en-US" w:eastAsia="zh-CN" w:bidi="ar-SA"/>
        </w:rPr>
        <w:t>政执法监督力度仍需加强。部分执法人员的规范执法意识</w:t>
      </w:r>
      <w:r>
        <w:rPr>
          <w:rFonts w:hint="eastAsia" w:ascii="仿宋_GB2312" w:hAnsi="仿宋_GB2312" w:eastAsia="仿宋_GB2312" w:cs="仿宋_GB2312"/>
          <w:color w:val="auto"/>
          <w:kern w:val="2"/>
          <w:sz w:val="32"/>
          <w:szCs w:val="32"/>
          <w:lang w:val="en-US" w:eastAsia="zh-CN" w:bidi="ar-SA"/>
        </w:rPr>
        <w:t>、执法服务理念</w:t>
      </w:r>
      <w:r>
        <w:rPr>
          <w:rFonts w:hint="default" w:ascii="仿宋_GB2312" w:hAnsi="仿宋_GB2312" w:eastAsia="仿宋_GB2312" w:cs="仿宋_GB2312"/>
          <w:color w:val="auto"/>
          <w:kern w:val="2"/>
          <w:sz w:val="32"/>
          <w:szCs w:val="32"/>
          <w:lang w:val="en-US" w:eastAsia="zh-CN" w:bidi="ar-SA"/>
        </w:rPr>
        <w:t>有待强化，在自由裁量权行使、</w:t>
      </w:r>
      <w:r>
        <w:rPr>
          <w:rFonts w:hint="eastAsia" w:ascii="仿宋_GB2312" w:hAnsi="仿宋_GB2312" w:eastAsia="仿宋_GB2312" w:cs="仿宋_GB2312"/>
          <w:color w:val="auto"/>
          <w:kern w:val="2"/>
          <w:sz w:val="32"/>
          <w:szCs w:val="32"/>
          <w:lang w:val="en-US" w:eastAsia="zh-CN" w:bidi="ar-SA"/>
        </w:rPr>
        <w:t>推动落实免罚慎罚制度</w:t>
      </w:r>
      <w:r>
        <w:rPr>
          <w:rFonts w:hint="default" w:ascii="仿宋_GB2312" w:hAnsi="仿宋_GB2312" w:eastAsia="仿宋_GB2312" w:cs="仿宋_GB2312"/>
          <w:color w:val="auto"/>
          <w:kern w:val="2"/>
          <w:sz w:val="32"/>
          <w:szCs w:val="32"/>
          <w:lang w:val="en-US" w:eastAsia="zh-CN" w:bidi="ar-SA"/>
        </w:rPr>
        <w:t>等方面存在</w:t>
      </w:r>
      <w:r>
        <w:rPr>
          <w:rFonts w:hint="eastAsia" w:ascii="仿宋_GB2312" w:hAnsi="仿宋_GB2312" w:eastAsia="仿宋_GB2312" w:cs="仿宋_GB2312"/>
          <w:color w:val="auto"/>
          <w:kern w:val="2"/>
          <w:sz w:val="32"/>
          <w:szCs w:val="32"/>
          <w:lang w:val="en-US" w:eastAsia="zh-CN" w:bidi="ar-SA"/>
        </w:rPr>
        <w:t>一定不足。</w:t>
      </w:r>
    </w:p>
    <w:p w14:paraId="6A91367C">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sz w:val="32"/>
          <w:szCs w:val="32"/>
          <w:shd w:val="clear" w:color="auto" w:fill="FFFFFF"/>
          <w:lang w:eastAsia="zh-CN"/>
        </w:rPr>
        <w:t>三</w:t>
      </w:r>
      <w:r>
        <w:rPr>
          <w:rFonts w:hint="default" w:ascii="Times New Roman" w:hAnsi="Times New Roman" w:eastAsia="黑体" w:cs="Times New Roman"/>
          <w:color w:val="auto"/>
          <w:sz w:val="32"/>
          <w:szCs w:val="32"/>
          <w:shd w:val="clear" w:color="auto" w:fill="FFFFFF"/>
        </w:rPr>
        <w:t>、202</w:t>
      </w:r>
      <w:r>
        <w:rPr>
          <w:rFonts w:hint="eastAsia" w:ascii="Times New Roman" w:hAnsi="Times New Roman" w:eastAsia="黑体" w:cs="Times New Roman"/>
          <w:color w:val="auto"/>
          <w:sz w:val="32"/>
          <w:szCs w:val="32"/>
          <w:shd w:val="clear" w:color="auto" w:fill="FFFFFF"/>
          <w:lang w:val="en-US" w:eastAsia="zh-CN"/>
        </w:rPr>
        <w:t>5</w:t>
      </w:r>
      <w:r>
        <w:rPr>
          <w:rFonts w:hint="default" w:ascii="Times New Roman" w:hAnsi="Times New Roman" w:eastAsia="黑体" w:cs="Times New Roman"/>
          <w:color w:val="auto"/>
          <w:sz w:val="32"/>
          <w:szCs w:val="32"/>
          <w:shd w:val="clear" w:color="auto" w:fill="FFFFFF"/>
        </w:rPr>
        <w:t>年街道主要负责人</w:t>
      </w:r>
      <w:r>
        <w:rPr>
          <w:rFonts w:hint="default" w:ascii="Times New Roman" w:hAnsi="Times New Roman" w:eastAsia="黑体" w:cs="Times New Roman"/>
          <w:color w:val="auto"/>
          <w:kern w:val="0"/>
          <w:sz w:val="32"/>
          <w:szCs w:val="32"/>
          <w:lang w:val="en-US" w:eastAsia="zh-CN"/>
        </w:rPr>
        <w:t>履行推进法治建设第一责任人职责和加强法治政府建设的有关情况</w:t>
      </w:r>
    </w:p>
    <w:p w14:paraId="5C88E683">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年，崇文门外街道工委、办事处主要领导切实履行推进法治建设第一责任人职责，深入学习贯彻习近平法治思想，全面落实中央、北京市和东城区关于法治政府建设的决策部署，始终将法治建设贯穿基层治理、民生服务、重大决策全过程，充分发挥街道工委核心领导作用，以“关键少数”示范引领“绝大多数”，为法治街道建设筑牢组织根基、凝聚工作合力。</w:t>
      </w:r>
    </w:p>
    <w:p w14:paraId="78A94B66">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（一）强化组织保障，严守法治底线</w:t>
      </w:r>
    </w:p>
    <w:p w14:paraId="312A970D">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街道主要负责人将法治建设作为重要工作来抓，牵头构建权责清晰、协同高效的工作格局，推动法治建设与各项业务工作同部署、同推进、同落实。严格执行“三重一大”集体决策制度，完善议事决策规则，明确资金使用、人事安排等重大事项必须经主任办公会、工委会集体研究决定。把合法性审查作为重大决策的必经程序，确保决策前有法治把关、决策中有法治考量、决策后有法治评估，将依法行政理念贯穿各部门、各环节，以规范决策筑牢法治建设基础。</w:t>
      </w:r>
    </w:p>
    <w:p w14:paraId="7AA1FFE8">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（二）坚持政治引领</w:t>
      </w: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夯实履职根基</w:t>
      </w:r>
    </w:p>
    <w:p w14:paraId="36AF0399">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党政主要负责人带头学习践行习近平法治思想，将习近平总书记关于法治建设的重要指示精神、党的二十大及二十届三中、四中全会精神纳入党工委理论学习中心组核心内容，引领全体干部深化思想认识。搭建全覆盖学习平台，组织开展“第一议题”、法治专题培训、会前学法等活动，推动干部系统掌握履职所需的法律法规知识。将全面从严治党与法治建设深度融合，通过常态化警示教育、党纪法规宣讲等方式，引导干部牢固树立“法无授权不可为、法定职责必须为”的法治理念，把法治思维转化为依法履职、依规办事的自觉行动，持续巩固风清气正的政治生态。</w:t>
      </w:r>
    </w:p>
    <w:p w14:paraId="5979D87A">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（三）规范涉法事务</w:t>
      </w:r>
      <w:r>
        <w:rPr>
          <w:rFonts w:hint="eastAsia" w:ascii="楷体_GB2312" w:hAnsi="楷体_GB2312" w:eastAsia="楷体_GB2312" w:cs="楷体_GB2312"/>
          <w:color w:val="auto"/>
          <w:kern w:val="2"/>
          <w:sz w:val="32"/>
          <w:szCs w:val="32"/>
          <w:lang w:val="en-US" w:eastAsia="zh-CN" w:bidi="ar-SA"/>
        </w:rPr>
        <w:t>，维护司法权威</w:t>
      </w:r>
    </w:p>
    <w:p w14:paraId="1CE2F49A">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严格落实行政机关负责</w:t>
      </w:r>
      <w:r>
        <w:rPr>
          <w:rFonts w:hint="default" w:ascii="仿宋_GB2312" w:hAnsi="仿宋_GB2312" w:eastAsia="仿宋_GB2312" w:cs="仿宋_GB2312"/>
          <w:color w:val="auto"/>
          <w:kern w:val="2"/>
          <w:sz w:val="32"/>
          <w:szCs w:val="32"/>
          <w:lang w:val="en-US" w:eastAsia="zh-CN" w:bidi="ar-SA"/>
        </w:rPr>
        <w:t>人</w:t>
      </w:r>
      <w:r>
        <w:rPr>
          <w:rFonts w:hint="eastAsia" w:ascii="仿宋_GB2312" w:hAnsi="仿宋_GB2312" w:eastAsia="仿宋_GB2312" w:cs="仿宋_GB2312"/>
          <w:color w:val="auto"/>
          <w:kern w:val="2"/>
          <w:sz w:val="32"/>
          <w:szCs w:val="32"/>
          <w:lang w:val="en-US" w:eastAsia="zh-CN" w:bidi="ar-SA"/>
        </w:rPr>
        <w:t>出庭应诉制度，切实做到“应出尽出”，推动实质性化解行政争议，维护群众合法权益和行政机关公信力。健全行政复议、行政应诉案件办理机制，梳理案件接收、调查核实、代理应诉等各环节工作流程，确保案件高效响应。同时充分发挥法律顾问专业作用，由法律顾问与案件承办人共同参与涉法案件处理，为案件办理提供专业法律支撑，有效提升街道工作人员的法治意识。</w:t>
      </w:r>
    </w:p>
    <w:p w14:paraId="1F375A37">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四、202</w:t>
      </w:r>
      <w:r>
        <w:rPr>
          <w:rFonts w:hint="eastAsia"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rPr>
        <w:t>年推进法治政府建设的主要安排</w:t>
      </w:r>
    </w:p>
    <w:p w14:paraId="77058D31">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（一）持续深化依法行政意识培育</w:t>
      </w:r>
    </w:p>
    <w:p w14:paraId="4C5F01D7">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铸牢法治信仰之魂，夯实依法行政之基。通过常态化学法固本，让法治思维立于心。坚持领导干部带头垂范，以上率下，通过法治课程系统学、专题讲座深入学、线上线下结合学，构筑全覆盖、精准化的学习体系，引导全体干部将法治精神内化于心、外化于行，真正手握法治“戒尺”、知晓为官“尺度”。</w:t>
      </w:r>
    </w:p>
    <w:p w14:paraId="4A7DF7AC">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（二）大力推进行政执法水平提升</w:t>
      </w:r>
    </w:p>
    <w:p w14:paraId="05C6E93A">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以高标准要求“砺剑”，让权力运行规范透明。持续开展行政执法监督，</w:t>
      </w:r>
      <w:r>
        <w:rPr>
          <w:rFonts w:ascii="仿宋_GB2312" w:hAnsi="仿宋_GB2312" w:eastAsia="仿宋_GB2312"/>
          <w:sz w:val="32"/>
          <w:szCs w:val="32"/>
        </w:rPr>
        <w:t>提升</w:t>
      </w:r>
      <w:r>
        <w:rPr>
          <w:rFonts w:hint="eastAsia" w:ascii="仿宋_GB2312" w:hAnsi="仿宋_GB2312" w:eastAsia="仿宋_GB2312"/>
          <w:sz w:val="32"/>
          <w:szCs w:val="32"/>
        </w:rPr>
        <w:t>案卷</w:t>
      </w:r>
      <w:r>
        <w:rPr>
          <w:rFonts w:hint="eastAsia" w:ascii="仿宋_GB2312" w:hAnsi="仿宋_GB2312" w:eastAsia="仿宋_GB2312"/>
          <w:sz w:val="32"/>
          <w:szCs w:val="32"/>
          <w:lang w:eastAsia="zh-CN"/>
        </w:rPr>
        <w:t>自评</w:t>
      </w:r>
      <w:r>
        <w:rPr>
          <w:rFonts w:ascii="仿宋_GB2312" w:hAnsi="仿宋_GB2312" w:eastAsia="仿宋_GB2312"/>
          <w:sz w:val="32"/>
          <w:szCs w:val="32"/>
        </w:rPr>
        <w:t>精细化水平，强化评查结果运用</w:t>
      </w:r>
      <w:r>
        <w:rPr>
          <w:rFonts w:hint="eastAsia" w:ascii="仿宋_GB2312" w:hAnsi="仿宋_GB2312" w:eastAsia="仿宋_GB2312"/>
          <w:sz w:val="32"/>
          <w:szCs w:val="32"/>
          <w:lang w:eastAsia="zh-CN"/>
        </w:rPr>
        <w:t>，</w:t>
      </w:r>
      <w:r>
        <w:rPr>
          <w:rFonts w:hint="eastAsia" w:ascii="仿宋_GB2312" w:hAnsi="仿宋_GB2312" w:eastAsia="仿宋_GB2312" w:cs="仿宋_GB2312"/>
          <w:color w:val="auto"/>
          <w:sz w:val="32"/>
          <w:szCs w:val="32"/>
          <w:lang w:val="en-US" w:eastAsia="zh-CN"/>
        </w:rPr>
        <w:t>确保行政执法在法治的轨道上精准运行。同时深化落实轻微违法免罚和初次违法慎罚制度，健全规范行政执法长效机制，持续推进打造公平、透明、可预期的法治化营商环境。</w:t>
      </w:r>
    </w:p>
    <w:p w14:paraId="603525B5">
      <w:pPr>
        <w:keepNext w:val="0"/>
        <w:keepLines w:val="0"/>
        <w:pageBreakBefore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（三）聚焦扩大法治宣传教育覆盖</w:t>
      </w:r>
    </w:p>
    <w:p w14:paraId="4583675F">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聚焦群众急难愁盼，针对性开展普法宣传。针对老人、青少年、新就业群体等不同群体，量身定制普法“菜单”，用“小故事”讲述“大道理”，用“家常话”解析“专业法”，使法律从纸面走入生活，成为群众可信赖、能运用的维权武器。</w:t>
      </w:r>
    </w:p>
    <w:p w14:paraId="3BC6D3AD">
      <w:pPr>
        <w:pStyle w:val="2"/>
        <w:wordWrap w:val="0"/>
        <w:ind w:left="0" w:leftChars="0" w:firstLine="0" w:firstLineChars="0"/>
        <w:jc w:val="right"/>
        <w:rPr>
          <w:rFonts w:hint="default" w:ascii="仿宋_GB2312" w:hAnsi="仿宋_GB2312" w:cs="仿宋_GB2312"/>
          <w:color w:val="auto"/>
          <w:sz w:val="32"/>
          <w:szCs w:val="32"/>
          <w:lang w:val="en-US" w:eastAsia="zh-CN"/>
        </w:rPr>
      </w:pPr>
      <w:bookmarkStart w:id="0" w:name="_GoBack"/>
      <w:bookmarkEnd w:id="0"/>
      <w:r>
        <w:rPr>
          <w:rFonts w:hint="eastAsia" w:ascii="仿宋_GB2312" w:hAnsi="仿宋_GB2312" w:cs="仿宋_GB2312"/>
          <w:color w:val="auto"/>
          <w:sz w:val="32"/>
          <w:szCs w:val="32"/>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D75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61178">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761178">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51957"/>
    <w:rsid w:val="03E521E7"/>
    <w:rsid w:val="0B806E35"/>
    <w:rsid w:val="11543608"/>
    <w:rsid w:val="11DA6DB5"/>
    <w:rsid w:val="13334C7E"/>
    <w:rsid w:val="183A1F3F"/>
    <w:rsid w:val="192622AF"/>
    <w:rsid w:val="265930EC"/>
    <w:rsid w:val="2F7E885A"/>
    <w:rsid w:val="3AFE4222"/>
    <w:rsid w:val="44EA848B"/>
    <w:rsid w:val="4EF448E1"/>
    <w:rsid w:val="540E06F6"/>
    <w:rsid w:val="5A1C623B"/>
    <w:rsid w:val="5B3C1554"/>
    <w:rsid w:val="5FFBBBF8"/>
    <w:rsid w:val="61D51957"/>
    <w:rsid w:val="65CF0393"/>
    <w:rsid w:val="65E3A67A"/>
    <w:rsid w:val="6CC655A5"/>
    <w:rsid w:val="71E99EE5"/>
    <w:rsid w:val="75FDE31A"/>
    <w:rsid w:val="7ADF0349"/>
    <w:rsid w:val="7AEEB6B8"/>
    <w:rsid w:val="7CDB07A4"/>
    <w:rsid w:val="7F65D25A"/>
    <w:rsid w:val="8D6F69EB"/>
    <w:rsid w:val="9AEF40FC"/>
    <w:rsid w:val="BA7BAE37"/>
    <w:rsid w:val="BABB061C"/>
    <w:rsid w:val="BBF7CA2E"/>
    <w:rsid w:val="BCCC8BEC"/>
    <w:rsid w:val="D75F5B27"/>
    <w:rsid w:val="D7FF0D8A"/>
    <w:rsid w:val="DEBCB2F4"/>
    <w:rsid w:val="EFF7EEAD"/>
    <w:rsid w:val="EFFC22F0"/>
    <w:rsid w:val="F276B021"/>
    <w:rsid w:val="F7BF7AD0"/>
    <w:rsid w:val="F7F96418"/>
    <w:rsid w:val="F9FC7F51"/>
    <w:rsid w:val="FFFF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公文"/>
    <w:basedOn w:val="1"/>
    <w:qFormat/>
    <w:uiPriority w:val="0"/>
    <w:pPr>
      <w:widowControl/>
      <w:spacing w:line="560" w:lineRule="exact"/>
      <w:ind w:firstLine="200" w:firstLineChars="200"/>
      <w:jc w:val="left"/>
    </w:pPr>
    <w:rPr>
      <w:rFonts w:ascii="Calibri" w:hAnsi="Calibri" w:eastAsia="仿宋_GB2312" w:cs="黑体"/>
      <w:sz w:val="32"/>
      <w:szCs w:val="22"/>
    </w:rPr>
  </w:style>
  <w:style w:type="paragraph" w:styleId="3">
    <w:name w:val="Normal Indent"/>
    <w:basedOn w:val="1"/>
    <w:qFormat/>
    <w:uiPriority w:val="0"/>
    <w:pPr>
      <w:ind w:firstLine="200" w:firstLineChars="200"/>
    </w:pPr>
  </w:style>
  <w:style w:type="paragraph" w:styleId="4">
    <w:name w:val="Body Text"/>
    <w:basedOn w:val="1"/>
    <w:qFormat/>
    <w:uiPriority w:val="0"/>
    <w:pPr>
      <w:spacing w:after="120" w:afterLines="0" w:afterAutospacing="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81dddfff-5285-4bd9-a8b1-633bd1cd383f</errorID>
      <errorWord xmlns="http://schemas.wps.cn/vas-ai-hub/contract-review">《法治政府建设实施纲要（2021-2025年）》</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《法治政府建设实施纲要（2021—2025年）》</item>
      </candidateList>
      <explain xmlns="http://schemas.wps.cn/vas-ai-hub/contract-review"/>
      <paraID xmlns="http://schemas.wps.cn/vas-ai-hub/contract-review">51E70E87</paraID>
      <start xmlns="http://schemas.wps.cn/vas-ai-hub/contract-review">110</start>
      <end xmlns="http://schemas.wps.cn/vas-ai-hub/contract-review">134</end>
      <status xmlns="http://schemas.wps.cn/vas-ai-hub/contract-review">modified</status>
      <modifiedWord xmlns="http://schemas.wps.cn/vas-ai-hub/contract-review">《法治政府建设实施纲要（2021—2025年）》</modifiedWord>
      <trackRevisions xmlns="http://schemas.wps.cn/vas-ai-hub/contract-review">false</trackRevisions>
    </reviewItem>
    <reviewItem xmlns="http://schemas.wps.cn/vas-ai-hub/contract-review">
      <errorID xmlns="http://schemas.wps.cn/vas-ai-hub/contract-review">480505f7-32fd-430d-b641-dcff48fd619e</errorID>
      <errorWord xmlns="http://schemas.wps.cn/vas-ai-hub/contract-review">语言表述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语言表达</item>
      </candidateList>
      <explain xmlns="http://schemas.wps.cn/vas-ai-hub/contract-review"/>
      <paraID xmlns="http://schemas.wps.cn/vas-ai-hub/contract-review">13B623C4</paraID>
      <start xmlns="http://schemas.wps.cn/vas-ai-hub/contract-review">200</start>
      <end xmlns="http://schemas.wps.cn/vas-ai-hub/contract-review">204</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9c2dd-59b4-4e57-9e9b-7ec4a90bd47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3724</Words>
  <Characters>3796</Characters>
  <Lines>0</Lines>
  <Paragraphs>0</Paragraphs>
  <TotalTime>39</TotalTime>
  <ScaleCrop>false</ScaleCrop>
  <LinksUpToDate>false</LinksUpToDate>
  <CharactersWithSpaces>3808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2025-11-22T08:45:00Z</dcterms:created>
  <dc:creator>何鹏涛</dc:creator>
  <cp:lastModifiedBy>user</cp:lastModifiedBy>
  <dcterms:modified xsi:type="dcterms:W3CDTF">2026-03-16T17:01:01Z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0A234EB3097D13257CC4B769C95EA5CB_43</vt:lpwstr>
  </property>
  <property fmtid="{D5CDD505-2E9C-101B-9397-08002B2CF9AE}" pid="4" name="KSOTemplateDocerSaveRecord">
    <vt:lpwstr>eyJoZGlkIjoiN2RiNWFkODNiY2NkYjZiNTM3MzgzNTc1Y2M3NmY4NWEiLCJ1c2VySWQiOiI0NDE1NzcwODkifQ==</vt:lpwstr>
  </property>
</Properties>
</file>