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F66C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北京市东城区人民政府龙潭街道办事处</w:t>
      </w:r>
    </w:p>
    <w:p w14:paraId="570A057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lang w:val="en-US" w:eastAsia="zh-CN"/>
        </w:rPr>
        <w:t>2025年</w:t>
      </w:r>
      <w:r>
        <w:rPr>
          <w:rFonts w:hint="default" w:ascii="Times New Roman" w:hAnsi="Times New Roman" w:eastAsia="方正小标宋简体" w:cs="Times New Roman"/>
          <w:b w:val="0"/>
          <w:bCs w:val="0"/>
          <w:sz w:val="44"/>
          <w:szCs w:val="44"/>
          <w:highlight w:val="none"/>
          <w:lang w:eastAsia="zh-CN"/>
        </w:rPr>
        <w:t>法治政府建设年度情况</w:t>
      </w:r>
      <w:r>
        <w:rPr>
          <w:rFonts w:hint="default" w:ascii="Times New Roman" w:hAnsi="Times New Roman" w:eastAsia="方正小标宋简体" w:cs="Times New Roman"/>
          <w:b w:val="0"/>
          <w:bCs w:val="0"/>
          <w:sz w:val="44"/>
          <w:szCs w:val="44"/>
          <w:highlight w:val="none"/>
        </w:rPr>
        <w:t>报告</w:t>
      </w:r>
    </w:p>
    <w:p w14:paraId="0F506A5D">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sz w:val="44"/>
          <w:szCs w:val="44"/>
          <w:highlight w:val="none"/>
        </w:rPr>
      </w:pPr>
    </w:p>
    <w:p w14:paraId="2F32D8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highlight w:val="none"/>
          <w:lang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年是</w:t>
      </w:r>
      <w:r>
        <w:rPr>
          <w:rFonts w:hint="default" w:ascii="Times New Roman" w:hAnsi="Times New Roman" w:eastAsia="仿宋_GB2312" w:cs="Times New Roman"/>
          <w:b w:val="0"/>
          <w:bCs w:val="0"/>
          <w:sz w:val="32"/>
          <w:szCs w:val="32"/>
          <w:lang w:eastAsia="zh-CN"/>
        </w:rPr>
        <w:t>“十四五”规划的收官之年，也是</w:t>
      </w:r>
      <w:r>
        <w:rPr>
          <w:rFonts w:hint="default" w:ascii="Times New Roman" w:hAnsi="Times New Roman" w:eastAsia="仿宋_GB2312" w:cs="Times New Roman"/>
          <w:b w:val="0"/>
          <w:bCs w:val="0"/>
          <w:sz w:val="32"/>
          <w:szCs w:val="32"/>
        </w:rPr>
        <w:t>贯彻</w:t>
      </w:r>
      <w:r>
        <w:rPr>
          <w:rFonts w:hint="default" w:ascii="Times New Roman" w:hAnsi="Times New Roman" w:eastAsia="仿宋_GB2312" w:cs="Times New Roman"/>
          <w:b w:val="0"/>
          <w:bCs w:val="0"/>
          <w:sz w:val="32"/>
          <w:szCs w:val="32"/>
          <w:lang w:eastAsia="zh-CN"/>
        </w:rPr>
        <w:t>落实</w:t>
      </w:r>
      <w:r>
        <w:rPr>
          <w:rFonts w:hint="default" w:ascii="Times New Roman" w:hAnsi="Times New Roman" w:eastAsia="仿宋_GB2312" w:cs="Times New Roman"/>
          <w:b w:val="0"/>
          <w:bCs w:val="0"/>
          <w:sz w:val="32"/>
          <w:szCs w:val="32"/>
        </w:rPr>
        <w:t>《法治政府建设实施纲要（2021-2025年）》和《北京市法治政府建设实施意见（2021-2025年）》</w:t>
      </w:r>
      <w:r>
        <w:rPr>
          <w:rFonts w:hint="default" w:ascii="Times New Roman" w:hAnsi="Times New Roman" w:eastAsia="仿宋_GB2312" w:cs="Times New Roman"/>
          <w:b w:val="0"/>
          <w:bCs w:val="0"/>
          <w:sz w:val="32"/>
          <w:szCs w:val="32"/>
          <w:lang w:eastAsia="zh-CN"/>
        </w:rPr>
        <w:t>的关键之年</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28"/>
          <w:highlight w:val="none"/>
          <w:lang w:val="en-US" w:eastAsia="zh-CN"/>
        </w:rPr>
        <w:t>龙潭街道坚持以习近平法治思想为指导，全面贯彻市、区关于法治政府建设的决策部署，紧紧围绕《</w:t>
      </w:r>
      <w:r>
        <w:rPr>
          <w:rFonts w:hint="default" w:ascii="Times New Roman" w:hAnsi="Times New Roman" w:eastAsia="仿宋_GB2312" w:cs="Times New Roman"/>
          <w:b w:val="0"/>
          <w:bCs w:val="0"/>
          <w:sz w:val="32"/>
          <w:szCs w:val="32"/>
          <w:lang w:eastAsia="zh-CN"/>
        </w:rPr>
        <w:t>东城区202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年推进法治政府建设工作要点及任务分解</w:t>
      </w:r>
      <w:r>
        <w:rPr>
          <w:rFonts w:hint="default" w:ascii="Times New Roman" w:hAnsi="Times New Roman" w:eastAsia="仿宋_GB2312" w:cs="Times New Roman"/>
          <w:b w:val="0"/>
          <w:bCs w:val="0"/>
          <w:sz w:val="32"/>
          <w:szCs w:val="28"/>
          <w:highlight w:val="none"/>
          <w:lang w:val="en-US" w:eastAsia="zh-CN"/>
        </w:rPr>
        <w:t>》要求，聚焦中心任务，全力推进法治政府建设工作迈上新台阶，呈现出稳健前行、蓬勃发展的良好局面</w:t>
      </w:r>
      <w:r>
        <w:rPr>
          <w:rFonts w:hint="default" w:ascii="Times New Roman" w:hAnsi="Times New Roman" w:eastAsia="仿宋_GB2312" w:cs="Times New Roman"/>
          <w:b w:val="0"/>
          <w:bCs w:val="0"/>
          <w:sz w:val="32"/>
          <w:szCs w:val="32"/>
          <w:lang w:val="en-US" w:eastAsia="zh-CN"/>
        </w:rPr>
        <w:t>。</w:t>
      </w:r>
    </w:p>
    <w:p w14:paraId="1D2243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一、2025年推进法治政府建设的主要举措和成效</w:t>
      </w:r>
    </w:p>
    <w:p w14:paraId="0C7D95BA">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（一）强化思想引领，把握依法治理方向</w:t>
      </w:r>
    </w:p>
    <w:p w14:paraId="1DB39CF2">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深入推进习近平法治思想宣传教育。坚持把深入学习宣传贯彻习近平法治思想作为重大政治任务和学习重点，将习近平法治思想纳入街道党工委理论学习中心组专题学习计划，全年开展专题培训和宣讲4次，不断提升领导干部尊法学法守法用法意识，推进街道各方面工作法治化。街道领导干部带头学习党的二十大、二十届历次全会及中央全面依法治国工作会议精神，加强理论武装，推动学习贯彻习近平法治思想走深走实。</w:t>
      </w:r>
    </w:p>
    <w:p w14:paraId="6C14F684">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二是提高机关干部学法用法能力。抓住领导干部这个“关键少数”，充分发挥领导干部表率作用，进一步压实法治建设第一责任人职责。全年开展主任办公会会前学法8次。开展机关干部普法讲堂，系统学习《</w:t>
      </w:r>
      <w:r>
        <w:rPr>
          <w:rFonts w:hint="eastAsia" w:ascii="Times New Roman" w:hAnsi="Times New Roman" w:eastAsia="仿宋_GB2312" w:cs="Times New Roman"/>
          <w:b w:val="0"/>
          <w:bCs w:val="0"/>
          <w:color w:val="auto"/>
          <w:sz w:val="32"/>
          <w:szCs w:val="32"/>
          <w:lang w:eastAsia="zh-CN"/>
        </w:rPr>
        <w:t>中华人民共和国</w:t>
      </w:r>
      <w:r>
        <w:rPr>
          <w:rFonts w:hint="default" w:ascii="Times New Roman" w:hAnsi="Times New Roman" w:eastAsia="仿宋_GB2312" w:cs="Times New Roman"/>
          <w:b w:val="0"/>
          <w:bCs w:val="0"/>
          <w:sz w:val="32"/>
          <w:szCs w:val="32"/>
          <w:lang w:val="en-US" w:eastAsia="zh-CN"/>
        </w:rPr>
        <w:t>民法典》《</w:t>
      </w:r>
      <w:r>
        <w:rPr>
          <w:rFonts w:hint="eastAsia" w:ascii="Times New Roman" w:hAnsi="Times New Roman" w:eastAsia="仿宋_GB2312" w:cs="Times New Roman"/>
          <w:b w:val="0"/>
          <w:bCs w:val="0"/>
          <w:color w:val="auto"/>
          <w:sz w:val="32"/>
          <w:szCs w:val="32"/>
          <w:lang w:eastAsia="zh-CN"/>
        </w:rPr>
        <w:t>中华人民共和国</w:t>
      </w:r>
      <w:r>
        <w:rPr>
          <w:rFonts w:hint="default" w:ascii="Times New Roman" w:hAnsi="Times New Roman" w:eastAsia="仿宋_GB2312" w:cs="Times New Roman"/>
          <w:b w:val="0"/>
          <w:bCs w:val="0"/>
          <w:sz w:val="32"/>
          <w:szCs w:val="32"/>
          <w:lang w:val="en-US" w:eastAsia="zh-CN"/>
        </w:rPr>
        <w:t>行政复议法》《</w:t>
      </w:r>
      <w:r>
        <w:rPr>
          <w:rFonts w:hint="eastAsia" w:ascii="Times New Roman" w:hAnsi="Times New Roman" w:eastAsia="仿宋_GB2312" w:cs="Times New Roman"/>
          <w:b w:val="0"/>
          <w:bCs w:val="0"/>
          <w:color w:val="auto"/>
          <w:sz w:val="32"/>
          <w:szCs w:val="32"/>
          <w:lang w:eastAsia="zh-CN"/>
        </w:rPr>
        <w:t>中华人民共和国</w:t>
      </w:r>
      <w:r>
        <w:rPr>
          <w:rFonts w:hint="default" w:ascii="Times New Roman" w:hAnsi="Times New Roman" w:eastAsia="仿宋_GB2312" w:cs="Times New Roman"/>
          <w:b w:val="0"/>
          <w:bCs w:val="0"/>
          <w:sz w:val="32"/>
          <w:szCs w:val="32"/>
          <w:lang w:val="en-US" w:eastAsia="zh-CN"/>
        </w:rPr>
        <w:t>城市居民委员会组织法》等工作中实用的法律知识，提高运用法治思维和法治方式深化改革、推动发展、化解矛盾、维护稳定、应对风险的能力。</w:t>
      </w:r>
    </w:p>
    <w:p w14:paraId="1D1BA30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（二）聚焦重点任务，提高依法行政能力</w:t>
      </w:r>
    </w:p>
    <w:p w14:paraId="72286B0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持续推进依法科学民主决策。一方面规范决策程序，按照《东城区重大行政决策程序实施细则》要求，对于街道重大行政决策，在深入调查研究、广泛听取意见和充分论证的基础上，经街道负责人集体讨论决定。另一方面充分发挥法治部门职能作用。落实司法所列席主任</w:t>
      </w:r>
      <w:r>
        <w:rPr>
          <w:rFonts w:hint="default" w:ascii="Times New Roman" w:hAnsi="Times New Roman" w:cs="Times New Roman"/>
          <w:b w:val="0"/>
          <w:bCs w:val="0"/>
          <w:sz w:val="32"/>
          <w:szCs w:val="32"/>
          <w:lang w:val="en-US" w:eastAsia="zh-CN"/>
        </w:rPr>
        <w:t>办公</w:t>
      </w:r>
      <w:r>
        <w:rPr>
          <w:rFonts w:hint="default" w:ascii="Times New Roman" w:hAnsi="Times New Roman" w:eastAsia="仿宋_GB2312" w:cs="Times New Roman"/>
          <w:b w:val="0"/>
          <w:bCs w:val="0"/>
          <w:sz w:val="32"/>
          <w:szCs w:val="32"/>
          <w:lang w:val="en-US" w:eastAsia="zh-CN"/>
        </w:rPr>
        <w:t>会制度，充分听取司法所对有关议题的意见和建议，2025年司法所所长列席主任</w:t>
      </w:r>
      <w:r>
        <w:rPr>
          <w:rFonts w:hint="default" w:ascii="Times New Roman" w:hAnsi="Times New Roman" w:cs="Times New Roman"/>
          <w:b w:val="0"/>
          <w:bCs w:val="0"/>
          <w:sz w:val="32"/>
          <w:szCs w:val="32"/>
          <w:lang w:val="en-US" w:eastAsia="zh-CN"/>
        </w:rPr>
        <w:t>办公</w:t>
      </w:r>
      <w:r>
        <w:rPr>
          <w:rFonts w:hint="default" w:ascii="Times New Roman" w:hAnsi="Times New Roman" w:eastAsia="仿宋_GB2312" w:cs="Times New Roman"/>
          <w:b w:val="0"/>
          <w:bCs w:val="0"/>
          <w:sz w:val="32"/>
          <w:szCs w:val="32"/>
          <w:lang w:val="en-US" w:eastAsia="zh-CN"/>
        </w:rPr>
        <w:t>会41次，参与行政复议案件5件、诉讼案件2件，法律顾问审核合同80件。</w:t>
      </w:r>
    </w:p>
    <w:p w14:paraId="154E0A14">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二是提升整体行政执法水平。龙潭街道严格落实</w:t>
      </w:r>
      <w:r>
        <w:rPr>
          <w:rFonts w:hint="eastAsia" w:cs="Times New Roman"/>
          <w:b w:val="0"/>
          <w:bCs w:val="0"/>
          <w:sz w:val="32"/>
          <w:szCs w:val="32"/>
          <w:lang w:val="en-US" w:eastAsia="zh-CN"/>
        </w:rPr>
        <w:t>行政执法“三项制度”</w:t>
      </w:r>
      <w:r>
        <w:rPr>
          <w:rFonts w:hint="default" w:ascii="Times New Roman" w:hAnsi="Times New Roman" w:eastAsia="仿宋_GB2312" w:cs="Times New Roman"/>
          <w:b w:val="0"/>
          <w:bCs w:val="0"/>
          <w:sz w:val="32"/>
          <w:szCs w:val="32"/>
          <w:lang w:val="en-US" w:eastAsia="zh-CN"/>
        </w:rPr>
        <w:t>，规范执法行为，提高执法效能，以文明执法优化营商环境。加强执法队伍建设，重视业务培训，提高执法人员法治能力，确保行政执法行为既有力度，又有温度。深化执法责任制度。按照统一指挥、全面建设、立体协调的原则，龙潭街道围绕加强与各部门联系、整合执法资源、提升执法效能等方面，健全完善综合行政管理体系</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为有效执法奠定坚实基础。2025年，开展行政执法业务培训4次</w:t>
      </w:r>
      <w:r>
        <w:rPr>
          <w:rFonts w:hint="eastAsia" w:cs="Times New Roman"/>
          <w:b w:val="0"/>
          <w:bCs w:val="0"/>
          <w:sz w:val="32"/>
          <w:szCs w:val="32"/>
          <w:lang w:val="en-US" w:eastAsia="zh-CN"/>
        </w:rPr>
        <w:t>、行政执法案卷评查3次，</w:t>
      </w:r>
      <w:r>
        <w:rPr>
          <w:rFonts w:hint="default" w:ascii="Times New Roman" w:hAnsi="Times New Roman" w:eastAsia="仿宋_GB2312" w:cs="Times New Roman"/>
          <w:b w:val="0"/>
          <w:bCs w:val="0"/>
          <w:sz w:val="32"/>
          <w:szCs w:val="32"/>
          <w:lang w:val="en-US" w:eastAsia="zh-CN"/>
        </w:rPr>
        <w:t>针对违法建设违法行为，</w:t>
      </w:r>
      <w:r>
        <w:rPr>
          <w:rFonts w:hint="eastAsia" w:cs="Times New Roman"/>
          <w:b w:val="0"/>
          <w:bCs w:val="0"/>
          <w:sz w:val="32"/>
          <w:szCs w:val="32"/>
          <w:lang w:val="en-US" w:eastAsia="zh-CN"/>
        </w:rPr>
        <w:t>依法</w:t>
      </w:r>
      <w:r>
        <w:rPr>
          <w:rFonts w:hint="default" w:ascii="Times New Roman" w:hAnsi="Times New Roman" w:eastAsia="仿宋_GB2312" w:cs="Times New Roman"/>
          <w:b w:val="0"/>
          <w:bCs w:val="0"/>
          <w:sz w:val="32"/>
          <w:szCs w:val="32"/>
          <w:lang w:val="en-US" w:eastAsia="zh-CN"/>
        </w:rPr>
        <w:t>做出限期拆除决定27起。</w:t>
      </w:r>
    </w:p>
    <w:p w14:paraId="55CA21D0">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三是开启政务公开新局面。坚持以“公开为常态，不公开为例外”</w:t>
      </w:r>
      <w:r>
        <w:rPr>
          <w:rFonts w:hint="default" w:ascii="Times New Roman" w:hAnsi="Times New Roman" w:cs="Times New Roman"/>
          <w:b w:val="0"/>
          <w:bCs w:val="0"/>
          <w:sz w:val="32"/>
          <w:szCs w:val="32"/>
          <w:lang w:val="en-US" w:eastAsia="zh-CN"/>
        </w:rPr>
        <w:t>为</w:t>
      </w:r>
      <w:r>
        <w:rPr>
          <w:rFonts w:hint="default" w:ascii="Times New Roman" w:hAnsi="Times New Roman" w:eastAsia="仿宋_GB2312" w:cs="Times New Roman"/>
          <w:b w:val="0"/>
          <w:bCs w:val="0"/>
          <w:sz w:val="32"/>
          <w:szCs w:val="32"/>
          <w:lang w:val="en-US" w:eastAsia="zh-CN"/>
        </w:rPr>
        <w:t>原则，通过构建“线上</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线下”全覆盖政务公开模式，整合各部门数据资源，规范信息公开工作流程，保障群众的</w:t>
      </w:r>
      <w:r>
        <w:rPr>
          <w:rFonts w:hint="eastAsia" w:cs="Times New Roman"/>
          <w:b w:val="0"/>
          <w:bCs w:val="0"/>
          <w:sz w:val="32"/>
          <w:szCs w:val="32"/>
          <w:lang w:val="en-US" w:eastAsia="zh-CN"/>
        </w:rPr>
        <w:t>知情权、参与权、表达权、监督权</w:t>
      </w:r>
      <w:r>
        <w:rPr>
          <w:rFonts w:hint="default" w:ascii="Times New Roman" w:hAnsi="Times New Roman" w:eastAsia="仿宋_GB2312" w:cs="Times New Roman"/>
          <w:b w:val="0"/>
          <w:bCs w:val="0"/>
          <w:sz w:val="32"/>
          <w:szCs w:val="32"/>
          <w:lang w:val="en-US" w:eastAsia="zh-CN"/>
        </w:rPr>
        <w:t>。持续推进重点领域信息公开，以政务公开促落实、促规范、促服务</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围绕全过程人民民主打造高质效政务公开。2025年，</w:t>
      </w:r>
      <w:r>
        <w:rPr>
          <w:rFonts w:hint="default" w:ascii="Times New Roman" w:hAnsi="Times New Roman" w:cs="Times New Roman"/>
          <w:b w:val="0"/>
          <w:bCs w:val="0"/>
          <w:sz w:val="32"/>
          <w:szCs w:val="32"/>
          <w:lang w:val="en-US" w:eastAsia="zh-CN"/>
        </w:rPr>
        <w:t>龙潭</w:t>
      </w:r>
      <w:r>
        <w:rPr>
          <w:rFonts w:hint="default" w:ascii="Times New Roman" w:hAnsi="Times New Roman" w:eastAsia="仿宋_GB2312" w:cs="Times New Roman"/>
          <w:b w:val="0"/>
          <w:bCs w:val="0"/>
          <w:sz w:val="32"/>
          <w:szCs w:val="32"/>
          <w:lang w:val="en-US" w:eastAsia="zh-CN"/>
        </w:rPr>
        <w:t>街道通过区政府网站主动公开信息119条，受理群众信息公开申请6件，均按期规范办结。</w:t>
      </w:r>
    </w:p>
    <w:p w14:paraId="0EC4F4BD">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（三）营造浓厚氛围，擦亮法宣特色品牌</w:t>
      </w:r>
    </w:p>
    <w:p w14:paraId="295C9C3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2025年是“八五”普法的收官之年，龙潭街道开展丰富多彩的活动，营造浓厚的法治氛围，为“八五”普法画上圆满句号。</w:t>
      </w:r>
    </w:p>
    <w:p w14:paraId="35A13AF5">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分层分类开展普法教育。在街道层面设立龙潭街道普法办公室，部署落实辖区范围内普法工作，在各个社区建设普法志愿者队伍，在社区开展丰富多彩的普法活动。针对未成年人、流动人口、老年人等特殊群体，进行个性化的普法教育，开展老年人反诈课堂、未成年人模拟法庭、外来务工人员专项维权活动等。</w:t>
      </w:r>
    </w:p>
    <w:p w14:paraId="1567E02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严格落实普法责任制。按照“谁执法谁普法”原则，将普法任务严格细化分解，责任落实到人，保障普法工作有序开展。真正做到执法与普法宣传、民生服务有机结合，通过执法工作引导群众自觉守法、主动配合，实现“执法一次、普法一片”的社会效果。</w:t>
      </w:r>
    </w:p>
    <w:p w14:paraId="77C71ADF">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三是加强特色法宣品牌和法宣阵地建设</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立足龙潭实际，利用龙潭中湖法治公园等优势资源，扩大法治教育的辐射面。龙潭中湖公园作为我街道法宣阵地，多次在此开展大型法宣活动，宣传《中华人民共和国宪法》《中华人民共和国民法典》《</w:t>
      </w:r>
      <w:r>
        <w:rPr>
          <w:rFonts w:hint="eastAsia" w:cs="Times New Roman"/>
          <w:b w:val="0"/>
          <w:bCs w:val="0"/>
          <w:sz w:val="32"/>
          <w:szCs w:val="32"/>
          <w:lang w:val="en-US" w:eastAsia="zh-CN"/>
        </w:rPr>
        <w:t>中华人民共和国治安管理处罚法</w:t>
      </w:r>
      <w:r>
        <w:rPr>
          <w:rFonts w:hint="default" w:ascii="Times New Roman" w:hAnsi="Times New Roman" w:eastAsia="仿宋_GB2312" w:cs="Times New Roman"/>
          <w:b w:val="0"/>
          <w:bCs w:val="0"/>
          <w:sz w:val="32"/>
          <w:szCs w:val="32"/>
          <w:lang w:val="en-US" w:eastAsia="zh-CN"/>
        </w:rPr>
        <w:t>》等法律知识。加强“和潭新枫”特色品牌建设，擦亮品牌名片，扩大品牌影响力。</w:t>
      </w:r>
    </w:p>
    <w:p w14:paraId="41AAB6B7">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2025年累计张贴法宣海报、宣传挂图240余张，发放普法宣传折页2万余张，受教育居民达3万人次。组织各社区开展线上线下青少年普法教育、老年人法律服务专项维权活动、残疾人专项法律维权活动以及民法典讲座共计60场。实现了普法教育的零死角、全覆盖。</w:t>
      </w:r>
    </w:p>
    <w:p w14:paraId="0BFD38F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（四）高效化解纠纷，维护社会和谐稳定</w:t>
      </w:r>
    </w:p>
    <w:p w14:paraId="32E5CACF">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一是加强成功经验</w:t>
      </w:r>
      <w:r>
        <w:rPr>
          <w:rFonts w:hint="default" w:ascii="Times New Roman" w:hAnsi="Times New Roman"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借鉴</w:t>
      </w:r>
      <w:r>
        <w:rPr>
          <w:rFonts w:hint="default" w:ascii="Times New Roman" w:hAnsi="Times New Roman" w:cs="Times New Roman"/>
          <w:b w:val="0"/>
          <w:bCs w:val="0"/>
          <w:sz w:val="32"/>
          <w:szCs w:val="32"/>
          <w:lang w:val="en-US" w:eastAsia="zh-CN"/>
        </w:rPr>
        <w:t>与</w:t>
      </w:r>
      <w:r>
        <w:rPr>
          <w:rFonts w:hint="default" w:ascii="Times New Roman" w:hAnsi="Times New Roman" w:eastAsia="仿宋_GB2312" w:cs="Times New Roman"/>
          <w:b w:val="0"/>
          <w:bCs w:val="0"/>
          <w:sz w:val="32"/>
          <w:szCs w:val="32"/>
          <w:lang w:val="en-US" w:eastAsia="zh-CN"/>
        </w:rPr>
        <w:t>推广。坚持和发展新时代“枫桥经验”，推广“六尺巷工作法”，丰富基层法治实践，完善“网格+法治”治理模式，创建龙潭特色矛盾纠纷化解品牌。加强调解员队伍建设，大力扶持专业调解组织建立，引入行业专业人才，提高调解员队伍专业化水平。将调解力量与社区网格深度融合，积极开展诉源治理，加密纠纷排查频次，实现矛盾纠纷“早发现、早介入、早化解”。</w:t>
      </w:r>
    </w:p>
    <w:p w14:paraId="2ABFE69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强化综治中心建设。加强“两所联动”，吸纳律师、心理咨询师等专业力量入驻，筑牢平安建设堡垒。针对重大、疑难、复杂及群体性、突发性事件，进一步发挥综治中心“维稳中枢”作用，主动向前一步，联系协调矛盾化解的责任单位及相关部门，与重点人员进行沟通对话，努力提高议事沟通质效，落实属地稳控，确保把隐患消除在萌芽状态，将矛盾纠纷化解在基层。2025年共调处矛盾纠纷案件198件，成功率100%。</w:t>
      </w:r>
    </w:p>
    <w:p w14:paraId="2D7A779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highlight w:val="none"/>
        </w:rPr>
      </w:pPr>
      <w:r>
        <w:rPr>
          <w:rFonts w:hint="default" w:ascii="Times New Roman" w:hAnsi="Times New Roman" w:eastAsia="黑体" w:cs="Times New Roman"/>
          <w:b w:val="0"/>
          <w:bCs w:val="0"/>
          <w:kern w:val="0"/>
          <w:sz w:val="32"/>
          <w:szCs w:val="32"/>
          <w:highlight w:val="none"/>
          <w:lang w:val="en-US" w:eastAsia="zh-CN"/>
        </w:rPr>
        <w:t>2025</w:t>
      </w:r>
      <w:r>
        <w:rPr>
          <w:rFonts w:hint="default" w:ascii="Times New Roman" w:hAnsi="Times New Roman" w:eastAsia="黑体" w:cs="Times New Roman"/>
          <w:b w:val="0"/>
          <w:bCs w:val="0"/>
          <w:kern w:val="0"/>
          <w:sz w:val="32"/>
          <w:szCs w:val="32"/>
          <w:highlight w:val="none"/>
        </w:rPr>
        <w:t>年推进法治政府建设存在的不足和原因</w:t>
      </w:r>
    </w:p>
    <w:p w14:paraId="6E01D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default" w:ascii="Times New Roman" w:hAnsi="Times New Roman" w:eastAsia="仿宋_GB2312" w:cs="Times New Roman"/>
          <w:b w:val="0"/>
          <w:bCs w:val="0"/>
          <w:spacing w:val="-4"/>
          <w:sz w:val="32"/>
          <w:szCs w:val="32"/>
          <w:highlight w:val="none"/>
          <w:lang w:val="en-US" w:eastAsia="zh-CN"/>
        </w:rPr>
      </w:pPr>
      <w:r>
        <w:rPr>
          <w:rFonts w:hint="default" w:ascii="Times New Roman" w:hAnsi="Times New Roman" w:eastAsia="仿宋_GB2312" w:cs="Times New Roman"/>
          <w:b w:val="0"/>
          <w:bCs w:val="0"/>
          <w:spacing w:val="-4"/>
          <w:sz w:val="32"/>
          <w:szCs w:val="32"/>
          <w:highlight w:val="none"/>
          <w:lang w:val="en-US" w:eastAsia="zh-CN"/>
        </w:rPr>
        <w:t>在肯定成绩的同时，对照法治政府建设的更高要求，我街道法治政府建设工作仍存在一些短板和不足：</w:t>
      </w:r>
    </w:p>
    <w:p w14:paraId="776CA34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28"/>
          <w:lang w:val="en-US" w:eastAsia="zh-CN"/>
        </w:rPr>
      </w:pPr>
      <w:r>
        <w:rPr>
          <w:rFonts w:hint="default" w:ascii="Times New Roman" w:hAnsi="Times New Roman" w:eastAsia="楷体_GB2312" w:cs="Times New Roman"/>
          <w:b w:val="0"/>
          <w:bCs w:val="0"/>
          <w:sz w:val="32"/>
          <w:szCs w:val="28"/>
          <w:lang w:val="en-US" w:eastAsia="zh-CN"/>
        </w:rPr>
        <w:t>法治思维运用的灵活性不足</w:t>
      </w:r>
    </w:p>
    <w:p w14:paraId="6C417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default" w:ascii="Times New Roman" w:hAnsi="Times New Roman" w:eastAsia="仿宋_GB2312" w:cs="Times New Roman"/>
          <w:b w:val="0"/>
          <w:bCs w:val="0"/>
          <w:spacing w:val="-4"/>
          <w:sz w:val="32"/>
          <w:szCs w:val="32"/>
          <w:highlight w:val="none"/>
          <w:lang w:val="en-US" w:eastAsia="zh-CN"/>
        </w:rPr>
      </w:pPr>
      <w:r>
        <w:rPr>
          <w:rFonts w:hint="default" w:ascii="Times New Roman" w:hAnsi="Times New Roman" w:eastAsia="仿宋_GB2312" w:cs="Times New Roman"/>
          <w:b w:val="0"/>
          <w:bCs w:val="0"/>
          <w:spacing w:val="-4"/>
          <w:sz w:val="32"/>
          <w:szCs w:val="32"/>
          <w:highlight w:val="none"/>
          <w:lang w:val="en-US" w:eastAsia="zh-CN"/>
        </w:rPr>
        <w:t>法治思维运用不够灵活，在理论与实践相结合方面尚未完全做到</w:t>
      </w:r>
      <w:r>
        <w:rPr>
          <w:rFonts w:hint="eastAsia" w:eastAsia="仿宋_GB2312" w:cs="Times New Roman"/>
          <w:b w:val="0"/>
          <w:bCs w:val="0"/>
          <w:spacing w:val="-4"/>
          <w:sz w:val="32"/>
          <w:szCs w:val="32"/>
          <w:highlight w:val="none"/>
          <w:lang w:val="en-US" w:eastAsia="zh-CN"/>
        </w:rPr>
        <w:t>学思用贯通、知信行统一</w:t>
      </w:r>
      <w:r>
        <w:rPr>
          <w:rFonts w:hint="default" w:ascii="Times New Roman" w:hAnsi="Times New Roman" w:eastAsia="仿宋_GB2312" w:cs="Times New Roman"/>
          <w:b w:val="0"/>
          <w:bCs w:val="0"/>
          <w:spacing w:val="-4"/>
          <w:sz w:val="32"/>
          <w:szCs w:val="32"/>
          <w:highlight w:val="none"/>
          <w:lang w:val="en-US" w:eastAsia="zh-CN"/>
        </w:rPr>
        <w:t>。法治思维树得还不够牢固。在推进法治政府建设中，法治建设与业务工作的衔接还不够紧密，程序意识、规则意识还不强，还存有惯性思维、经验思维的现象。</w:t>
      </w:r>
    </w:p>
    <w:p w14:paraId="4367220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28"/>
          <w:lang w:val="en-US" w:eastAsia="zh-CN"/>
        </w:rPr>
      </w:pPr>
      <w:r>
        <w:rPr>
          <w:rFonts w:hint="default" w:ascii="Times New Roman" w:hAnsi="Times New Roman" w:eastAsia="楷体_GB2312" w:cs="Times New Roman"/>
          <w:b w:val="0"/>
          <w:bCs w:val="0"/>
          <w:sz w:val="32"/>
          <w:szCs w:val="28"/>
          <w:lang w:val="en-US" w:eastAsia="zh-CN"/>
        </w:rPr>
        <w:t>执法与服务融合不够紧密</w:t>
      </w:r>
    </w:p>
    <w:p w14:paraId="7A65C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default" w:ascii="Times New Roman" w:hAnsi="Times New Roman" w:eastAsia="仿宋_GB2312" w:cs="Times New Roman"/>
          <w:b w:val="0"/>
          <w:bCs w:val="0"/>
          <w:spacing w:val="-4"/>
          <w:sz w:val="32"/>
          <w:szCs w:val="32"/>
          <w:highlight w:val="none"/>
          <w:lang w:val="en-US" w:eastAsia="zh-CN"/>
        </w:rPr>
      </w:pPr>
      <w:r>
        <w:rPr>
          <w:rFonts w:hint="default" w:ascii="Times New Roman" w:hAnsi="Times New Roman" w:eastAsia="仿宋_GB2312" w:cs="Times New Roman"/>
          <w:b w:val="0"/>
          <w:bCs w:val="0"/>
          <w:spacing w:val="-4"/>
          <w:sz w:val="32"/>
          <w:szCs w:val="32"/>
          <w:highlight w:val="none"/>
          <w:lang w:val="en-US" w:eastAsia="zh-CN"/>
        </w:rPr>
        <w:t>部分执法工作存在“重管理、轻服务”的倾向，未能充分体现“执法为民”的理念，在执法过程中忽视对群众合理诉求的回应和解决，未将执法与普法宣传、民生服务有机结合，未能通过执法工作引导群众自觉守法、主动配合，难以实现“执法一次、普法一片”的社会效果。</w:t>
      </w:r>
    </w:p>
    <w:p w14:paraId="4AD2F4E7">
      <w:pPr>
        <w:pStyle w:val="2"/>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val="0"/>
          <w:bCs w:val="0"/>
          <w:sz w:val="32"/>
          <w:szCs w:val="28"/>
          <w:lang w:val="en-US" w:eastAsia="zh-CN"/>
        </w:rPr>
      </w:pPr>
      <w:r>
        <w:rPr>
          <w:rFonts w:hint="default" w:ascii="Times New Roman" w:hAnsi="Times New Roman" w:eastAsia="楷体_GB2312" w:cs="Times New Roman"/>
          <w:b w:val="0"/>
          <w:bCs w:val="0"/>
          <w:sz w:val="32"/>
          <w:szCs w:val="28"/>
          <w:lang w:val="en-US" w:eastAsia="zh-CN"/>
        </w:rPr>
        <w:t>普法内容针对性不强，供需匹配度不高</w:t>
      </w:r>
    </w:p>
    <w:p w14:paraId="2B4D510A">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楷体_GB2312" w:cs="Times New Roman"/>
          <w:b w:val="0"/>
          <w:bCs w:val="0"/>
          <w:sz w:val="32"/>
          <w:szCs w:val="28"/>
          <w:lang w:val="en-US" w:eastAsia="zh-CN"/>
        </w:rPr>
      </w:pPr>
      <w:r>
        <w:rPr>
          <w:rFonts w:hint="default" w:ascii="Times New Roman" w:hAnsi="Times New Roman" w:cs="Times New Roman"/>
          <w:b w:val="0"/>
          <w:bCs w:val="0"/>
          <w:spacing w:val="-4"/>
          <w:sz w:val="32"/>
          <w:szCs w:val="32"/>
          <w:highlight w:val="none"/>
          <w:lang w:val="en-US" w:eastAsia="zh-CN"/>
        </w:rPr>
        <w:t>普法内容存在同质化现象，缺乏结合本地实际的个性化解读，对群众关注度高的婚姻家庭、邻里纠纷、食品安全等民生领域法律知识挖掘不够深，难以精准回应群众诉求。普法宣传深度与实用性不足，“学用脱节”问题突出，群众难以将法律知识与实际生活结合，无法真正实现“学法、懂法、用法、守法”的目标。</w:t>
      </w:r>
    </w:p>
    <w:p w14:paraId="13BE0B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2025年党政主要负责人履行推进法治建设第一责任人职责，加强法治政府建设的有关情况</w:t>
      </w:r>
    </w:p>
    <w:p w14:paraId="6FAA8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龙潭街道党工委书记和办事处主任作为党政主要负责人，切实履行推进法治建设第一责任人职责，持续推动街道法治建设与经济社会发展深度融合、同频共振，不断提升法治建设工作水平，为街道高质量发展提供强有力的法治保障。</w:t>
      </w:r>
    </w:p>
    <w:p w14:paraId="36EE5A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（一）强化使命担当，统筹谋划全局</w:t>
      </w:r>
    </w:p>
    <w:p w14:paraId="189B7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主持召开党组会议专题研究法治建设相关工作，带头学习习近平法治思想，带头参加法治培训和普法宣传活动，带动班子成员形成“依法用权、依法办事”的行动自觉。将法治政府建设纳入街道年度工作要点和绩效考核体系，与经济发展、民生保障等中心工作同部署、同推进、同考核。</w:t>
      </w:r>
    </w:p>
    <w:p w14:paraId="2B0AD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（二）聚焦中心任务，狠抓工作落实</w:t>
      </w:r>
    </w:p>
    <w:p w14:paraId="67FB1F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eastAsia="仿宋_GB2312" w:cs="Times New Roman"/>
          <w:b w:val="0"/>
          <w:bCs w:val="0"/>
          <w:sz w:val="32"/>
          <w:szCs w:val="32"/>
          <w:highlight w:val="none"/>
          <w:lang w:val="en-US" w:eastAsia="zh-CN"/>
        </w:rPr>
        <w:t>攻坚</w:t>
      </w:r>
      <w:r>
        <w:rPr>
          <w:rFonts w:hint="default" w:ascii="Times New Roman" w:hAnsi="Times New Roman" w:eastAsia="仿宋_GB2312" w:cs="Times New Roman"/>
          <w:b w:val="0"/>
          <w:bCs w:val="0"/>
          <w:sz w:val="32"/>
          <w:szCs w:val="32"/>
          <w:highlight w:val="none"/>
          <w:lang w:val="en-US" w:eastAsia="zh-CN"/>
        </w:rPr>
        <w:t>法治政府建设重点任务，亲自督办行政执法规范化、矛盾纠纷化解等难点工作，实地调研指导综治中心建设。督促班子成员落实“一岗双责”，将法治要求融入分管领域业务工作，定期听取法治工作汇报，推进各项工作时警醒注重依法办事、依法行政，确保责任层层传导、任务落地生根。</w:t>
      </w:r>
    </w:p>
    <w:p w14:paraId="0ADDB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（三）注重示范引领，提升法治素养</w:t>
      </w:r>
    </w:p>
    <w:p w14:paraId="66C61B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有效落实述法工作，街道党工委书记、办事处主任率先垂范，通过书面报告的形式，就年度履行法治政府建设第一责任人职责进行述法。发挥“领头雁”作用，带头遵守宪法法律，严格执行重大行政决策程序，在重点工作推进中主动听取街道法律顾问意见。严格落实行政机关负责人出庭应诉制度。</w:t>
      </w:r>
      <w:r>
        <w:rPr>
          <w:rFonts w:hint="default" w:ascii="Times New Roman" w:hAnsi="Times New Roman" w:eastAsia="仿宋_GB2312" w:cs="Times New Roman"/>
          <w:b w:val="0"/>
          <w:bCs w:val="0"/>
          <w:sz w:val="32"/>
          <w:szCs w:val="32"/>
          <w:lang w:val="en-US" w:eastAsia="zh-CN"/>
        </w:rPr>
        <w:t>主要负责人行政诉讼出庭2件，应诉率达100%。</w:t>
      </w:r>
    </w:p>
    <w:p w14:paraId="2CBB33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2026年推进法治政府建设的主要安排</w:t>
      </w:r>
    </w:p>
    <w:p w14:paraId="67A67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仿宋_GB2312" w:cs="Times New Roman"/>
          <w:b w:val="0"/>
          <w:bCs w:val="0"/>
          <w:spacing w:val="-4"/>
          <w:sz w:val="32"/>
          <w:szCs w:val="32"/>
          <w:lang w:val="en-US" w:eastAsia="zh-CN"/>
        </w:rPr>
        <w:t>2026年，龙潭街道将针对存在的不足，精准施策、持续发力，重点推进以下工作：</w:t>
      </w:r>
    </w:p>
    <w:p w14:paraId="4E206839">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default" w:ascii="Times New Roman" w:hAnsi="Times New Roman" w:cs="Times New Roman"/>
          <w:b w:val="0"/>
          <w:bCs w:val="0"/>
          <w:lang w:val="en-US" w:eastAsia="zh-CN"/>
        </w:rPr>
      </w:pPr>
      <w:r>
        <w:rPr>
          <w:rFonts w:hint="default" w:ascii="Times New Roman" w:hAnsi="Times New Roman" w:eastAsia="楷体_GB2312" w:cs="Times New Roman"/>
          <w:b w:val="0"/>
          <w:bCs w:val="0"/>
          <w:spacing w:val="-4"/>
          <w:sz w:val="32"/>
          <w:szCs w:val="32"/>
          <w:lang w:val="en-US" w:eastAsia="zh-CN"/>
        </w:rPr>
        <w:t>深入推进法治政府建设</w:t>
      </w:r>
    </w:p>
    <w:p w14:paraId="65001BC8">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val="en-US" w:eastAsia="zh-CN"/>
        </w:rPr>
        <w:t>认真</w:t>
      </w:r>
      <w:r>
        <w:rPr>
          <w:rFonts w:hint="default" w:ascii="Times New Roman" w:hAnsi="Times New Roman" w:eastAsia="仿宋_GB2312" w:cs="Times New Roman"/>
          <w:b w:val="0"/>
          <w:bCs w:val="0"/>
          <w:sz w:val="32"/>
          <w:szCs w:val="32"/>
          <w:lang w:val="en-US" w:eastAsia="zh-CN"/>
        </w:rPr>
        <w:t>贯彻落实党的二十大和二十届</w:t>
      </w:r>
      <w:r>
        <w:rPr>
          <w:rFonts w:hint="default" w:ascii="Times New Roman" w:hAnsi="Times New Roman" w:cs="Times New Roman"/>
          <w:b w:val="0"/>
          <w:bCs w:val="0"/>
          <w:sz w:val="32"/>
          <w:szCs w:val="32"/>
          <w:lang w:val="en-US" w:eastAsia="zh-CN"/>
        </w:rPr>
        <w:t>历次</w:t>
      </w:r>
      <w:r>
        <w:rPr>
          <w:rFonts w:hint="default" w:ascii="Times New Roman" w:hAnsi="Times New Roman" w:eastAsia="仿宋_GB2312" w:cs="Times New Roman"/>
          <w:b w:val="0"/>
          <w:bCs w:val="0"/>
          <w:sz w:val="32"/>
          <w:szCs w:val="32"/>
          <w:lang w:val="en-US" w:eastAsia="zh-CN"/>
        </w:rPr>
        <w:t>全会精神，深入</w:t>
      </w:r>
      <w:r>
        <w:rPr>
          <w:rFonts w:hint="default" w:ascii="Times New Roman" w:hAnsi="Times New Roman" w:cs="Times New Roman"/>
          <w:b w:val="0"/>
          <w:bCs w:val="0"/>
          <w:sz w:val="32"/>
          <w:szCs w:val="32"/>
          <w:lang w:val="en-US" w:eastAsia="zh-CN"/>
        </w:rPr>
        <w:t>学习贯彻</w:t>
      </w:r>
      <w:r>
        <w:rPr>
          <w:rFonts w:hint="default" w:ascii="Times New Roman" w:hAnsi="Times New Roman" w:eastAsia="仿宋_GB2312" w:cs="Times New Roman"/>
          <w:b w:val="0"/>
          <w:bCs w:val="0"/>
          <w:sz w:val="32"/>
          <w:szCs w:val="32"/>
          <w:lang w:val="en-US" w:eastAsia="zh-CN"/>
        </w:rPr>
        <w:t>习近平法治思想，持续强化党政主要负责人履行推进法治政府建设第一责任人职责，切实把习近平法治思想转化为做好法治政府建设工作的强大动力。</w:t>
      </w:r>
      <w:r>
        <w:rPr>
          <w:rFonts w:hint="default" w:ascii="Times New Roman" w:hAnsi="Times New Roman" w:cs="Times New Roman"/>
          <w:b w:val="0"/>
          <w:bCs w:val="0"/>
          <w:sz w:val="32"/>
          <w:szCs w:val="32"/>
          <w:lang w:val="en-US" w:eastAsia="zh-CN"/>
        </w:rPr>
        <w:t>牢固树立法治思维，</w:t>
      </w:r>
      <w:r>
        <w:rPr>
          <w:rFonts w:hint="default" w:ascii="Times New Roman" w:hAnsi="Times New Roman" w:eastAsia="仿宋_GB2312" w:cs="Times New Roman"/>
          <w:b w:val="0"/>
          <w:bCs w:val="0"/>
          <w:sz w:val="32"/>
          <w:szCs w:val="32"/>
          <w:lang w:eastAsia="zh-CN"/>
        </w:rPr>
        <w:t>抓住“关键少数”，</w:t>
      </w:r>
      <w:r>
        <w:rPr>
          <w:rFonts w:hint="default" w:ascii="Times New Roman" w:hAnsi="Times New Roman" w:eastAsia="仿宋_GB2312" w:cs="Times New Roman"/>
          <w:b w:val="0"/>
          <w:bCs w:val="0"/>
          <w:sz w:val="32"/>
          <w:szCs w:val="32"/>
          <w:lang w:val="en-US" w:eastAsia="zh-CN"/>
        </w:rPr>
        <w:t>充分发挥领导干部表率作用，</w:t>
      </w:r>
      <w:r>
        <w:rPr>
          <w:rFonts w:hint="default" w:ascii="Times New Roman" w:hAnsi="Times New Roman" w:eastAsia="仿宋_GB2312" w:cs="Times New Roman"/>
          <w:b w:val="0"/>
          <w:bCs w:val="0"/>
          <w:sz w:val="32"/>
          <w:szCs w:val="32"/>
          <w:lang w:eastAsia="zh-CN"/>
        </w:rPr>
        <w:t>推动领导干部带头学法、模范守法；注重“执法多数”，</w:t>
      </w:r>
      <w:r>
        <w:rPr>
          <w:rFonts w:hint="default" w:ascii="Times New Roman" w:hAnsi="Times New Roman" w:eastAsia="仿宋_GB2312" w:cs="Times New Roman"/>
          <w:b w:val="0"/>
          <w:bCs w:val="0"/>
          <w:sz w:val="32"/>
          <w:szCs w:val="32"/>
          <w:lang w:val="en-US" w:eastAsia="zh-CN"/>
        </w:rPr>
        <w:t>着力完善学、述、考、用有机统一、相互支撑的“立体化”法治能力培养体系</w:t>
      </w:r>
      <w:r>
        <w:rPr>
          <w:rFonts w:hint="eastAsia" w:cs="Times New Roman"/>
          <w:b w:val="0"/>
          <w:bCs w:val="0"/>
          <w:sz w:val="32"/>
          <w:szCs w:val="32"/>
          <w:lang w:val="en-US" w:eastAsia="zh-CN"/>
        </w:rPr>
        <w:t>，</w:t>
      </w:r>
      <w:r>
        <w:rPr>
          <w:rFonts w:hint="default" w:ascii="Times New Roman" w:hAnsi="Times New Roman" w:cs="Times New Roman"/>
          <w:b w:val="0"/>
          <w:bCs w:val="0"/>
          <w:sz w:val="32"/>
          <w:szCs w:val="32"/>
          <w:lang w:eastAsia="zh-CN"/>
        </w:rPr>
        <w:t>提高机关干部</w:t>
      </w:r>
      <w:r>
        <w:rPr>
          <w:rFonts w:hint="default" w:ascii="Times New Roman" w:hAnsi="Times New Roman" w:cs="Times New Roman"/>
          <w:b w:val="0"/>
          <w:bCs w:val="0"/>
          <w:sz w:val="32"/>
          <w:szCs w:val="32"/>
          <w:lang w:val="en-US" w:eastAsia="zh-CN"/>
        </w:rPr>
        <w:t>运用法治思维和法治方式</w:t>
      </w:r>
      <w:r>
        <w:rPr>
          <w:rFonts w:hint="eastAsia" w:cs="Times New Roman"/>
          <w:b w:val="0"/>
          <w:bCs w:val="0"/>
          <w:sz w:val="32"/>
          <w:szCs w:val="32"/>
          <w:lang w:val="en-US" w:eastAsia="zh-CN"/>
        </w:rPr>
        <w:t>化解纠纷和服务群众的能力</w:t>
      </w:r>
      <w:r>
        <w:rPr>
          <w:rFonts w:hint="default" w:ascii="Times New Roman" w:hAnsi="Times New Roman" w:cs="Times New Roman"/>
          <w:b w:val="0"/>
          <w:bCs w:val="0"/>
          <w:sz w:val="32"/>
          <w:szCs w:val="32"/>
          <w:lang w:val="en-US" w:eastAsia="zh-CN"/>
        </w:rPr>
        <w:t>。聚焦重点任务，统筹谋划法治建设工作，将街道各项工作纳入法治轨道运行。</w:t>
      </w:r>
    </w:p>
    <w:p w14:paraId="60AF31AC">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default" w:ascii="Times New Roman" w:hAnsi="Times New Roman" w:eastAsia="楷体_GB2312" w:cs="Times New Roman"/>
          <w:b w:val="0"/>
          <w:bCs w:val="0"/>
          <w:spacing w:val="-4"/>
          <w:sz w:val="32"/>
          <w:szCs w:val="32"/>
          <w:lang w:val="en-US" w:eastAsia="zh-CN"/>
        </w:rPr>
      </w:pPr>
      <w:r>
        <w:rPr>
          <w:rFonts w:hint="default" w:ascii="Times New Roman" w:hAnsi="Times New Roman" w:eastAsia="楷体_GB2312" w:cs="Times New Roman"/>
          <w:b w:val="0"/>
          <w:bCs w:val="0"/>
          <w:spacing w:val="-4"/>
          <w:sz w:val="32"/>
          <w:szCs w:val="32"/>
          <w:lang w:val="en-US" w:eastAsia="zh-CN"/>
        </w:rPr>
        <w:t>继续提高行政执法能力</w:t>
      </w:r>
    </w:p>
    <w:p w14:paraId="625EFFD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继续加强执法队伍建设，执法人员持证上岗，加强新上岗执法人员培训，实施在职执法人员法律知识培训和考试制度。继续全面推行行政执法“三项制度”。强化对行政行为的监督力度，让执法行为既有力度又有温度。加强执法人员业务培训，把业务学习作为工作考核指标，充分发挥法律顾问、公职律师职能，提升行政应诉能力，落实行政机关主要负责人出庭应诉机制。努力构建行政复议、行政裁决、行政调</w:t>
      </w:r>
      <w:bookmarkStart w:id="0" w:name="_GoBack"/>
      <w:r>
        <w:rPr>
          <w:rFonts w:hint="default" w:ascii="Times New Roman" w:hAnsi="Times New Roman" w:eastAsia="仿宋_GB2312" w:cs="Times New Roman"/>
          <w:b w:val="0"/>
          <w:bCs w:val="0"/>
          <w:sz w:val="32"/>
          <w:szCs w:val="32"/>
          <w:lang w:val="en-US" w:eastAsia="zh-CN"/>
        </w:rPr>
        <w:t>解的非</w:t>
      </w:r>
      <w:r>
        <w:rPr>
          <w:rFonts w:hint="eastAsia" w:eastAsia="仿宋_GB2312" w:cs="Times New Roman"/>
          <w:b w:val="0"/>
          <w:bCs w:val="0"/>
          <w:sz w:val="32"/>
          <w:szCs w:val="32"/>
          <w:lang w:val="en-US" w:eastAsia="zh-CN"/>
        </w:rPr>
        <w:t>诉讼</w:t>
      </w:r>
      <w:r>
        <w:rPr>
          <w:rFonts w:hint="default" w:ascii="Times New Roman" w:hAnsi="Times New Roman" w:eastAsia="仿宋_GB2312" w:cs="Times New Roman"/>
          <w:b w:val="0"/>
          <w:bCs w:val="0"/>
          <w:sz w:val="32"/>
          <w:szCs w:val="32"/>
          <w:lang w:val="en-US" w:eastAsia="zh-CN"/>
        </w:rPr>
        <w:t>纠纷化解平台，把行</w:t>
      </w:r>
      <w:bookmarkEnd w:id="0"/>
      <w:r>
        <w:rPr>
          <w:rFonts w:hint="default" w:ascii="Times New Roman" w:hAnsi="Times New Roman" w:eastAsia="仿宋_GB2312" w:cs="Times New Roman"/>
          <w:b w:val="0"/>
          <w:bCs w:val="0"/>
          <w:sz w:val="32"/>
          <w:szCs w:val="32"/>
          <w:lang w:val="en-US" w:eastAsia="zh-CN"/>
        </w:rPr>
        <w:t>政争议、行政纠纷化解在非诉讼渠道。</w:t>
      </w:r>
    </w:p>
    <w:p w14:paraId="2E74C8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（三）不断创新纠纷化解机制</w:t>
      </w:r>
    </w:p>
    <w:p w14:paraId="4B4689B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一是坚持和发展新时代“枫桥经验”，推广“六尺巷工作法”，丰富基层法治实践，完善“网格</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法治”治理模式，擦亮龙潭特色矛盾纠纷化解品牌。</w:t>
      </w:r>
      <w:r>
        <w:rPr>
          <w:rFonts w:hint="default" w:ascii="Times New Roman" w:hAnsi="Times New Roman" w:eastAsia="仿宋_GB2312" w:cs="Times New Roman"/>
          <w:b w:val="0"/>
          <w:bCs w:val="0"/>
          <w:spacing w:val="-4"/>
          <w:sz w:val="32"/>
          <w:szCs w:val="32"/>
          <w:lang w:val="en-US" w:eastAsia="zh-CN"/>
        </w:rPr>
        <w:t>继续加强调解员队伍建设，大力扶持专业调解组织建立，引入行业专业人才，提高调解员队伍专业化水平。</w:t>
      </w:r>
      <w:r>
        <w:rPr>
          <w:rFonts w:hint="default" w:ascii="Times New Roman" w:hAnsi="Times New Roman" w:eastAsia="仿宋_GB2312" w:cs="Times New Roman"/>
          <w:b w:val="0"/>
          <w:bCs w:val="0"/>
          <w:sz w:val="32"/>
          <w:szCs w:val="32"/>
          <w:lang w:eastAsia="zh-CN"/>
        </w:rPr>
        <w:t>将调解力量与社区网格深度融合，</w:t>
      </w:r>
      <w:r>
        <w:rPr>
          <w:rFonts w:hint="default" w:ascii="Times New Roman" w:hAnsi="Times New Roman" w:eastAsia="仿宋_GB2312" w:cs="Times New Roman"/>
          <w:b w:val="0"/>
          <w:bCs w:val="0"/>
          <w:spacing w:val="-4"/>
          <w:sz w:val="32"/>
          <w:szCs w:val="32"/>
          <w:lang w:val="en-US" w:eastAsia="zh-CN"/>
        </w:rPr>
        <w:t>积极开展诉源治理，加密纠纷排查频次，</w:t>
      </w:r>
      <w:r>
        <w:rPr>
          <w:rFonts w:hint="default" w:ascii="Times New Roman" w:hAnsi="Times New Roman" w:eastAsia="仿宋_GB2312" w:cs="Times New Roman"/>
          <w:b w:val="0"/>
          <w:bCs w:val="0"/>
          <w:sz w:val="32"/>
          <w:szCs w:val="32"/>
          <w:lang w:eastAsia="zh-CN"/>
        </w:rPr>
        <w:t>实现矛盾纠纷“早发现、早介入、早化解”。</w:t>
      </w:r>
      <w:r>
        <w:rPr>
          <w:rFonts w:hint="default" w:ascii="Times New Roman" w:hAnsi="Times New Roman" w:eastAsia="仿宋_GB2312" w:cs="Times New Roman"/>
          <w:b w:val="0"/>
          <w:bCs w:val="0"/>
          <w:spacing w:val="-4"/>
          <w:sz w:val="32"/>
          <w:szCs w:val="32"/>
          <w:lang w:val="en-US" w:eastAsia="zh-CN"/>
        </w:rPr>
        <w:t>进一步加强人民调解、行政调解、司法调解的协调联动和有序衔接。</w:t>
      </w:r>
      <w:r>
        <w:rPr>
          <w:rFonts w:hint="default" w:ascii="Times New Roman" w:hAnsi="Times New Roman" w:eastAsia="仿宋_GB2312" w:cs="Times New Roman"/>
          <w:b w:val="0"/>
          <w:bCs w:val="0"/>
          <w:sz w:val="32"/>
          <w:szCs w:val="32"/>
          <w:lang w:eastAsia="zh-CN"/>
        </w:rPr>
        <w:t>二是强化综治中心建设，加强“两所联动”，吸纳律师、心理咨询师等专业力量入驻，筑牢平安建设堡垒。针对重大、疑难、复杂及群体性、突发性事件，进一步发挥综治中心“维稳中枢”作用，主动向前一步，联系协调矛盾化解的责任单位及相关部门，与重点人员进行沟通对话，努力提高议事沟通质效，落实属地稳控。</w:t>
      </w:r>
    </w:p>
    <w:p w14:paraId="796FF2FC">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（四）持续营造浓厚法治氛围</w:t>
      </w:r>
    </w:p>
    <w:p w14:paraId="51BFDDA4">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val="en-US" w:eastAsia="zh-CN"/>
        </w:rPr>
        <w:t>持续升级法治文化品牌，深化法律服务供给，为社区居民、在校学生、流动人口送去全方位的法治文化“大餐”。做好重要节点普法宣传工作，充分运用国家宪法日、民法典宣传月等节点，开展形式多样的普法活动，以全民普法促进全民守法。</w:t>
      </w:r>
    </w:p>
    <w:p w14:paraId="4C4CE2EF">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sz w:val="32"/>
          <w:szCs w:val="32"/>
          <w:lang w:eastAsia="zh-CN"/>
        </w:rPr>
      </w:pPr>
    </w:p>
    <w:p w14:paraId="3B4610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sz w:val="32"/>
          <w:szCs w:val="28"/>
        </w:rPr>
      </w:pPr>
    </w:p>
    <w:sectPr>
      <w:footerReference r:id="rId3"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75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FD0D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FD0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0C172"/>
    <w:multiLevelType w:val="singleLevel"/>
    <w:tmpl w:val="5FC0C172"/>
    <w:lvl w:ilvl="0" w:tentative="0">
      <w:start w:val="2"/>
      <w:numFmt w:val="chineseCounting"/>
      <w:suff w:val="nothing"/>
      <w:lvlText w:val="%1、"/>
      <w:lvlJc w:val="left"/>
    </w:lvl>
  </w:abstractNum>
  <w:abstractNum w:abstractNumId="1">
    <w:nsid w:val="637ADF2A"/>
    <w:multiLevelType w:val="singleLevel"/>
    <w:tmpl w:val="637ADF2A"/>
    <w:lvl w:ilvl="0" w:tentative="0">
      <w:start w:val="1"/>
      <w:numFmt w:val="chineseCounting"/>
      <w:suff w:val="nothing"/>
      <w:lvlText w:val="（%1）"/>
      <w:lvlJc w:val="left"/>
    </w:lvl>
  </w:abstractNum>
  <w:abstractNum w:abstractNumId="2">
    <w:nsid w:val="637AE02D"/>
    <w:multiLevelType w:val="singleLevel"/>
    <w:tmpl w:val="637AE02D"/>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D481A"/>
    <w:rsid w:val="0A99114F"/>
    <w:rsid w:val="0FB41FFE"/>
    <w:rsid w:val="0FDD1065"/>
    <w:rsid w:val="10987051"/>
    <w:rsid w:val="11A82728"/>
    <w:rsid w:val="14B04F4C"/>
    <w:rsid w:val="15783A1B"/>
    <w:rsid w:val="1BB9C1C6"/>
    <w:rsid w:val="1BBA1EF4"/>
    <w:rsid w:val="1F8238FE"/>
    <w:rsid w:val="268F7F88"/>
    <w:rsid w:val="278C1788"/>
    <w:rsid w:val="2F593AD5"/>
    <w:rsid w:val="32341030"/>
    <w:rsid w:val="35FBCBC7"/>
    <w:rsid w:val="369F9A6B"/>
    <w:rsid w:val="377A4D9B"/>
    <w:rsid w:val="3A327784"/>
    <w:rsid w:val="3D4FD55C"/>
    <w:rsid w:val="3E7FC446"/>
    <w:rsid w:val="3EB96BF2"/>
    <w:rsid w:val="3FA77DC9"/>
    <w:rsid w:val="4AF272D6"/>
    <w:rsid w:val="4B3F217F"/>
    <w:rsid w:val="4B95169A"/>
    <w:rsid w:val="4ECF52DB"/>
    <w:rsid w:val="4F794FB1"/>
    <w:rsid w:val="4F8BCCCA"/>
    <w:rsid w:val="52036CC7"/>
    <w:rsid w:val="52FE686D"/>
    <w:rsid w:val="542D3B42"/>
    <w:rsid w:val="5D261B41"/>
    <w:rsid w:val="612A47B3"/>
    <w:rsid w:val="65371CBE"/>
    <w:rsid w:val="6A2D481A"/>
    <w:rsid w:val="6ACE4547"/>
    <w:rsid w:val="6B21044C"/>
    <w:rsid w:val="73FBF71C"/>
    <w:rsid w:val="75484ADB"/>
    <w:rsid w:val="77E7392E"/>
    <w:rsid w:val="7A4A7FE4"/>
    <w:rsid w:val="7F72F460"/>
    <w:rsid w:val="7FB7D67E"/>
    <w:rsid w:val="87FE3E41"/>
    <w:rsid w:val="CADD5068"/>
    <w:rsid w:val="DFDF6254"/>
    <w:rsid w:val="E3A786F3"/>
    <w:rsid w:val="F3CFD815"/>
    <w:rsid w:val="F6EB9375"/>
    <w:rsid w:val="F7BB6BAC"/>
    <w:rsid w:val="FD1E7EFE"/>
    <w:rsid w:val="FD7F01A1"/>
    <w:rsid w:val="FF1FC8B5"/>
    <w:rsid w:val="FF8F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24" w:firstLineChars="200"/>
    </w:pPr>
    <w:rPr>
      <w:rFonts w:eastAsia="仿宋_GB2312"/>
      <w:sz w:val="30"/>
      <w:szCs w:val="30"/>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cf90a819-733a-4d9e-bf1c-ef31ce936613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2F32D8FE</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458f26b2-7464-4e11-897e-faad12a032b0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2F32D8FE</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40aae6b7-02e5-43ea-b7eb-b76c2d42716c</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154E0A14</paraID>
      <start xmlns="http://schemas.wps.cn/vas-ai-hub/contract-review">242</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b72dab79-6019-4634-96e8-9cbd6a9bfb6e</errorID>
      <errorWord xmlns="http://schemas.wps.cn/vas-ai-hub/contract-review">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深入</item>
      </candidateList>
      <explain xmlns="http://schemas.wps.cn/vas-ai-hub/contract-review">❶〈动〉透过外部，达到事物内部或中心：孤军～｜～实际｜～人心。❷〈形〉深刻；透彻：～地分析｜这个问题需要作～的调查研究。</explain>
      <paraID xmlns="http://schemas.wps.cn/vas-ai-hub/contract-review">2B4D510A</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f3e6af32-dba7-4f05-bac5-eecd97545001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67FB1F82</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2deb7-148e-41d5-8ebb-9efe20f98b1d}">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4311</Words>
  <Characters>4385</Characters>
  <Lines>0</Lines>
  <Paragraphs>0</Paragraphs>
  <TotalTime>4</TotalTime>
  <ScaleCrop>false</ScaleCrop>
  <LinksUpToDate>false</LinksUpToDate>
  <CharactersWithSpaces>4385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2024-12-14T14:07:00Z</dcterms:created>
  <dc:creator>sifasuo</dc:creator>
  <cp:lastModifiedBy>user</cp:lastModifiedBy>
  <dcterms:modified xsi:type="dcterms:W3CDTF">2026-03-19T15:44:21Z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7D7478596C5644A387EEC9569E7EFCF2</vt:lpwstr>
  </property>
  <property fmtid="{D5CDD505-2E9C-101B-9397-08002B2CF9AE}" pid="4" name="KSOTemplateDocerSaveRecord">
    <vt:lpwstr>eyJoZGlkIjoiMGU3M2U2NzEwNTZmNTk2Mjk1MjBlYzY0MTM1MzM0YTUiLCJ1c2VySWQiOiI2Mzc1MDI3OTEifQ==</vt:lpwstr>
  </property>
</Properties>
</file>