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北京市规划和自然资源委员会东城分局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lang w:eastAsia="zh-CN"/>
        </w:rPr>
        <w:t>法治政府建设年度情况</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2024年是中华人民共和国成立75周年，</w:t>
      </w:r>
      <w:r>
        <w:rPr>
          <w:rFonts w:hint="default" w:ascii="Times New Roman" w:hAnsi="Times New Roman" w:eastAsia="仿宋_GB2312" w:cs="Times New Roman"/>
          <w:sz w:val="32"/>
          <w:szCs w:val="32"/>
        </w:rPr>
        <w:t>是全面贯彻落实党的二十大精神的关键之年</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我分局在区委区政府和市规自委的领导下，</w:t>
      </w:r>
      <w:r>
        <w:rPr>
          <w:rFonts w:hint="default" w:ascii="Times New Roman" w:hAnsi="Times New Roman" w:eastAsia="仿宋_GB2312" w:cs="Times New Roman"/>
          <w:sz w:val="32"/>
          <w:szCs w:val="32"/>
          <w:lang w:val="en-US" w:eastAsia="zh-CN"/>
        </w:rPr>
        <w:t>以习近平新时代中国特色社会主义思想为指导，全面贯彻落实党的二十大</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党的二十届</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中全会精神，</w:t>
      </w:r>
      <w:r>
        <w:rPr>
          <w:rFonts w:hint="default" w:ascii="Times New Roman" w:hAnsi="Times New Roman" w:eastAsia="仿宋_GB2312" w:cs="Times New Roman"/>
          <w:sz w:val="32"/>
          <w:szCs w:val="32"/>
        </w:rPr>
        <w:t>深入学习贯彻习近平法治思想，认真落实中共中央、国务院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市委</w:t>
      </w:r>
      <w:r>
        <w:rPr>
          <w:rFonts w:hint="default" w:ascii="Times New Roman" w:hAnsi="Times New Roman" w:eastAsia="仿宋_GB2312" w:cs="Times New Roman"/>
          <w:sz w:val="32"/>
          <w:szCs w:val="32"/>
          <w:lang w:eastAsia="zh-CN"/>
        </w:rPr>
        <w:t>和区委</w:t>
      </w:r>
      <w:r>
        <w:rPr>
          <w:rFonts w:hint="default" w:ascii="Times New Roman" w:hAnsi="Times New Roman" w:eastAsia="仿宋_GB2312" w:cs="Times New Roman"/>
          <w:sz w:val="32"/>
          <w:szCs w:val="32"/>
        </w:rPr>
        <w:t>关于法治政府建设的各项决策部署，</w:t>
      </w:r>
      <w:r>
        <w:rPr>
          <w:rFonts w:hint="default" w:ascii="Times New Roman" w:hAnsi="Times New Roman" w:eastAsia="仿宋_GB2312" w:cs="Times New Roman"/>
          <w:sz w:val="32"/>
          <w:szCs w:val="32"/>
          <w:lang w:val="en-US" w:eastAsia="zh-CN"/>
        </w:rPr>
        <w:t>深入推进法治政府建设各项工作，更好发挥法治固根本、稳预期、利长远的作用，为规划</w:t>
      </w:r>
      <w:r>
        <w:rPr>
          <w:rFonts w:hint="eastAsia" w:ascii="Times New Roman" w:hAnsi="Times New Roman" w:eastAsia="仿宋_GB2312" w:cs="Times New Roman"/>
          <w:sz w:val="32"/>
          <w:szCs w:val="32"/>
          <w:lang w:val="en-US" w:eastAsia="zh-CN"/>
        </w:rPr>
        <w:t>和自然</w:t>
      </w:r>
      <w:r>
        <w:rPr>
          <w:rFonts w:hint="default" w:ascii="Times New Roman" w:hAnsi="Times New Roman" w:eastAsia="仿宋_GB2312" w:cs="Times New Roman"/>
          <w:sz w:val="32"/>
          <w:szCs w:val="32"/>
          <w:lang w:val="en-US" w:eastAsia="zh-CN"/>
        </w:rPr>
        <w:t>资源改革发展提供更有力的法治保障。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2024</w:t>
      </w:r>
      <w:r>
        <w:rPr>
          <w:rFonts w:hint="default" w:ascii="Times New Roman" w:hAnsi="Times New Roman" w:eastAsia="黑体" w:cs="Times New Roman"/>
          <w:sz w:val="32"/>
          <w:szCs w:val="32"/>
          <w:lang w:val="en-US" w:eastAsia="zh-CN"/>
        </w:rPr>
        <w:t>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聚焦习近平新时代中国特色社会主义思想，加强法治建设的组织领导</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学习加力，法治思想入心入脑</w:t>
      </w:r>
      <w:r>
        <w:rPr>
          <w:rFonts w:hint="eastAsia" w:eastAsia="仿宋_GB2312" w:cs="Times New Roman"/>
          <w:sz w:val="32"/>
          <w:szCs w:val="32"/>
          <w:lang w:val="en-US" w:eastAsia="zh-CN"/>
        </w:rPr>
        <w:t xml:space="preserve">。把学习贯彻习近平法治思想作为党组会和理论学习中心组的重要内容来抓，多形式、全方位、深层次学习研讨习近平法治思想的“十一个坚持”、习近平总书记关于自然资源领域的重要讲话和指示批示精神，重点把握和深入理解习近平法治思想的核心要义、基本原则、相关要求。分局领导班子开展会前学法和理论学习中心组学习18次，学习《中华人民共和国保守国家秘密法》《中华人民共和国行政复议法》《中国共产党纪律处分条例》《公平竞争审查条例》《中华人民共和国档案法实施条例》等法律法规，领导班子带头学法，增强法治意识。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责任加压，法治责任压紧压实</w:t>
      </w:r>
      <w:r>
        <w:rPr>
          <w:rFonts w:hint="eastAsia" w:ascii="Times New Roman" w:hAnsi="Times New Roman" w:eastAsia="仿宋_GB2312" w:cs="Times New Roman"/>
          <w:kern w:val="2"/>
          <w:sz w:val="32"/>
          <w:szCs w:val="32"/>
          <w:lang w:val="en-US" w:eastAsia="zh-CN" w:bidi="ar-SA"/>
        </w:rPr>
        <w:t>。积极发挥分局党组核心作用，坚持党组中心统一领导，全局建立主要领导负总责、分管领导分工负责，各部门齐抓共管的法治政府建设体制。分局主要领导亲自部署法治政府建设相关工作，及时研究解决法治政府建设相关重大问题，严格落实“谁执法谁普法”责任制。在具体工作中，领导率先垂范，干部主动作为，不折不扣抓好各项工作的落实，年度各项任务目前已基本完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聚焦</w:t>
      </w:r>
      <w:r>
        <w:rPr>
          <w:rFonts w:hint="eastAsia" w:eastAsia="楷体_GB2312" w:cs="Times New Roman"/>
          <w:sz w:val="32"/>
          <w:szCs w:val="32"/>
          <w:lang w:val="en-US" w:eastAsia="zh-CN"/>
        </w:rPr>
        <w:t>“人民为中心”</w:t>
      </w:r>
      <w:r>
        <w:rPr>
          <w:rFonts w:hint="default" w:ascii="Times New Roman" w:hAnsi="Times New Roman" w:eastAsia="楷体_GB2312" w:cs="Times New Roman"/>
          <w:sz w:val="32"/>
          <w:szCs w:val="32"/>
          <w:lang w:val="en-US" w:eastAsia="zh-CN"/>
        </w:rPr>
        <w:t>，</w:t>
      </w:r>
      <w:r>
        <w:rPr>
          <w:rFonts w:hint="eastAsia" w:eastAsia="楷体_GB2312" w:cs="Times New Roman"/>
          <w:sz w:val="32"/>
          <w:szCs w:val="32"/>
          <w:lang w:val="en-US" w:eastAsia="zh-CN"/>
        </w:rPr>
        <w:t>深化改革促进依法治理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守初心回应呼声面对面，担使命接诉即办实打实。提高政治站位，坚持民有所呼、我有所应，以向前一步的精神，解决群众身边的问题，把“接诉即办”工作当作实现初心、为民服务的常态化工作推进。强化责任落实，层层传导压力，继续坚持主要领导亲自调度、亲自指挥，主管领导亲自协调、亲自推动，各部门团结一心、群策群力，坚持落实首派承办责任制，杜绝部门间推诿扯皮现象，杜绝多部门答复市民现象，杜绝答复口径不统一现象，形成齐抓共管、团结协作的良好工作局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耐心处理群众信访诉求，依法办理政府信息公开。坚持“公开为常态、不公开为例外”的指导思想，充分利用网站和公众号，主动公开城乡规划和自然资源相关信息；牢固树立服务意识，认真做好依申请公开工作，并制作电子印章，通过网络办理途径提升公开时效</w:t>
      </w:r>
      <w:r>
        <w:rPr>
          <w:rFonts w:hint="eastAsia" w:eastAsia="仿宋_GB2312" w:cs="Times New Roman"/>
          <w:sz w:val="32"/>
          <w:szCs w:val="32"/>
          <w:lang w:val="en-US" w:eastAsia="zh-CN"/>
        </w:rPr>
        <w:t>。高度重视信访工作，坚持分类指导、多措并举、综合施策，让重复信访和矛盾上行“双下降”，实现控增量、减存量、防变量，依法解决群众诉求，合理化解矛盾纠纷。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聚焦依法行政，夯实规划和自然资源法治建设基础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依规落实规范性文件管理制度。严格落实区政府行政规范性文件管理规定程序，并按照要求履行规范性文件的拟定、报送、审核、备案工作。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健全行政执法“三项制度”。严格落实执法公示制度，做到事前、事中、事后主动公示，充分保障行政相对人和社会公众的知情权、参与权、表达权和监督权。严格落实行政执法全过程记录制度，确保日常执法巡查、执法检查、行政处罚等全程留痕和可追溯、可考核。严格落实执法案件</w:t>
      </w:r>
      <w:r>
        <w:rPr>
          <w:rFonts w:hint="eastAsia" w:eastAsia="仿宋_GB2312" w:cs="Times New Roman"/>
          <w:sz w:val="32"/>
          <w:szCs w:val="32"/>
          <w:lang w:val="en-US" w:eastAsia="zh-CN"/>
        </w:rPr>
        <w:t>合法性审核</w:t>
      </w:r>
      <w:r>
        <w:rPr>
          <w:rFonts w:hint="eastAsia" w:ascii="Times New Roman" w:hAnsi="Times New Roman" w:eastAsia="仿宋_GB2312" w:cs="Times New Roman"/>
          <w:sz w:val="32"/>
          <w:szCs w:val="32"/>
          <w:lang w:val="en-US" w:eastAsia="zh-CN"/>
        </w:rPr>
        <w:t>制度，定期开展执法案卷</w:t>
      </w:r>
      <w:r>
        <w:rPr>
          <w:rFonts w:hint="eastAsia" w:eastAsia="仿宋_GB2312" w:cs="Times New Roman"/>
          <w:sz w:val="32"/>
          <w:szCs w:val="32"/>
          <w:lang w:val="en-US" w:eastAsia="zh-CN"/>
        </w:rPr>
        <w:t>自查</w:t>
      </w:r>
      <w:r>
        <w:rPr>
          <w:rFonts w:hint="eastAsia" w:ascii="Times New Roman" w:hAnsi="Times New Roman" w:eastAsia="仿宋_GB2312" w:cs="Times New Roman"/>
          <w:sz w:val="32"/>
          <w:szCs w:val="32"/>
          <w:lang w:val="en-US" w:eastAsia="zh-CN"/>
        </w:rPr>
        <w:t>，不断提升公正文明执法的能力。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加强行政复议工作。进一步规范行政复议应诉程序，明确了答复时限和办理流程，确保按期答复，不断提高复议应诉准备质量。积极与复议机关沟通协调，了解案情和当事人的诉求，通过向当事人释法明理，妥善化解行政争议</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确保行政复议工作平稳、有序。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lang w:val="en-US" w:eastAsia="zh-CN"/>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深化行政应诉工作。通过推动机关负责人出庭应诉制度化、常态化、强化法律顾问服务模式实施、组织行政与司法系统良性互动等多项措施，不断加强和改进行政应诉工作，大大提高了矛盾纠纷化解的成效。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聚焦法</w:t>
      </w:r>
      <w:r>
        <w:rPr>
          <w:rFonts w:hint="eastAsia" w:eastAsia="楷体_GB2312" w:cs="Times New Roman"/>
          <w:sz w:val="32"/>
          <w:szCs w:val="32"/>
          <w:lang w:val="en-US" w:eastAsia="zh-CN"/>
        </w:rPr>
        <w:t>治</w:t>
      </w:r>
      <w:r>
        <w:rPr>
          <w:rFonts w:hint="eastAsia" w:ascii="Times New Roman" w:hAnsi="Times New Roman" w:eastAsia="楷体_GB2312" w:cs="Times New Roman"/>
          <w:sz w:val="32"/>
          <w:szCs w:val="32"/>
          <w:lang w:val="en-US" w:eastAsia="zh-CN"/>
        </w:rPr>
        <w:t>宣传，提升规划和自然资源普法实效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按照“八五”普法工作计划，推进法治宣教“进机关、进社区、进单位”，紧扣宣传主题，结合东城区实际，组织开展“全民国家安全教育日”“世界地球日”“信访宣传月”“全国土地日”“公平竞争政策宣传周”“测绘法宣传日暨国家版图意识宣传周”</w:t>
      </w:r>
      <w:r>
        <w:rPr>
          <w:rFonts w:hint="eastAsia" w:eastAsia="仿宋_GB2312" w:cs="Times New Roman"/>
          <w:sz w:val="32"/>
          <w:szCs w:val="32"/>
          <w:highlight w:val="none"/>
          <w:lang w:val="en-US" w:eastAsia="zh-CN"/>
        </w:rPr>
        <w:t>“国家宪法宣传日暨宪法宣传周”</w:t>
      </w:r>
      <w:r>
        <w:rPr>
          <w:rFonts w:hint="eastAsia" w:ascii="Times New Roman" w:hAnsi="Times New Roman" w:eastAsia="仿宋_GB2312" w:cs="Times New Roman"/>
          <w:sz w:val="32"/>
          <w:szCs w:val="32"/>
          <w:highlight w:val="none"/>
          <w:lang w:val="en-US" w:eastAsia="zh-CN"/>
        </w:rPr>
        <w:t>等法</w:t>
      </w:r>
      <w:r>
        <w:rPr>
          <w:rFonts w:hint="eastAsia" w:eastAsia="仿宋_GB2312" w:cs="Times New Roman"/>
          <w:sz w:val="32"/>
          <w:szCs w:val="32"/>
          <w:highlight w:val="none"/>
          <w:lang w:val="en-US" w:eastAsia="zh-CN"/>
        </w:rPr>
        <w:t>治</w:t>
      </w:r>
      <w:r>
        <w:rPr>
          <w:rFonts w:hint="eastAsia" w:ascii="Times New Roman" w:hAnsi="Times New Roman" w:eastAsia="仿宋_GB2312" w:cs="Times New Roman"/>
          <w:sz w:val="32"/>
          <w:szCs w:val="32"/>
          <w:highlight w:val="none"/>
          <w:lang w:val="en-US" w:eastAsia="zh-CN"/>
        </w:rPr>
        <w:t>宣传活动。线上通过微信公众号、网络平台在线教育等形式，线下利用宣传海报、发放宣传材料等形式，向社会大众宣传规划自然资源管理政策，解答大众群体关心的热点问题，扩大宣传教育的覆盖面，努力做到规划和自然资源法律法规家喻户晓，登记业务范畴群众知晓，努力创造“办事依法、遇事找法、解决问题用法”的法治氛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2024</w:t>
      </w:r>
      <w:r>
        <w:rPr>
          <w:rFonts w:hint="default" w:ascii="Times New Roman" w:hAnsi="Times New Roman" w:eastAsia="黑体" w:cs="Times New Roman"/>
          <w:kern w:val="0"/>
          <w:sz w:val="32"/>
          <w:szCs w:val="32"/>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bookmarkStart w:id="0" w:name="_GoBack"/>
      <w:r>
        <w:rPr>
          <w:rFonts w:hint="eastAsia"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分局的法治建设工作虽然取得了一定成绩，但仍存在一些短板和不足，主要表现在以下几个方面：</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依法行政水平还需进一步提高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分局行政决策机制需进一步健全和完善，行政决策的科学性和民主性还需进一步提高，分局工作人员依法行政水平还需进一步提高。</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行政执法工作还需进一步加强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新形势下行政执法工作要求与分局行政执法队伍建设还有一定差距，行政执法人员的理论素养和专业技能还需进一步加强。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行政复议应诉还需进一步提升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规划和自然资源工作与群众利益密切相关，分局在不动产登记等方面还存在不足之处，仍需不断加强和改进。</w:t>
      </w:r>
    </w:p>
    <w:bookmarkEnd w:id="0"/>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2024</w:t>
      </w:r>
      <w:r>
        <w:rPr>
          <w:rFonts w:hint="default" w:ascii="Times New Roman" w:hAnsi="Times New Roman" w:eastAsia="黑体" w:cs="Times New Roman"/>
          <w:kern w:val="0"/>
          <w:sz w:val="32"/>
          <w:szCs w:val="32"/>
          <w:lang w:val="en-US" w:eastAsia="zh-CN"/>
        </w:rPr>
        <w:t>年党政主要负责人履行推进法治建设第一责任人职责，加强法治政府建设的有关情况</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深入推进全面法治建设工作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党政主要负责人履行推进法治建设第一责任人职责，对法治建设重要工作亲自部署、重点问题亲自过问、重点环节亲自协调、重要任务亲自督办。二是通过召开局党组中心组(扩大)学习会议，专题学习习近平法治思想及相关法律，深入学习领会依宪治国、依宪执政的理念、民法典中的规则意识和契约精神以及规划资源工作领域相关法治案例，全面提升全局依法行政水平和效能。三是加强法</w:t>
      </w:r>
      <w:r>
        <w:rPr>
          <w:rFonts w:hint="eastAsia" w:eastAsia="仿宋_GB2312" w:cs="Times New Roman"/>
          <w:sz w:val="32"/>
          <w:szCs w:val="32"/>
          <w:lang w:val="en-US" w:eastAsia="zh-CN"/>
        </w:rPr>
        <w:t>治</w:t>
      </w:r>
      <w:r>
        <w:rPr>
          <w:rFonts w:hint="eastAsia" w:ascii="Times New Roman" w:hAnsi="Times New Roman" w:eastAsia="仿宋_GB2312" w:cs="Times New Roman"/>
          <w:sz w:val="32"/>
          <w:szCs w:val="32"/>
          <w:lang w:val="en-US" w:eastAsia="zh-CN"/>
        </w:rPr>
        <w:t>干部日常学习教育。认真组织法</w:t>
      </w:r>
      <w:r>
        <w:rPr>
          <w:rFonts w:hint="eastAsia" w:eastAsia="仿宋_GB2312" w:cs="Times New Roman"/>
          <w:sz w:val="32"/>
          <w:szCs w:val="32"/>
          <w:lang w:val="en-US" w:eastAsia="zh-CN"/>
        </w:rPr>
        <w:t>治</w:t>
      </w:r>
      <w:r>
        <w:rPr>
          <w:rFonts w:hint="eastAsia" w:ascii="Times New Roman" w:hAnsi="Times New Roman" w:eastAsia="仿宋_GB2312" w:cs="Times New Roman"/>
          <w:sz w:val="32"/>
          <w:szCs w:val="32"/>
          <w:lang w:val="en-US" w:eastAsia="zh-CN"/>
        </w:rPr>
        <w:t>干部学习党的二十届三中全会精神，不断提高法</w:t>
      </w:r>
      <w:r>
        <w:rPr>
          <w:rFonts w:hint="eastAsia" w:eastAsia="仿宋_GB2312" w:cs="Times New Roman"/>
          <w:sz w:val="32"/>
          <w:szCs w:val="32"/>
          <w:lang w:val="en-US" w:eastAsia="zh-CN"/>
        </w:rPr>
        <w:t>治</w:t>
      </w:r>
      <w:r>
        <w:rPr>
          <w:rFonts w:hint="eastAsia" w:ascii="Times New Roman" w:hAnsi="Times New Roman" w:eastAsia="仿宋_GB2312" w:cs="Times New Roman"/>
          <w:sz w:val="32"/>
          <w:szCs w:val="32"/>
          <w:lang w:val="en-US" w:eastAsia="zh-CN"/>
        </w:rPr>
        <w:t>工作人员的政治素质、法治理念和思想理论水平。四是定期深入开展依法行政、制度建设、规范行政执法行为等内容的专题研究，及时预见和积极化解项目推进而引发的各类矛盾，提高破解难题的能力。</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依法推进规自领域各项工作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一是</w:t>
      </w:r>
      <w:r>
        <w:rPr>
          <w:rFonts w:hint="eastAsia" w:ascii="Times New Roman" w:hAnsi="Times New Roman" w:eastAsia="仿宋_GB2312" w:cs="Times New Roman"/>
          <w:sz w:val="32"/>
          <w:szCs w:val="32"/>
          <w:lang w:val="en-US" w:eastAsia="zh-CN"/>
        </w:rPr>
        <w:t>规划引领，以核心区控规落实提升政治保障力</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坚持以“都”为先、以“都”为最，构建核心区控规实施工作闭环。开展体检评估，以问题为导向，编制印发并推动实施2024年核心区控规三年行动计划。加强规划引领，在完成81个街区保护更新综合实施方案全覆盖的基础上，进一步细化街区类型，分类指导动态更新，实现各类项目的统筹协调和滚动实施。持续推进“双控四降”，形成我区地上建筑规模减量方案，开展项目化推进。依托项目审查，加强高度安全管控，坚决打造安全优良政务环境。</w:t>
      </w:r>
      <w:r>
        <w:rPr>
          <w:rFonts w:hint="eastAsia" w:eastAsia="仿宋_GB2312" w:cs="Times New Roman"/>
          <w:sz w:val="32"/>
          <w:szCs w:val="32"/>
          <w:lang w:val="en-US" w:eastAsia="zh-CN"/>
        </w:rPr>
        <w:t>二是守正创新，加强老城全面保护提升文化影响力。加强政策研究和重点突破，编制完成4片历史文化街区的保护规划。全面推进故宫、钟鼓楼周边等地区的保护性修缮及恢复性修建，打造可持续、可复制的城市更新典范案例。三是便民为民，不断优化营商环境提升社会凝聚力。完成核心区首个市政类项目用地预审与选址意见书电子证照核发。市区重点工程马圈公交地铁一体化项目1个工作日完成多规和许可手续。以金鱼池二期西项目为试点，探索“一码关联”建设项目全周期管理，实现全过程数据可溯。“京津冀晋蒙”不动产登记“跨省通办”常态化办理，切实做到了让群众少跑路，最大程度节约时间成本，实实在在为群众解决忧心事、烦心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202</w:t>
      </w:r>
      <w:r>
        <w:rPr>
          <w:rFonts w:hint="eastAsia" w:ascii="Times New Roman" w:hAnsi="Times New Roman" w:eastAsia="黑体" w:cs="Times New Roman"/>
          <w:kern w:val="0"/>
          <w:sz w:val="32"/>
          <w:szCs w:val="32"/>
          <w:lang w:val="en-US" w:eastAsia="zh-CN"/>
        </w:rPr>
        <w:t>5</w:t>
      </w:r>
      <w:r>
        <w:rPr>
          <w:rFonts w:hint="default" w:ascii="Times New Roman" w:hAnsi="Times New Roman" w:eastAsia="黑体" w:cs="Times New Roman"/>
          <w:kern w:val="0"/>
          <w:sz w:val="32"/>
          <w:szCs w:val="32"/>
          <w:lang w:val="en-US" w:eastAsia="zh-CN"/>
        </w:rPr>
        <w:t>年推进法治政府建设的主要安排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分局将始终坚持以习近平新时代中国特色社会主义思想为指导，深入学习贯彻习近平法治思想，严格按照市、区法治建设工作要求，把法治建设作为重中之重，以更高标准、更大力度、更实举措推动分局法治建设工作，用高质量法治建设护航经济社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（一）聚焦主线把方向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持续深入学习习近平法治思想。把学习贯彻习近平法治思想与学习贯彻习近平新时代中国特色社会主义思想和关于自然资源管理的重要论述结合起来，始终坚持党的领导，高举社会主义法治旗帜，不断提升依法行政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（二）创新融合促提升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把普法与依法行政、全面推行行政执法责任制工作结合起来，不断创新形式、拓宽领域、丰富内容、健全机制，在行政执法全过程中不断增强法治思想的影响力，为新形势下的依法行政提供机制保障。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（三）规范执法谋突破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职权法定、权责一致的原则，依托法治宣传培训机制，加强行政执法人员的思想和政治素质教育、法律和业务素质培训，引导工作人员依法办事、依法化解矛盾、依法解决问题。对新录用的工作人员要严格法治教育、加强法治培训，加强实务锻炼，努力造就一支高效、廉洁、公正的自然资源行政执法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（四）应诉</w:t>
      </w:r>
      <w:r>
        <w:rPr>
          <w:rFonts w:hint="eastAsia" w:ascii="Times New Roman" w:hAnsi="Times New Roman" w:eastAsia="楷体_GB2312" w:cs="Times New Roman"/>
          <w:sz w:val="32"/>
          <w:szCs w:val="32"/>
          <w:lang w:val="en-US" w:eastAsia="zh-CN"/>
        </w:rPr>
        <w:t>复议</w:t>
      </w:r>
      <w:r>
        <w:rPr>
          <w:rFonts w:hint="default" w:ascii="Times New Roman" w:hAnsi="Times New Roman" w:eastAsia="楷体_GB2312" w:cs="Times New Roman"/>
          <w:sz w:val="32"/>
          <w:szCs w:val="32"/>
          <w:lang w:val="en-US" w:eastAsia="zh-CN"/>
        </w:rPr>
        <w:t>提质效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积极与</w:t>
      </w:r>
      <w:r>
        <w:rPr>
          <w:rFonts w:hint="eastAsia" w:eastAsia="仿宋_GB2312" w:cs="Times New Roman"/>
          <w:sz w:val="32"/>
          <w:szCs w:val="32"/>
          <w:lang w:val="en-US" w:eastAsia="zh-CN"/>
        </w:rPr>
        <w:t>司法部门</w:t>
      </w:r>
      <w:r>
        <w:rPr>
          <w:rFonts w:hint="default" w:ascii="Times New Roman" w:hAnsi="Times New Roman" w:eastAsia="仿宋_GB2312" w:cs="Times New Roman"/>
          <w:sz w:val="32"/>
          <w:szCs w:val="32"/>
          <w:lang w:val="en-US" w:eastAsia="zh-CN"/>
        </w:rPr>
        <w:t>协调沟通，组织协调分局法律顾问与业务科室，共同办理行政复议答复</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行政诉讼</w:t>
      </w:r>
      <w:r>
        <w:rPr>
          <w:rFonts w:hint="eastAsia" w:eastAsia="仿宋_GB2312" w:cs="Times New Roman"/>
          <w:sz w:val="32"/>
          <w:szCs w:val="32"/>
          <w:lang w:val="en-US" w:eastAsia="zh-CN"/>
        </w:rPr>
        <w:t>案件</w:t>
      </w:r>
      <w:r>
        <w:rPr>
          <w:rFonts w:hint="default" w:ascii="Times New Roman" w:hAnsi="Times New Roman" w:eastAsia="仿宋_GB2312" w:cs="Times New Roman"/>
          <w:sz w:val="32"/>
          <w:szCs w:val="32"/>
          <w:lang w:val="en-US" w:eastAsia="zh-CN"/>
        </w:rPr>
        <w:t>；组织好</w:t>
      </w:r>
      <w:r>
        <w:rPr>
          <w:rFonts w:hint="eastAsia" w:eastAsia="仿宋_GB2312" w:cs="Times New Roman"/>
          <w:sz w:val="32"/>
          <w:szCs w:val="32"/>
          <w:lang w:val="en-US" w:eastAsia="zh-CN"/>
        </w:rPr>
        <w:t>单位负责人</w:t>
      </w:r>
      <w:r>
        <w:rPr>
          <w:rFonts w:hint="default" w:ascii="Times New Roman" w:hAnsi="Times New Roman" w:eastAsia="仿宋_GB2312" w:cs="Times New Roman"/>
          <w:sz w:val="32"/>
          <w:szCs w:val="32"/>
          <w:lang w:val="en-US" w:eastAsia="zh-CN"/>
        </w:rPr>
        <w:t>参与应诉工作，不断提高分局工作人员的</w:t>
      </w:r>
      <w:r>
        <w:rPr>
          <w:rFonts w:hint="eastAsia" w:eastAsia="仿宋_GB2312" w:cs="Times New Roman"/>
          <w:sz w:val="32"/>
          <w:szCs w:val="32"/>
          <w:lang w:val="en-US" w:eastAsia="zh-CN"/>
        </w:rPr>
        <w:t>法治意识和应诉</w:t>
      </w:r>
      <w:r>
        <w:rPr>
          <w:rFonts w:hint="default" w:ascii="Times New Roman" w:hAnsi="Times New Roman" w:eastAsia="仿宋_GB2312" w:cs="Times New Roman"/>
          <w:sz w:val="32"/>
          <w:szCs w:val="32"/>
          <w:lang w:val="en-US" w:eastAsia="zh-CN"/>
        </w:rPr>
        <w:t>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lang w:val="en-US" w:eastAsia="zh-CN"/>
        </w:rPr>
      </w:pPr>
      <w:r>
        <w:rPr>
          <w:rFonts w:hint="default" w:ascii="Times New Roman" w:hAnsi="Times New Roman" w:eastAsia="仿宋_GB2312" w:cs="Times New Roman"/>
          <w:sz w:val="32"/>
          <w:szCs w:val="32"/>
          <w:lang w:val="en-US" w:eastAsia="zh-CN"/>
        </w:rPr>
        <w:t>认真做好分局败诉案件的分析，组织全局各部门对典型案件、败诉案件进行学习</w:t>
      </w:r>
      <w:r>
        <w:rPr>
          <w:rFonts w:hint="eastAsia" w:eastAsia="仿宋_GB2312" w:cs="Times New Roman"/>
          <w:sz w:val="32"/>
          <w:szCs w:val="32"/>
          <w:lang w:val="en-US" w:eastAsia="zh-CN"/>
        </w:rPr>
        <w:t>研讨</w:t>
      </w:r>
      <w:r>
        <w:rPr>
          <w:rFonts w:hint="default" w:ascii="Times New Roman" w:hAnsi="Times New Roman" w:eastAsia="仿宋_GB2312" w:cs="Times New Roman"/>
          <w:sz w:val="32"/>
          <w:szCs w:val="32"/>
          <w:lang w:val="en-US" w:eastAsia="zh-CN"/>
        </w:rPr>
        <w:t>，吸取经验教训，规范具体行政行为、具体办事程序，对于发现存在办理程序性缺失、行政行为违法违规等问题的瑕疵案件进行整改，提高分局全体人员的依法行政能力，从源头规范，减少败诉案件发生。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160" w:firstLineChars="1300"/>
        <w:jc w:val="left"/>
        <w:textAlignment w:val="auto"/>
        <w:outlineLvl w:val="9"/>
        <w:rPr>
          <w:rFonts w:hint="default" w:ascii="Times New Roman" w:hAnsi="Times New Roman" w:eastAsia="仿宋_GB2312" w:cs="Times New Roman"/>
          <w:sz w:val="32"/>
          <w:szCs w:val="32"/>
          <w:lang w:val="en-US" w:eastAsia="zh-CN"/>
        </w:rPr>
      </w:pPr>
    </w:p>
    <w:sectPr>
      <w:pgSz w:w="11906" w:h="16838"/>
      <w:pgMar w:top="1383" w:right="1474" w:bottom="132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16422"/>
    <w:multiLevelType w:val="singleLevel"/>
    <w:tmpl w:val="5F916422"/>
    <w:lvl w:ilvl="0" w:tentative="0">
      <w:start w:val="1"/>
      <w:numFmt w:val="chineseCounting"/>
      <w:suff w:val="nothing"/>
      <w:lvlText w:val="（%1）"/>
      <w:lvlJc w:val="left"/>
    </w:lvl>
  </w:abstractNum>
  <w:abstractNum w:abstractNumId="1">
    <w:nsid w:val="5FC0C172"/>
    <w:multiLevelType w:val="singleLevel"/>
    <w:tmpl w:val="5FC0C172"/>
    <w:lvl w:ilvl="0" w:tentative="0">
      <w:start w:val="2"/>
      <w:numFmt w:val="chineseCounting"/>
      <w:suff w:val="nothing"/>
      <w:lvlText w:val="%1、"/>
      <w:lvlJc w:val="left"/>
    </w:lvl>
  </w:abstractNum>
  <w:abstractNum w:abstractNumId="2">
    <w:nsid w:val="67593677"/>
    <w:multiLevelType w:val="singleLevel"/>
    <w:tmpl w:val="67593677"/>
    <w:lvl w:ilvl="0" w:tentative="0">
      <w:start w:val="1"/>
      <w:numFmt w:val="decimal"/>
      <w:suff w:val="nothing"/>
      <w:lvlText w:val="%1."/>
      <w:lvlJc w:val="left"/>
    </w:lvl>
  </w:abstractNum>
  <w:abstractNum w:abstractNumId="3">
    <w:nsid w:val="675B9318"/>
    <w:multiLevelType w:val="singleLevel"/>
    <w:tmpl w:val="675B9318"/>
    <w:lvl w:ilvl="0" w:tentative="0">
      <w:start w:val="1"/>
      <w:numFmt w:val="chineseCounting"/>
      <w:suff w:val="nothing"/>
      <w:lvlText w:val="（%1）"/>
      <w:lvlJc w:val="left"/>
    </w:lvl>
  </w:abstractNum>
  <w:abstractNum w:abstractNumId="4">
    <w:nsid w:val="675BA65C"/>
    <w:multiLevelType w:val="singleLevel"/>
    <w:tmpl w:val="675BA65C"/>
    <w:lvl w:ilvl="0" w:tentative="0">
      <w:start w:val="1"/>
      <w:numFmt w:val="chineseCounting"/>
      <w:suff w:val="nothing"/>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00B63"/>
    <w:rsid w:val="08C91834"/>
    <w:rsid w:val="0BFE21B9"/>
    <w:rsid w:val="0ED311A6"/>
    <w:rsid w:val="0F80769D"/>
    <w:rsid w:val="10C8466D"/>
    <w:rsid w:val="118F4745"/>
    <w:rsid w:val="15116F29"/>
    <w:rsid w:val="155B6201"/>
    <w:rsid w:val="1C1B4321"/>
    <w:rsid w:val="1E92714C"/>
    <w:rsid w:val="1FA61855"/>
    <w:rsid w:val="1FF010E6"/>
    <w:rsid w:val="21B32619"/>
    <w:rsid w:val="24833677"/>
    <w:rsid w:val="291D1352"/>
    <w:rsid w:val="2BAB4BFC"/>
    <w:rsid w:val="31B87909"/>
    <w:rsid w:val="36052924"/>
    <w:rsid w:val="3BDD31A4"/>
    <w:rsid w:val="3C3A1AF4"/>
    <w:rsid w:val="3FAE5E34"/>
    <w:rsid w:val="42984C46"/>
    <w:rsid w:val="456235A8"/>
    <w:rsid w:val="48205AEC"/>
    <w:rsid w:val="49E7334A"/>
    <w:rsid w:val="4A2009DF"/>
    <w:rsid w:val="54E37E75"/>
    <w:rsid w:val="566B5680"/>
    <w:rsid w:val="57F1315E"/>
    <w:rsid w:val="583E4317"/>
    <w:rsid w:val="58D00C02"/>
    <w:rsid w:val="5CD03D96"/>
    <w:rsid w:val="5F334A56"/>
    <w:rsid w:val="60601EF0"/>
    <w:rsid w:val="63C826BC"/>
    <w:rsid w:val="68242189"/>
    <w:rsid w:val="6908044D"/>
    <w:rsid w:val="6C1B24B0"/>
    <w:rsid w:val="6EE860C9"/>
    <w:rsid w:val="6FB63CDB"/>
    <w:rsid w:val="75250F69"/>
    <w:rsid w:val="75B83ECA"/>
    <w:rsid w:val="78703791"/>
    <w:rsid w:val="787A2CAE"/>
    <w:rsid w:val="7D1C4CFF"/>
    <w:rsid w:val="7F90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公文"/>
    <w:basedOn w:val="1"/>
    <w:qFormat/>
    <w:uiPriority w:val="0"/>
    <w:pPr>
      <w:ind w:firstLine="200" w:firstLineChars="200"/>
    </w:pPr>
    <w:rPr>
      <w:rFonts w:eastAsia="仿宋_GB2312" w:cs="Times New Roman"/>
      <w:sz w:val="32"/>
      <w:szCs w:val="22"/>
    </w:rPr>
  </w:style>
  <w:style w:type="paragraph" w:styleId="3">
    <w:name w:val="Body Text Indent"/>
    <w:basedOn w:val="1"/>
    <w:next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qFormat/>
    <w:uiPriority w:val="0"/>
    <w:pPr>
      <w:spacing w:before="156" w:after="156"/>
      <w:ind w:left="0" w:leftChars="0" w:firstLine="420"/>
    </w:pPr>
    <w:rPr>
      <w:color w:val="000000"/>
      <w:szCs w:val="20"/>
    </w:rPr>
  </w:style>
  <w:style w:type="character" w:styleId="9">
    <w:name w:val="Strong"/>
    <w:basedOn w:val="8"/>
    <w:qFormat/>
    <w:uiPriority w:val="0"/>
    <w:rPr>
      <w:b/>
    </w:rPr>
  </w:style>
  <w:style w:type="character" w:styleId="10">
    <w:name w:val="page number"/>
    <w:basedOn w:val="8"/>
    <w:uiPriority w:val="0"/>
  </w:style>
  <w:style w:type="character" w:customStyle="1" w:styleId="11">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3747</Words>
  <Characters>3783</Characters>
  <Lines>0</Lines>
  <Paragraphs>0</Paragraphs>
  <TotalTime>2</TotalTime>
  <ScaleCrop>false</ScaleCrop>
  <LinksUpToDate>false</LinksUpToDate>
  <CharactersWithSpaces>3784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lenovo.lenovo-PC</dc:creator>
  <cp:lastModifiedBy>lenovo</cp:lastModifiedBy>
  <dcterms:modified xsi:type="dcterms:W3CDTF">2025-03-12T07:55:54Z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F689361F270840D6A76AC4BBB0DC67CF_13</vt:lpwstr>
  </property>
</Properties>
</file>