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国家税务总局北京市东城区税务局</w:t>
      </w:r>
    </w:p>
    <w:p>
      <w:pPr>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4</w:t>
      </w:r>
      <w:r>
        <w:rPr>
          <w:rFonts w:hint="default" w:ascii="Times New Roman" w:hAnsi="Times New Roman" w:eastAsia="方正小标宋简体" w:cs="Times New Roman"/>
          <w:color w:val="auto"/>
          <w:sz w:val="44"/>
          <w:szCs w:val="44"/>
        </w:rPr>
        <w:t>年法治政府建设年度情况报告</w:t>
      </w:r>
    </w:p>
    <w:p>
      <w:pPr>
        <w:spacing w:line="560" w:lineRule="exact"/>
        <w:ind w:firstLine="640" w:firstLineChars="200"/>
        <w:rPr>
          <w:rFonts w:hint="default" w:ascii="Times New Roman" w:hAnsi="Times New Roman" w:eastAsia="仿宋_GB2312" w:cs="Times New Roman"/>
          <w:color w:val="auto"/>
          <w:sz w:val="32"/>
          <w:szCs w:val="32"/>
          <w:highlight w:val="none"/>
        </w:rPr>
      </w:pP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法治政府建设实施纲要（2021－2025年）》工作要求，根据《法治政府建设与责任落实督察工作规定》相关要求，国家税务总局北京市东城区税务局（以下简称“我局”）依法行政工作领导小组统筹协调，积极对照法治税务建设标准开展创建活动，严格贯彻纲要措施、落实规划要求。现将我局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年度法治政府建设情况报告如下：</w:t>
      </w:r>
    </w:p>
    <w:p>
      <w:pPr>
        <w:numPr>
          <w:ilvl w:val="0"/>
          <w:numId w:val="0"/>
        </w:numPr>
        <w:spacing w:line="56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lang w:val="en-US" w:eastAsia="zh-CN"/>
        </w:rPr>
        <w:t>2</w:t>
      </w:r>
      <w:r>
        <w:rPr>
          <w:rFonts w:hint="default" w:ascii="Times New Roman" w:hAnsi="Times New Roman" w:eastAsia="黑体" w:cs="Times New Roman"/>
          <w:color w:val="auto"/>
          <w:sz w:val="32"/>
          <w:szCs w:val="32"/>
          <w:highlight w:val="none"/>
        </w:rPr>
        <w:t>02</w:t>
      </w:r>
      <w:r>
        <w:rPr>
          <w:rFonts w:hint="default" w:ascii="Times New Roman" w:hAnsi="Times New Roman" w:eastAsia="黑体" w:cs="Times New Roman"/>
          <w:color w:val="auto"/>
          <w:sz w:val="32"/>
          <w:szCs w:val="32"/>
          <w:highlight w:val="none"/>
          <w:lang w:val="en-US" w:eastAsia="zh-CN"/>
        </w:rPr>
        <w:t>4</w:t>
      </w:r>
      <w:r>
        <w:rPr>
          <w:rFonts w:hint="default" w:ascii="Times New Roman" w:hAnsi="Times New Roman" w:eastAsia="黑体" w:cs="Times New Roman"/>
          <w:color w:val="auto"/>
          <w:sz w:val="32"/>
          <w:szCs w:val="32"/>
          <w:highlight w:val="none"/>
        </w:rPr>
        <w:t>年推进法治政府建设的主要举措和成效</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局全面开展法治税务建设，不断加强依法治税推进工作的计划性和可执行性，将依法治税工作与税收工作同部署、同落实、同促进。坚持依法决策、规范执行、严密监督、共同推进，坚持法治化、规范化、信息化一体建设，最大限度规范税务人，最大限度便利纳税人，促进税法遵从。</w:t>
      </w:r>
    </w:p>
    <w:p>
      <w:pPr>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（一）深入学习贯彻习近平法治思想，奋力开创新时代全面依法治税新局面</w:t>
      </w:r>
    </w:p>
    <w:p>
      <w:pPr>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习近平法治思想确定了全面推进依法治国的总蓝图、路线图、施工图，阐明了全面依法治国的关键和根本问题，提出了法治中国建设的新命题、新思想、新论断，为马克思主义法治思想宝库增添了新篇章。依法治税是依法治国的重要组成部分，税务部门必须全面贯彻习近平法治思想，不断开创依法治税工作新局面。我局通过多种形式对习近平总书记关于全面依法治国的重要论述、全面依法治国的重要部署、宪法及中国特色社会主义法律体系以及与税收工作有关的法律法规和党内法规等重点内容开展宣传和学习。</w:t>
      </w:r>
      <w:r>
        <w:rPr>
          <w:rFonts w:hint="default" w:ascii="Times New Roman" w:hAnsi="Times New Roman" w:eastAsia="仿宋_GB2312" w:cs="Times New Roman"/>
          <w:color w:val="auto"/>
          <w:sz w:val="32"/>
          <w:szCs w:val="32"/>
          <w:highlight w:val="none"/>
          <w:lang w:val="en-US" w:eastAsia="zh-CN"/>
        </w:rPr>
        <w:t>依托我局“3+2+2”工作机制，</w:t>
      </w:r>
      <w:r>
        <w:rPr>
          <w:rFonts w:hint="default" w:ascii="Times New Roman" w:hAnsi="Times New Roman" w:eastAsia="仿宋_GB2312" w:cs="Times New Roman"/>
          <w:color w:val="auto"/>
          <w:sz w:val="32"/>
          <w:szCs w:val="32"/>
          <w:highlight w:val="none"/>
        </w:rPr>
        <w:t>“聚焦一条工作主线”、突出“六个着力强化”</w:t>
      </w:r>
      <w:r>
        <w:rPr>
          <w:rFonts w:hint="default" w:ascii="Times New Roman" w:hAnsi="Times New Roman" w:eastAsia="仿宋_GB2312" w:cs="Times New Roman"/>
          <w:color w:val="auto"/>
          <w:sz w:val="32"/>
          <w:szCs w:val="32"/>
          <w:highlight w:val="none"/>
          <w:lang w:val="en-US" w:eastAsia="zh-CN"/>
        </w:rPr>
        <w:t>，持续推进“三个打造”提质深化。通过内外协调、部门协同，齐心共力、合作发力，做好我局规范执法工作和税费优惠政策落实工作;主动作为，以内外部发现问题和基层难题整改为主线，夯实基础工作，提升精确执法工作质效；通过内控管理、监督检查和一体化综合监督相结合，把各项重点工作抓实抓深。</w:t>
      </w:r>
    </w:p>
    <w:p>
      <w:pPr>
        <w:pStyle w:val="5"/>
        <w:numPr>
          <w:ilvl w:val="0"/>
          <w:numId w:val="1"/>
        </w:numPr>
        <w:snapToGrid w:val="0"/>
        <w:spacing w:line="560" w:lineRule="exact"/>
        <w:ind w:left="-10" w:leftChars="0" w:firstLine="640" w:firstLineChars="0"/>
        <w:jc w:val="left"/>
        <w:rPr>
          <w:rFonts w:hint="default" w:ascii="Times New Roman" w:hAnsi="Times New Roman" w:eastAsia="楷体" w:cs="Times New Roman"/>
          <w:color w:val="auto"/>
          <w:sz w:val="32"/>
          <w:szCs w:val="32"/>
          <w:highlight w:val="none"/>
        </w:rPr>
      </w:pPr>
      <w:r>
        <w:rPr>
          <w:rFonts w:hint="default" w:ascii="Times New Roman" w:hAnsi="Times New Roman" w:eastAsia="楷体_GB2312" w:cs="Times New Roman"/>
          <w:color w:val="auto"/>
          <w:sz w:val="32"/>
          <w:szCs w:val="32"/>
          <w:highlight w:val="none"/>
        </w:rPr>
        <w:t>健全政府机构职能体系，依法全面履行税收工作职能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依法依规组织税费收入。面对退税减税政策实施，紧密依托东城区财源专班，加强税源摸底，强化税收分析预测，依法依规、科学合理组织收入。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坚决贯彻落实退税减税政策。将落实税费支持政策作为一项重大政治任务扛牢抓实，在宣传辅导、优化流程、风险防控等方面做好基层落实，体现东城特色。</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0"/>
          <w:kern w:val="2"/>
          <w:sz w:val="32"/>
          <w:szCs w:val="32"/>
          <w:highlight w:val="none"/>
          <w:lang w:val="en-US" w:eastAsia="zh-CN" w:bidi="ar-SA"/>
        </w:rPr>
        <w:t>3.坚持问题导向，通过联席会议制度解决执法难题。</w:t>
      </w:r>
      <w:r>
        <w:rPr>
          <w:rFonts w:hint="default" w:ascii="Times New Roman" w:hAnsi="Times New Roman" w:eastAsia="仿宋_GB2312" w:cs="Times New Roman"/>
          <w:color w:val="auto"/>
          <w:sz w:val="32"/>
          <w:szCs w:val="32"/>
          <w:lang w:val="en-US" w:eastAsia="zh-CN"/>
        </w:rPr>
        <w:t>在规范执法工作过程中，通过筹划前一公里、打通后一公里，不仅有效解决了广大纳税人遇到的问题，让其体验到了我局高效便民的工作措施，营造了良好的营商环境，还从探索执法机制方面通过集体议事、多方研判的方式解决基层执法难题，打造出了实而又实的工作效果。我局共组织召开五次规范执法联席会议，</w:t>
      </w:r>
      <w:r>
        <w:rPr>
          <w:rFonts w:hint="default" w:ascii="Times New Roman" w:hAnsi="Times New Roman" w:eastAsia="仿宋_GB2312" w:cs="Times New Roman"/>
          <w:color w:val="auto"/>
          <w:spacing w:val="0"/>
          <w:kern w:val="2"/>
          <w:sz w:val="32"/>
          <w:szCs w:val="32"/>
          <w:highlight w:val="none"/>
          <w:lang w:val="en-US" w:eastAsia="zh-CN" w:bidi="ar-SA"/>
        </w:rPr>
        <w:t>通过《规范执法需求清单》</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pacing w:val="0"/>
          <w:kern w:val="2"/>
          <w:sz w:val="32"/>
          <w:szCs w:val="32"/>
          <w:highlight w:val="none"/>
          <w:lang w:val="en-US" w:eastAsia="zh-CN" w:bidi="ar-SA"/>
        </w:rPr>
        <w:t>全局各部门日常税收执法过程中</w:t>
      </w:r>
      <w:r>
        <w:rPr>
          <w:rFonts w:hint="default" w:ascii="Times New Roman" w:hAnsi="Times New Roman" w:eastAsia="仿宋_GB2312" w:cs="Times New Roman"/>
          <w:color w:val="auto"/>
          <w:sz w:val="32"/>
          <w:szCs w:val="32"/>
          <w:lang w:val="en-US" w:eastAsia="zh-CN"/>
        </w:rPr>
        <w:t>执法需求问题进行研究讨论，此种问题争议解决形式得到了基层单位的欢迎和支持。</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textAlignment w:val="auto"/>
        <w:rPr>
          <w:rFonts w:hint="default" w:ascii="Times New Roman" w:hAnsi="Times New Roman" w:eastAsia="仿宋_GB2312" w:cs="Times New Roman"/>
          <w:color w:val="auto"/>
          <w:sz w:val="32"/>
          <w:szCs w:val="24"/>
          <w:lang w:val="en-US" w:eastAsia="zh-CN"/>
        </w:rPr>
      </w:pPr>
      <w:r>
        <w:rPr>
          <w:rFonts w:hint="default" w:ascii="Times New Roman" w:hAnsi="Times New Roman" w:eastAsia="楷体" w:cs="Times New Roman"/>
          <w:color w:val="auto"/>
          <w:kern w:val="2"/>
          <w:sz w:val="32"/>
          <w:szCs w:val="32"/>
          <w:highlight w:val="none"/>
          <w:lang w:val="en-US" w:eastAsia="zh-CN" w:bidi="ar-SA"/>
        </w:rPr>
        <w:t>（三）</w:t>
      </w:r>
      <w:r>
        <w:rPr>
          <w:rFonts w:hint="default" w:ascii="Times New Roman" w:hAnsi="Times New Roman" w:eastAsia="楷体_GB2312" w:cs="Times New Roman"/>
          <w:color w:val="auto"/>
          <w:kern w:val="2"/>
          <w:sz w:val="32"/>
          <w:szCs w:val="32"/>
          <w:highlight w:val="none"/>
          <w:lang w:val="en-US" w:eastAsia="zh-CN" w:bidi="ar-SA"/>
        </w:rPr>
        <w:t>服务区域经济，</w:t>
      </w:r>
      <w:r>
        <w:rPr>
          <w:rFonts w:hint="default" w:ascii="Times New Roman" w:hAnsi="Times New Roman" w:eastAsia="楷体_GB2312" w:cs="Times New Roman"/>
          <w:color w:val="auto"/>
          <w:kern w:val="2"/>
          <w:sz w:val="32"/>
          <w:szCs w:val="32"/>
          <w:highlight w:val="none"/>
          <w:lang w:val="zh-CN" w:eastAsia="zh-CN" w:bidi="ar-SA"/>
        </w:rPr>
        <w:t>突出重点，打造一流税收营商环境</w:t>
      </w:r>
      <w:r>
        <w:rPr>
          <w:rFonts w:hint="default" w:ascii="Times New Roman" w:hAnsi="Times New Roman" w:eastAsia="楷体_GB2312" w:cs="Times New Roman"/>
          <w:color w:val="auto"/>
          <w:kern w:val="0"/>
          <w:sz w:val="32"/>
          <w:szCs w:val="32"/>
          <w:lang w:val="en-US" w:eastAsia="zh-CN"/>
        </w:rPr>
        <w:t>持续优化税收营商环境。</w:t>
      </w:r>
      <w:r>
        <w:rPr>
          <w:rFonts w:hint="default" w:ascii="Times New Roman" w:hAnsi="Times New Roman" w:eastAsia="仿宋_GB2312" w:cs="Times New Roman"/>
          <w:color w:val="auto"/>
          <w:sz w:val="32"/>
          <w:szCs w:val="32"/>
          <w:lang w:val="en-US" w:eastAsia="zh-CN"/>
        </w:rPr>
        <w:t>积极构建与首都核心区高度适配的税费服务体系。今年发布的北京市区级营商环境评价中，“纳税”指标我局排名全市第二，在城六区排名第一。打造东城特色“枫桥式”智能集成办税服务中心，</w:t>
      </w:r>
      <w:r>
        <w:rPr>
          <w:rFonts w:hint="default" w:ascii="Times New Roman" w:hAnsi="Times New Roman" w:eastAsia="仿宋_GB2312" w:cs="Times New Roman"/>
          <w:color w:val="auto"/>
          <w:sz w:val="32"/>
          <w:szCs w:val="24"/>
          <w:lang w:val="zh-CN"/>
        </w:rPr>
        <w:t>荣获全国税务系</w:t>
      </w:r>
      <w:r>
        <w:rPr>
          <w:rFonts w:hint="default" w:ascii="Times New Roman" w:hAnsi="Times New Roman" w:eastAsia="仿宋_GB2312" w:cs="Times New Roman"/>
          <w:color w:val="auto"/>
          <w:sz w:val="32"/>
          <w:szCs w:val="24"/>
          <w:lang w:val="zh-CN" w:eastAsia="zh-CN"/>
        </w:rPr>
        <w:t>统新时代“枫桥式”税务所建设优秀单位。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sz w:val="32"/>
          <w:szCs w:val="32"/>
          <w:lang w:val="en-US" w:eastAsia="zh-CN"/>
        </w:rPr>
      </w:pPr>
      <w:r>
        <w:rPr>
          <w:rFonts w:hint="default" w:ascii="Times New Roman" w:hAnsi="Times New Roman" w:eastAsia="楷体_GB2312" w:cs="Times New Roman"/>
          <w:color w:val="auto"/>
          <w:sz w:val="32"/>
          <w:szCs w:val="32"/>
          <w:highlight w:val="none"/>
          <w:lang w:eastAsia="zh-CN"/>
        </w:rPr>
        <w:t>（四）</w:t>
      </w:r>
      <w:r>
        <w:rPr>
          <w:rFonts w:hint="default" w:ascii="Times New Roman" w:hAnsi="Times New Roman" w:eastAsia="楷体_GB2312" w:cs="Times New Roman"/>
          <w:color w:val="auto"/>
          <w:sz w:val="32"/>
          <w:szCs w:val="32"/>
          <w:highlight w:val="none"/>
        </w:rPr>
        <w:t>主动探索创新，不断丰富深化征管改革东城经验</w:t>
      </w:r>
      <w:r>
        <w:rPr>
          <w:rFonts w:hint="default" w:ascii="Times New Roman" w:hAnsi="Times New Roman" w:eastAsia="楷体_GB2312" w:cs="Times New Roman"/>
          <w:color w:val="auto"/>
          <w:kern w:val="0"/>
          <w:sz w:val="32"/>
          <w:szCs w:val="32"/>
          <w:lang w:val="en-US" w:eastAsia="zh-CN"/>
        </w:rPr>
        <w:t>全面深化</w:t>
      </w:r>
      <w:r>
        <w:rPr>
          <w:rFonts w:hint="default" w:ascii="Times New Roman" w:hAnsi="Times New Roman" w:eastAsia="楷体_GB2312" w:cs="Times New Roman"/>
          <w:color w:val="auto"/>
          <w:kern w:val="2"/>
          <w:sz w:val="32"/>
          <w:szCs w:val="32"/>
          <w:lang w:val="en-US" w:eastAsia="zh-CN" w:bidi="ar-SA"/>
        </w:rPr>
        <w:t>税收征管改革。</w:t>
      </w:r>
      <w:r>
        <w:rPr>
          <w:rFonts w:hint="default" w:ascii="Times New Roman" w:hAnsi="Times New Roman" w:eastAsia="仿宋_GB2312" w:cs="Times New Roman"/>
          <w:snapToGrid w:val="0"/>
          <w:color w:val="auto"/>
          <w:spacing w:val="0"/>
          <w:sz w:val="32"/>
          <w:szCs w:val="32"/>
          <w:lang w:val="en-US" w:eastAsia="zh-CN"/>
        </w:rPr>
        <w:t>自数电票全面上线以来，我局通过“预先服、随票服、网格服”组合式服务机制，以精准的“网格化”服务，让纳税人对数电票的认知度和操作熟练度不断加深。数电票领票流程更简化、开票用票更便捷、入账归档一体化，也极大提高了纳税人对税务机关工作认可度和满意度。</w:t>
      </w:r>
      <w:r>
        <w:rPr>
          <w:rFonts w:hint="default" w:ascii="Times New Roman" w:hAnsi="Times New Roman" w:eastAsia="仿宋_GB2312" w:cs="Times New Roman"/>
          <w:b w:val="0"/>
          <w:bCs w:val="0"/>
          <w:sz w:val="32"/>
          <w:szCs w:val="32"/>
          <w:highlight w:val="none"/>
          <w:lang w:val="en-US" w:eastAsia="zh-CN"/>
        </w:rPr>
        <w:t>2024年3月以来，我局作为北京市新电子税局推广上线试点单位，先后开展系统冒烟测试、功能验证、岗责配置、双轨试点等一系列工作，验证系统可用性和稳定性。7月征期，全局各单位齐心协力、同向而行，在办税服务厅业务受理、征纳互动咨询应答、12366咨询等环节均平稳有序，圆满完成试点任务。</w:t>
      </w:r>
      <w:r>
        <w:rPr>
          <w:rFonts w:hint="default"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b w:val="0"/>
          <w:bCs w:val="0"/>
          <w:sz w:val="32"/>
          <w:szCs w:val="32"/>
          <w:highlight w:val="none"/>
          <w:lang w:val="en-US" w:eastAsia="zh-CN"/>
        </w:rPr>
        <w:t>业务功能更智能。新电子税局部分业务功能智能化程度更高，进一步降低办税门槛，以申报为例，提供确认式、补录式、和填表式三种差异化申报模式，满足不同纳税人需求。</w:t>
      </w:r>
      <w:r>
        <w:rPr>
          <w:rFonts w:hint="default"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b w:val="0"/>
          <w:bCs w:val="0"/>
          <w:sz w:val="32"/>
          <w:szCs w:val="32"/>
          <w:highlight w:val="none"/>
          <w:lang w:val="en-US" w:eastAsia="zh-CN"/>
        </w:rPr>
        <w:t>征纳互动更便捷。添加“征纳互动”接口，为纳税人提供“问办一体”新体验，遇到问题可以即时在线寻求帮助。目前我局共受理“问办一体”业务131户次，日均人工受理咨询量380个，征纳互动接通率保持100%，全市排名第一。</w:t>
      </w:r>
      <w:r>
        <w:rPr>
          <w:rFonts w:hint="default" w:ascii="Times New Roman" w:hAnsi="Times New Roman" w:eastAsia="仿宋_GB2312" w:cs="Times New Roman"/>
          <w:b/>
          <w:bCs/>
          <w:sz w:val="32"/>
          <w:szCs w:val="32"/>
          <w:highlight w:val="none"/>
          <w:lang w:val="en-US" w:eastAsia="zh-CN"/>
        </w:rPr>
        <w:t>三是</w:t>
      </w:r>
      <w:r>
        <w:rPr>
          <w:rFonts w:hint="default" w:ascii="Times New Roman" w:hAnsi="Times New Roman" w:eastAsia="仿宋_GB2312" w:cs="Times New Roman"/>
          <w:b w:val="0"/>
          <w:bCs w:val="0"/>
          <w:sz w:val="32"/>
          <w:szCs w:val="32"/>
          <w:highlight w:val="none"/>
          <w:lang w:val="en-US" w:eastAsia="zh-CN"/>
        </w:rPr>
        <w:t>办税服务厅压力进一步降低。新电子税局及APP上线，实现更多业务网上办理，以自然人代开业务为例，大大降低办税服务厅压力，释放更多征管资源。</w:t>
      </w:r>
    </w:p>
    <w:p>
      <w:pPr>
        <w:keepNext w:val="0"/>
        <w:keepLines w:val="0"/>
        <w:pageBreakBefore w:val="0"/>
        <w:widowControl w:val="0"/>
        <w:numPr>
          <w:ilvl w:val="0"/>
          <w:numId w:val="0"/>
        </w:numPr>
        <w:pBdr>
          <w:top w:val="none" w:color="000000" w:sz="0" w:space="1"/>
          <w:left w:val="none" w:color="000000" w:sz="0" w:space="0"/>
          <w:bottom w:val="none" w:color="000000" w:sz="0" w:space="11"/>
          <w:right w:val="none" w:color="000000" w:sz="0" w:space="10"/>
        </w:pBdr>
        <w:kinsoku/>
        <w:wordWrap/>
        <w:overflowPunct w:val="0"/>
        <w:topLinePunct w:val="0"/>
        <w:autoSpaceDE/>
        <w:autoSpaceDN/>
        <w:bidi w:val="0"/>
        <w:adjustRightInd w:val="0"/>
        <w:snapToGrid w:val="0"/>
        <w:spacing w:line="560" w:lineRule="exact"/>
        <w:ind w:firstLine="640" w:firstLineChars="200"/>
        <w:jc w:val="left"/>
        <w:textAlignment w:val="baseline"/>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持续推进税务人端智慧办公平台（慧办平台）上线工作，该平台将作为智慧税务建设重要组成部分，为智慧政府建设贡献税务力量。</w:t>
      </w:r>
      <w:r>
        <w:rPr>
          <w:rFonts w:hint="default" w:ascii="Times New Roman" w:hAnsi="Times New Roman" w:eastAsia="仿宋_GB2312" w:cs="Times New Roman"/>
          <w:color w:val="auto"/>
          <w:sz w:val="32"/>
          <w:szCs w:val="32"/>
          <w:lang w:val="en-US" w:eastAsia="zh-CN"/>
        </w:rPr>
        <w:t>系统上线以来，我局紧跟市局慧办平台运营升级工作方案，推动我局高效办税、智慧治税建设再上台阶，通过慧办平台共处理各类业务数万件。</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（五）完善监督体系，推动监督执纪有力高效</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1.加强对税务人员“八小时之外”开展监督，采取完善干部自媒体账号报备、个人数字人事档案信息采集、干部重要联系人沟通机制等措施，提升干部队伍治理能力。</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2.创新“云端教育”形式，在重要时间节点运用多媒体方式制作廉政提醒小贴士，以各种方式组织全局各部门开展廉政教育和案例警示教育。</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3.打造廉政宣传教育线上线下双基地。线下“清风驿站”和线上“清风东税”栏目，进一步畅通监督举报渠道，丰富我局廉政文化宣传手段。</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六</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弘扬宪法精神，建设社会主义法治文化</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仿宋_GB2312" w:cs="Times New Roman"/>
          <w:b w:val="0"/>
          <w:bCs w:val="0"/>
          <w:i w:val="0"/>
          <w:iCs w:val="0"/>
          <w:caps w:val="0"/>
          <w:color w:val="auto"/>
          <w:spacing w:val="4"/>
          <w:sz w:val="32"/>
          <w:szCs w:val="32"/>
          <w:shd w:val="clear" w:fill="FFFFFF"/>
          <w:lang w:val="en-US" w:eastAsia="zh-CN"/>
        </w:rPr>
      </w:pPr>
      <w:r>
        <w:rPr>
          <w:rFonts w:hint="default" w:ascii="Times New Roman" w:hAnsi="Times New Roman" w:eastAsia="楷体_GB2312" w:cs="Times New Roman"/>
          <w:color w:val="auto"/>
          <w:sz w:val="32"/>
          <w:szCs w:val="32"/>
          <w:lang w:val="en-US" w:eastAsia="zh-CN"/>
        </w:rPr>
        <w:t>1.</w:t>
      </w:r>
      <w:r>
        <w:rPr>
          <w:rFonts w:hint="default" w:ascii="Times New Roman" w:hAnsi="Times New Roman" w:eastAsia="仿宋_GB2312" w:cs="Times New Roman"/>
          <w:b w:val="0"/>
          <w:bCs w:val="0"/>
          <w:i w:val="0"/>
          <w:iCs w:val="0"/>
          <w:caps w:val="0"/>
          <w:color w:val="auto"/>
          <w:spacing w:val="4"/>
          <w:sz w:val="32"/>
          <w:szCs w:val="32"/>
          <w:shd w:val="clear" w:fill="FFFFFF"/>
          <w:lang w:val="en-US" w:eastAsia="zh-CN"/>
        </w:rPr>
        <w:t>税务新青年 税收“宪”在时——国家税务总局北京市东城区税务局开展宪法宣誓仪式</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56" w:firstLineChars="200"/>
        <w:rPr>
          <w:rFonts w:hint="default" w:ascii="Times New Roman" w:hAnsi="Times New Roman" w:eastAsia="仿宋_GB2312" w:cs="Times New Roman"/>
          <w:i w:val="0"/>
          <w:iCs w:val="0"/>
          <w:caps w:val="0"/>
          <w:color w:val="auto"/>
          <w:spacing w:val="4"/>
          <w:sz w:val="32"/>
          <w:szCs w:val="32"/>
          <w:shd w:val="clear" w:fill="FFFFFF"/>
          <w:lang w:val="en-US" w:eastAsia="zh-CN"/>
        </w:rPr>
      </w:pPr>
      <w:r>
        <w:rPr>
          <w:rFonts w:hint="default" w:ascii="Times New Roman" w:hAnsi="Times New Roman" w:eastAsia="仿宋_GB2312" w:cs="Times New Roman"/>
          <w:b w:val="0"/>
          <w:bCs w:val="0"/>
          <w:i w:val="0"/>
          <w:iCs w:val="0"/>
          <w:caps w:val="0"/>
          <w:color w:val="auto"/>
          <w:spacing w:val="4"/>
          <w:sz w:val="32"/>
          <w:szCs w:val="32"/>
          <w:shd w:val="clear" w:fill="FFFFFF"/>
          <w:lang w:val="en-US" w:eastAsia="zh-CN"/>
        </w:rPr>
        <w:t>1</w:t>
      </w:r>
      <w:r>
        <w:rPr>
          <w:rFonts w:hint="default" w:ascii="Times New Roman" w:hAnsi="Times New Roman" w:eastAsia="仿宋_GB2312" w:cs="Times New Roman"/>
          <w:i w:val="0"/>
          <w:iCs w:val="0"/>
          <w:caps w:val="0"/>
          <w:color w:val="auto"/>
          <w:spacing w:val="4"/>
          <w:sz w:val="32"/>
          <w:szCs w:val="32"/>
          <w:shd w:val="clear" w:fill="FFFFFF"/>
          <w:lang w:val="en-US" w:eastAsia="zh-CN"/>
        </w:rPr>
        <w:t>2月2日，东城区税务局以“税务新青年 税收‘宪’在时”为主题，组织新入职公务员前往北京税务博物馆参观学习，并举行了一场庄重而神圣的宪法宣誓仪式。在宣誓仪式上，青年干部面对国旗，右手握拳，庄严宣誓，承诺将忠于宪法和法律，依法行政，廉洁奉公。在博物馆内，新入职公务员通过深入了解税务历史展览，对税收制度的演变和依法治税的重要性有了更深刻的认识。随后的普法讲座上，专家以案释法，更是为新入职公务员上了生动一课。参与活动的年轻干部表示，将牢记国旗下的庄严宣誓，系好依法治税的</w:t>
      </w:r>
      <w:r>
        <w:rPr>
          <w:rFonts w:hint="eastAsia" w:ascii="Times New Roman" w:hAnsi="Times New Roman" w:eastAsia="仿宋_GB2312" w:cs="Times New Roman"/>
          <w:i w:val="0"/>
          <w:iCs w:val="0"/>
          <w:caps w:val="0"/>
          <w:color w:val="auto"/>
          <w:spacing w:val="4"/>
          <w:sz w:val="32"/>
          <w:szCs w:val="32"/>
          <w:highlight w:val="none"/>
          <w:shd w:val="clear" w:fill="FFFFFF"/>
          <w:lang w:val="en-US" w:eastAsia="zh-CN"/>
        </w:rPr>
        <w:t>第一粒扣子</w:t>
      </w:r>
      <w:r>
        <w:rPr>
          <w:rFonts w:hint="default" w:ascii="Times New Roman" w:hAnsi="Times New Roman" w:eastAsia="仿宋_GB2312" w:cs="Times New Roman"/>
          <w:i w:val="0"/>
          <w:iCs w:val="0"/>
          <w:caps w:val="0"/>
          <w:color w:val="auto"/>
          <w:spacing w:val="4"/>
          <w:sz w:val="32"/>
          <w:szCs w:val="32"/>
          <w:highlight w:val="none"/>
          <w:shd w:val="clear" w:fill="FFFFFF"/>
          <w:lang w:val="en-US" w:eastAsia="zh-CN"/>
        </w:rPr>
        <w:t>，</w:t>
      </w:r>
      <w:r>
        <w:rPr>
          <w:rFonts w:hint="default" w:ascii="Times New Roman" w:hAnsi="Times New Roman" w:eastAsia="仿宋_GB2312" w:cs="Times New Roman"/>
          <w:i w:val="0"/>
          <w:iCs w:val="0"/>
          <w:caps w:val="0"/>
          <w:color w:val="auto"/>
          <w:spacing w:val="4"/>
          <w:sz w:val="32"/>
          <w:szCs w:val="32"/>
          <w:shd w:val="clear" w:fill="FFFFFF"/>
          <w:lang w:val="en-US" w:eastAsia="zh-CN"/>
        </w:rPr>
        <w:t>为职业生涯奠定坚实的法治基石。</w:t>
      </w:r>
    </w:p>
    <w:p>
      <w:pPr>
        <w:numPr>
          <w:ilvl w:val="0"/>
          <w:numId w:val="0"/>
        </w:num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仿宋_GB2312" w:cs="Times New Roman"/>
          <w:b w:val="0"/>
          <w:bCs w:val="0"/>
          <w:i w:val="0"/>
          <w:iCs w:val="0"/>
          <w:caps w:val="0"/>
          <w:color w:val="auto"/>
          <w:spacing w:val="4"/>
          <w:sz w:val="32"/>
          <w:szCs w:val="32"/>
          <w:shd w:val="clear" w:fill="FFFFFF"/>
          <w:lang w:val="en-US" w:eastAsia="zh-CN"/>
        </w:rPr>
      </w:pPr>
      <w:r>
        <w:rPr>
          <w:rFonts w:hint="default" w:ascii="Times New Roman" w:hAnsi="Times New Roman" w:eastAsia="楷体_GB2312" w:cs="Times New Roman"/>
          <w:color w:val="auto"/>
          <w:sz w:val="32"/>
          <w:szCs w:val="32"/>
          <w:lang w:val="en-US" w:eastAsia="zh-CN"/>
        </w:rPr>
        <w:t>2.</w:t>
      </w:r>
      <w:r>
        <w:rPr>
          <w:rFonts w:hint="default" w:ascii="Times New Roman" w:hAnsi="Times New Roman" w:eastAsia="仿宋_GB2312" w:cs="Times New Roman"/>
          <w:b w:val="0"/>
          <w:bCs w:val="0"/>
          <w:i w:val="0"/>
          <w:iCs w:val="0"/>
          <w:caps w:val="0"/>
          <w:color w:val="auto"/>
          <w:spacing w:val="4"/>
          <w:sz w:val="32"/>
          <w:szCs w:val="32"/>
          <w:shd w:val="clear" w:fill="FFFFFF"/>
          <w:lang w:val="en-US" w:eastAsia="zh-CN"/>
        </w:rPr>
        <w:t>“法”润民心 “宪”在行动——国家税务总局北京市东城区税务局开展普法“进社区”活动</w:t>
      </w:r>
    </w:p>
    <w:p>
      <w:pPr>
        <w:numPr>
          <w:ilvl w:val="0"/>
          <w:numId w:val="0"/>
        </w:numPr>
        <w:pBdr>
          <w:top w:val="none" w:color="000000" w:sz="0" w:space="1"/>
          <w:left w:val="none" w:color="000000" w:sz="0" w:space="0"/>
          <w:bottom w:val="none" w:color="000000" w:sz="0" w:space="11"/>
          <w:right w:val="none" w:color="000000" w:sz="0" w:space="10"/>
        </w:pBdr>
        <w:adjustRightInd w:val="0"/>
        <w:snapToGrid w:val="0"/>
        <w:spacing w:line="560" w:lineRule="exact"/>
        <w:ind w:firstLine="656" w:firstLineChars="200"/>
        <w:rPr>
          <w:rFonts w:hint="default" w:ascii="Times New Roman" w:hAnsi="Times New Roman" w:eastAsia="仿宋_GB2312" w:cs="Times New Roman"/>
          <w:i w:val="0"/>
          <w:iCs w:val="0"/>
          <w:caps w:val="0"/>
          <w:color w:val="auto"/>
          <w:spacing w:val="4"/>
          <w:sz w:val="32"/>
          <w:szCs w:val="32"/>
          <w:shd w:val="clear" w:fill="FFFFFF"/>
          <w:lang w:val="en-US" w:eastAsia="zh-CN"/>
        </w:rPr>
      </w:pPr>
      <w:r>
        <w:rPr>
          <w:rFonts w:hint="default" w:ascii="Times New Roman" w:hAnsi="Times New Roman" w:eastAsia="仿宋_GB2312" w:cs="Times New Roman"/>
          <w:i w:val="0"/>
          <w:iCs w:val="0"/>
          <w:caps w:val="0"/>
          <w:color w:val="auto"/>
          <w:spacing w:val="4"/>
          <w:sz w:val="32"/>
          <w:szCs w:val="32"/>
          <w:shd w:val="clear" w:fill="FFFFFF"/>
          <w:lang w:val="en-US" w:eastAsia="zh-CN"/>
        </w:rPr>
        <w:t>12月4日是第十一个国家宪法日。当日，东城区税务局联合朝阳门街道“四合一家”矛盾调解中心项目，组织公职律师团队在史家胡同博物馆</w:t>
      </w:r>
      <w:r>
        <w:rPr>
          <w:rFonts w:hint="default" w:ascii="Times New Roman" w:hAnsi="Times New Roman" w:eastAsia="仿宋_GB2312" w:cs="Times New Roman"/>
          <w:color w:val="auto"/>
          <w:sz w:val="32"/>
          <w:szCs w:val="32"/>
          <w:lang w:val="en-US" w:eastAsia="zh-CN"/>
        </w:rPr>
        <w:t>开展公职律师“进社区”普法宣讲活动。通过设立法治宣传咨询台、悬挂宪法宣传海报、发放税收普法手册等形式，税务干部们将“宪法”和“税法”紧密结合起来，用通俗易懂的语言面对面地向来往群众宣传普及法律知识。活动围绕与社区居民生活密切相关的热点问题，将法律法规融入一问一答中，公职律师们耐心细致解答群众“急难愁盼”，让在场的居民听得懂、悟的透、收获多，</w:t>
      </w:r>
      <w:r>
        <w:rPr>
          <w:rFonts w:hint="default" w:ascii="Times New Roman" w:hAnsi="Times New Roman" w:eastAsia="仿宋_GB2312" w:cs="Times New Roman"/>
          <w:i w:val="0"/>
          <w:iCs w:val="0"/>
          <w:caps w:val="0"/>
          <w:color w:val="auto"/>
          <w:spacing w:val="4"/>
          <w:sz w:val="32"/>
          <w:szCs w:val="32"/>
          <w:shd w:val="clear" w:fill="FFFFFF"/>
          <w:lang w:val="en-US" w:eastAsia="zh-CN"/>
        </w:rPr>
        <w:t>进一步激发全社会尊法学法守法用法的热情，为营造风清气正、和谐稳定的法治环境贡献税务力量。</w:t>
      </w:r>
    </w:p>
    <w:p>
      <w:pPr>
        <w:numPr>
          <w:ilvl w:val="0"/>
          <w:numId w:val="0"/>
        </w:num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仿宋_GB2312" w:cs="Times New Roman"/>
          <w:i w:val="0"/>
          <w:iCs w:val="0"/>
          <w:caps w:val="0"/>
          <w:color w:val="auto"/>
          <w:spacing w:val="4"/>
          <w:sz w:val="32"/>
          <w:szCs w:val="32"/>
          <w:shd w:val="clear" w:fill="FFFFFF"/>
          <w:lang w:val="en-US" w:eastAsia="zh-CN"/>
        </w:rPr>
      </w:pPr>
      <w:r>
        <w:rPr>
          <w:rFonts w:hint="default" w:ascii="Times New Roman" w:hAnsi="Times New Roman" w:eastAsia="楷体_GB2312" w:cs="Times New Roman"/>
          <w:color w:val="auto"/>
          <w:sz w:val="32"/>
          <w:szCs w:val="32"/>
          <w:lang w:val="en-US" w:eastAsia="zh-CN"/>
        </w:rPr>
        <w:t>3.</w:t>
      </w:r>
      <w:r>
        <w:rPr>
          <w:rFonts w:hint="default" w:ascii="Times New Roman" w:hAnsi="Times New Roman" w:eastAsia="仿宋_GB2312" w:cs="Times New Roman"/>
          <w:i w:val="0"/>
          <w:iCs w:val="0"/>
          <w:caps w:val="0"/>
          <w:color w:val="auto"/>
          <w:spacing w:val="4"/>
          <w:sz w:val="32"/>
          <w:szCs w:val="32"/>
          <w:shd w:val="clear" w:fill="FFFFFF"/>
          <w:lang w:val="en-US" w:eastAsia="zh-CN"/>
        </w:rPr>
        <w:t>看文艺展演，宪法精神入脑入心</w:t>
      </w:r>
    </w:p>
    <w:p>
      <w:pPr>
        <w:numPr>
          <w:ilvl w:val="0"/>
          <w:numId w:val="0"/>
        </w:numPr>
        <w:pBdr>
          <w:top w:val="none" w:color="000000" w:sz="0" w:space="1"/>
          <w:left w:val="none" w:color="000000" w:sz="0" w:space="0"/>
          <w:bottom w:val="none" w:color="000000" w:sz="0" w:space="11"/>
          <w:right w:val="none" w:color="000000" w:sz="0" w:space="10"/>
        </w:pBdr>
        <w:adjustRightInd w:val="0"/>
        <w:snapToGrid w:val="0"/>
        <w:spacing w:line="560" w:lineRule="exact"/>
        <w:ind w:firstLine="656" w:firstLineChars="200"/>
        <w:rPr>
          <w:rFonts w:hint="default" w:ascii="Times New Roman" w:hAnsi="Times New Roman" w:eastAsia="仿宋_GB2312" w:cs="Times New Roman"/>
          <w:i w:val="0"/>
          <w:iCs w:val="0"/>
          <w:caps w:val="0"/>
          <w:color w:val="auto"/>
          <w:spacing w:val="4"/>
          <w:sz w:val="32"/>
          <w:szCs w:val="32"/>
          <w:shd w:val="clear" w:fill="FFFFFF"/>
          <w:lang w:val="en-US" w:eastAsia="zh-CN"/>
        </w:rPr>
      </w:pPr>
      <w:r>
        <w:rPr>
          <w:rFonts w:hint="default" w:ascii="Times New Roman" w:hAnsi="Times New Roman" w:eastAsia="仿宋_GB2312" w:cs="Times New Roman"/>
          <w:i w:val="0"/>
          <w:iCs w:val="0"/>
          <w:caps w:val="0"/>
          <w:color w:val="auto"/>
          <w:spacing w:val="4"/>
          <w:sz w:val="32"/>
          <w:szCs w:val="32"/>
          <w:shd w:val="clear" w:fill="FFFFFF"/>
          <w:lang w:val="en-US" w:eastAsia="zh-CN"/>
        </w:rPr>
        <w:t>12月3日，根据东城区委部署，我局组织干部观看了区司法局等三部门联合主办的2024年东城区宪法宣传周“我（们）的法治故事”宣讲暨法治文艺展演。同时通过主办方在崇文少年宫的活动展台，向现场群众宣传我局微信公众号及税收知识，并与活动现场的其他单位进行了工作经验交流。精彩的法治故事宣讲和文艺展演给人耳目一新的观赏体验，也让我局干部在宣传税法、交流经验的同时接受了一次别开生面的法治教育。</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二、202</w:t>
      </w:r>
      <w:r>
        <w:rPr>
          <w:rFonts w:hint="default" w:ascii="Times New Roman" w:hAnsi="Times New Roman" w:eastAsia="黑体" w:cs="Times New Roman"/>
          <w:color w:val="auto"/>
          <w:kern w:val="0"/>
          <w:sz w:val="32"/>
          <w:szCs w:val="32"/>
          <w:highlight w:val="none"/>
          <w:lang w:val="en-US" w:eastAsia="zh-CN"/>
        </w:rPr>
        <w:t>4</w:t>
      </w:r>
      <w:r>
        <w:rPr>
          <w:rFonts w:hint="default" w:ascii="Times New Roman" w:hAnsi="Times New Roman" w:eastAsia="黑体" w:cs="Times New Roman"/>
          <w:color w:val="auto"/>
          <w:kern w:val="0"/>
          <w:sz w:val="32"/>
          <w:szCs w:val="32"/>
          <w:highlight w:val="none"/>
        </w:rPr>
        <w:t>年推进法治政府建设存在的不足和原因</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（一）</w:t>
      </w:r>
      <w:r>
        <w:rPr>
          <w:rFonts w:hint="default" w:ascii="Times New Roman" w:hAnsi="Times New Roman" w:eastAsia="楷体_GB2312" w:cs="Times New Roman"/>
          <w:color w:val="auto"/>
          <w:sz w:val="32"/>
          <w:szCs w:val="32"/>
          <w:highlight w:val="none"/>
        </w:rPr>
        <w:t>法</w:t>
      </w:r>
      <w:r>
        <w:rPr>
          <w:rFonts w:hint="eastAsia" w:ascii="Times New Roman" w:hAnsi="Times New Roman" w:eastAsia="楷体_GB2312" w:cs="Times New Roman"/>
          <w:color w:val="auto"/>
          <w:sz w:val="32"/>
          <w:szCs w:val="32"/>
          <w:highlight w:val="none"/>
          <w:lang w:eastAsia="zh-CN"/>
        </w:rPr>
        <w:t>治</w:t>
      </w:r>
      <w:r>
        <w:rPr>
          <w:rFonts w:hint="default" w:ascii="Times New Roman" w:hAnsi="Times New Roman" w:eastAsia="楷体_GB2312" w:cs="Times New Roman"/>
          <w:color w:val="auto"/>
          <w:sz w:val="32"/>
          <w:szCs w:val="32"/>
          <w:highlight w:val="none"/>
        </w:rPr>
        <w:t>队伍建设有待进一步加强。</w:t>
      </w:r>
      <w:r>
        <w:rPr>
          <w:rFonts w:hint="eastAsia" w:ascii="Times New Roman" w:hAnsi="Times New Roman" w:eastAsia="仿宋_GB2312" w:cs="Times New Roman"/>
          <w:color w:val="auto"/>
          <w:sz w:val="32"/>
          <w:szCs w:val="32"/>
          <w:highlight w:val="none"/>
          <w:lang w:eastAsia="zh-CN"/>
        </w:rPr>
        <w:t>法治</w:t>
      </w:r>
      <w:r>
        <w:rPr>
          <w:rFonts w:hint="default" w:ascii="Times New Roman" w:hAnsi="Times New Roman" w:eastAsia="仿宋_GB2312" w:cs="Times New Roman"/>
          <w:color w:val="auto"/>
          <w:sz w:val="32"/>
          <w:szCs w:val="32"/>
          <w:highlight w:val="none"/>
        </w:rPr>
        <w:t>科公职律师配备数量少，</w:t>
      </w:r>
      <w:r>
        <w:rPr>
          <w:rFonts w:hint="default" w:ascii="Times New Roman" w:hAnsi="Times New Roman" w:eastAsia="仿宋_GB2312" w:cs="Times New Roman"/>
          <w:color w:val="auto"/>
          <w:sz w:val="32"/>
          <w:szCs w:val="32"/>
          <w:lang w:val="en-US" w:eastAsia="zh-CN"/>
        </w:rPr>
        <w:t>目前法</w:t>
      </w:r>
      <w:r>
        <w:rPr>
          <w:rFonts w:hint="eastAsia" w:ascii="Times New Roman" w:hAnsi="Times New Roman" w:eastAsia="仿宋_GB2312" w:cs="Times New Roman"/>
          <w:color w:val="auto"/>
          <w:sz w:val="32"/>
          <w:szCs w:val="32"/>
          <w:lang w:val="en-US" w:eastAsia="zh-CN"/>
        </w:rPr>
        <w:t>治</w:t>
      </w:r>
      <w:r>
        <w:rPr>
          <w:rFonts w:hint="default" w:ascii="Times New Roman" w:hAnsi="Times New Roman" w:eastAsia="仿宋_GB2312" w:cs="Times New Roman"/>
          <w:color w:val="auto"/>
          <w:sz w:val="32"/>
          <w:szCs w:val="32"/>
          <w:lang w:val="en-US" w:eastAsia="zh-CN"/>
        </w:rPr>
        <w:t>科仅有两名公职律师，但今年以来，案件数量大幅上升，已经捉襟见肘，应付不暇。</w:t>
      </w:r>
      <w:r>
        <w:rPr>
          <w:rFonts w:hint="default" w:ascii="Times New Roman" w:hAnsi="Times New Roman" w:eastAsia="仿宋_GB2312" w:cs="Times New Roman"/>
          <w:color w:val="auto"/>
          <w:sz w:val="32"/>
          <w:szCs w:val="32"/>
          <w:highlight w:val="none"/>
        </w:rPr>
        <w:t>需独立承担行政复议和行政</w:t>
      </w:r>
      <w:r>
        <w:rPr>
          <w:rFonts w:hint="default" w:ascii="Times New Roman" w:hAnsi="Times New Roman" w:eastAsia="仿宋_GB2312" w:cs="Times New Roman"/>
          <w:color w:val="auto"/>
          <w:sz w:val="32"/>
          <w:szCs w:val="32"/>
          <w:highlight w:val="none"/>
          <w:lang w:eastAsia="zh-CN"/>
        </w:rPr>
        <w:t>诉讼</w:t>
      </w:r>
      <w:r>
        <w:rPr>
          <w:rFonts w:hint="default" w:ascii="Times New Roman" w:hAnsi="Times New Roman" w:eastAsia="仿宋_GB2312" w:cs="Times New Roman"/>
          <w:color w:val="auto"/>
          <w:sz w:val="32"/>
          <w:szCs w:val="32"/>
          <w:highlight w:val="none"/>
        </w:rPr>
        <w:t>事项</w:t>
      </w:r>
      <w:r>
        <w:rPr>
          <w:rFonts w:hint="default" w:ascii="Times New Roman" w:hAnsi="Times New Roman" w:eastAsia="仿宋_GB2312" w:cs="Times New Roman"/>
          <w:color w:val="auto"/>
          <w:sz w:val="32"/>
          <w:szCs w:val="32"/>
          <w:highlight w:val="none"/>
          <w:lang w:eastAsia="zh-CN"/>
        </w:rPr>
        <w:t>，压力较大</w:t>
      </w:r>
      <w:r>
        <w:rPr>
          <w:rFonts w:hint="default" w:ascii="Times New Roman" w:hAnsi="Times New Roman" w:eastAsia="仿宋_GB2312" w:cs="Times New Roman"/>
          <w:color w:val="auto"/>
          <w:sz w:val="32"/>
          <w:szCs w:val="32"/>
          <w:highlight w:val="none"/>
        </w:rPr>
        <w:t>；同时外部法律顾问对内部法律事务的参与受限，其作用往往在于事后解决问题，对法律风险的事前防范作用有待进一步发挥。</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rPr>
        <w:t>全面税收法治观念有待进一步加强。</w:t>
      </w:r>
      <w:r>
        <w:rPr>
          <w:rFonts w:hint="default" w:ascii="Times New Roman" w:hAnsi="Times New Roman" w:eastAsia="仿宋_GB2312" w:cs="Times New Roman"/>
          <w:color w:val="auto"/>
          <w:sz w:val="32"/>
          <w:szCs w:val="32"/>
          <w:highlight w:val="none"/>
        </w:rPr>
        <w:t>部分纳税人依法诚信纳税意识还不够强，税法遵从度不高，社会协税护税的氛围还不够浓厚，同时近期各项法律法规、政策规定等更新较快，新的媒体媒介不断涌现，部分纳税人对此的适应能力和接受程度参差不</w:t>
      </w:r>
      <w:r>
        <w:rPr>
          <w:rFonts w:hint="default" w:ascii="Times New Roman" w:hAnsi="Times New Roman" w:eastAsia="仿宋_GB2312" w:cs="Times New Roman"/>
          <w:color w:val="auto"/>
          <w:sz w:val="32"/>
          <w:szCs w:val="32"/>
          <w:highlight w:val="none"/>
          <w:lang w:eastAsia="zh-CN"/>
        </w:rPr>
        <w:t>齐</w:t>
      </w:r>
      <w:r>
        <w:rPr>
          <w:rFonts w:hint="default" w:ascii="Times New Roman" w:hAnsi="Times New Roman" w:eastAsia="仿宋_GB2312" w:cs="Times New Roman"/>
          <w:color w:val="auto"/>
          <w:sz w:val="32"/>
          <w:szCs w:val="32"/>
          <w:highlight w:val="none"/>
        </w:rPr>
        <w:t>，税收法治宣传教育任重而道远。</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三、202</w:t>
      </w:r>
      <w:r>
        <w:rPr>
          <w:rFonts w:hint="default" w:ascii="Times New Roman" w:hAnsi="Times New Roman" w:eastAsia="黑体" w:cs="Times New Roman"/>
          <w:color w:val="auto"/>
          <w:kern w:val="0"/>
          <w:sz w:val="32"/>
          <w:szCs w:val="32"/>
          <w:highlight w:val="none"/>
          <w:lang w:val="en-US" w:eastAsia="zh-CN"/>
        </w:rPr>
        <w:t>4</w:t>
      </w:r>
      <w:r>
        <w:rPr>
          <w:rFonts w:hint="default" w:ascii="Times New Roman" w:hAnsi="Times New Roman" w:eastAsia="黑体" w:cs="Times New Roman"/>
          <w:color w:val="auto"/>
          <w:kern w:val="0"/>
          <w:sz w:val="32"/>
          <w:szCs w:val="32"/>
          <w:highlight w:val="none"/>
        </w:rPr>
        <w:t>年党政主要负责人履行推进法治建设第一责任人职责，加强法治政府建设的有关情况</w:t>
      </w:r>
    </w:p>
    <w:p>
      <w:pPr>
        <w:numPr>
          <w:ilvl w:val="0"/>
          <w:numId w:val="2"/>
        </w:num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我局党政主要负责人认真履行推进法治建设第一责任人职责，高度重视法治政府建设</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积极参加</w:t>
      </w:r>
      <w:r>
        <w:rPr>
          <w:rFonts w:hint="default" w:ascii="Times New Roman" w:hAnsi="Times New Roman" w:eastAsia="仿宋_GB2312" w:cs="Times New Roman"/>
          <w:color w:val="auto"/>
          <w:sz w:val="32"/>
          <w:szCs w:val="32"/>
          <w:highlight w:val="none"/>
          <w:lang w:eastAsia="zh-CN"/>
        </w:rPr>
        <w:t>会前学法，对新修订的</w:t>
      </w:r>
      <w:bookmarkStart w:id="0" w:name="_GoBack"/>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中华人民共和国行政复议法</w:t>
      </w:r>
      <w:r>
        <w:rPr>
          <w:rFonts w:hint="default" w:ascii="Times New Roman" w:hAnsi="Times New Roman" w:eastAsia="仿宋_GB2312" w:cs="Times New Roman"/>
          <w:color w:val="auto"/>
          <w:sz w:val="32"/>
          <w:szCs w:val="32"/>
          <w:highlight w:val="none"/>
          <w:lang w:eastAsia="zh-CN"/>
        </w:rPr>
        <w:t>》和《税务行政复议规则》进行学习，带领全局干部进一步增</w:t>
      </w:r>
      <w:bookmarkEnd w:id="0"/>
      <w:r>
        <w:rPr>
          <w:rFonts w:hint="default" w:ascii="Times New Roman" w:hAnsi="Times New Roman" w:eastAsia="仿宋_GB2312" w:cs="Times New Roman"/>
          <w:color w:val="auto"/>
          <w:sz w:val="32"/>
          <w:szCs w:val="32"/>
          <w:highlight w:val="none"/>
        </w:rPr>
        <w:t>强</w:t>
      </w:r>
      <w:r>
        <w:rPr>
          <w:rFonts w:hint="default" w:ascii="Times New Roman" w:hAnsi="Times New Roman" w:eastAsia="仿宋_GB2312" w:cs="Times New Roman"/>
          <w:color w:val="auto"/>
          <w:sz w:val="32"/>
          <w:szCs w:val="32"/>
          <w:highlight w:val="none"/>
          <w:lang w:eastAsia="zh-CN"/>
        </w:rPr>
        <w:t>了</w:t>
      </w:r>
      <w:r>
        <w:rPr>
          <w:rFonts w:hint="default" w:ascii="Times New Roman" w:hAnsi="Times New Roman" w:eastAsia="仿宋_GB2312" w:cs="Times New Roman"/>
          <w:color w:val="auto"/>
          <w:sz w:val="32"/>
          <w:szCs w:val="32"/>
          <w:highlight w:val="none"/>
        </w:rPr>
        <w:t>国家意识、公民意识、法治意识，提升履职尽责、依法行政的能力和水平，为推动全局各项工作再上新台阶增添助力。</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rPr>
        <w:t>）加强党对</w:t>
      </w:r>
      <w:r>
        <w:rPr>
          <w:rFonts w:hint="default" w:ascii="Times New Roman" w:hAnsi="Times New Roman" w:eastAsia="楷体_GB2312" w:cs="Times New Roman"/>
          <w:color w:val="auto"/>
          <w:sz w:val="32"/>
          <w:szCs w:val="32"/>
          <w:highlight w:val="none"/>
          <w:lang w:eastAsia="zh-CN"/>
        </w:rPr>
        <w:t>税费优惠政策落实</w:t>
      </w:r>
      <w:r>
        <w:rPr>
          <w:rFonts w:hint="default" w:ascii="Times New Roman" w:hAnsi="Times New Roman" w:eastAsia="楷体_GB2312" w:cs="Times New Roman"/>
          <w:color w:val="auto"/>
          <w:sz w:val="32"/>
          <w:szCs w:val="32"/>
          <w:highlight w:val="none"/>
        </w:rPr>
        <w:t>工作的领导。</w:t>
      </w:r>
      <w:r>
        <w:rPr>
          <w:rFonts w:hint="default" w:ascii="Times New Roman" w:hAnsi="Times New Roman" w:eastAsia="仿宋_GB2312" w:cs="Times New Roman"/>
          <w:color w:val="auto"/>
          <w:sz w:val="32"/>
          <w:szCs w:val="32"/>
          <w:highlight w:val="none"/>
        </w:rPr>
        <w:t>今年落实税费优惠政策也是我局法治政府建设的一项重要工作。我局突出党建引领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坚持一个引领，扛牢责任担当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党政主要负责人高度重视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第一时间召开专题会议，研究制定我局工作方案，明确责任、细化分工，党委书记、局长杨玉杰同志任组长，不断提升纳税辅导精准度、办税缴费便利度和税收执法规范性，确保政策红利直达快享</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确保高质量落实税费优惠政策。</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三</w:t>
      </w:r>
      <w:r>
        <w:rPr>
          <w:rFonts w:hint="default" w:ascii="Times New Roman" w:hAnsi="Times New Roman" w:eastAsia="楷体_GB2312" w:cs="Times New Roman"/>
          <w:color w:val="auto"/>
          <w:sz w:val="32"/>
          <w:szCs w:val="32"/>
          <w:highlight w:val="none"/>
        </w:rPr>
        <w:t>）加强党对依法治税工作的领导。</w:t>
      </w:r>
      <w:r>
        <w:rPr>
          <w:rFonts w:hint="default" w:ascii="Times New Roman" w:hAnsi="Times New Roman" w:eastAsia="仿宋_GB2312" w:cs="Times New Roman"/>
          <w:color w:val="auto"/>
          <w:sz w:val="32"/>
          <w:szCs w:val="32"/>
          <w:highlight w:val="none"/>
        </w:rPr>
        <w:t>我局在市局和东城区委、区政府的领导下，落实好法治政府建设的各项任务，主动向上级报告法治政府建设中的重大问题，及时消除制约法治政府建设的体制机制障碍。为提升基层党组织组织力，严格党员教育管理监督，提高依法治税能力。</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2"/>
          <w:sz w:val="32"/>
          <w:szCs w:val="32"/>
          <w:highlight w:val="none"/>
          <w:lang w:val="en-US" w:eastAsia="zh-CN" w:bidi="ar-SA"/>
        </w:rPr>
        <w:t>（四）树立重视法治素养和法治能力的用人导向。</w:t>
      </w:r>
      <w:r>
        <w:rPr>
          <w:rFonts w:hint="default" w:ascii="Times New Roman" w:hAnsi="Times New Roman" w:eastAsia="仿宋_GB2312" w:cs="Times New Roman"/>
          <w:color w:val="auto"/>
          <w:sz w:val="32"/>
          <w:szCs w:val="32"/>
          <w:highlight w:val="none"/>
        </w:rPr>
        <w:t>严格程序，开展职务晋升工作</w:t>
      </w:r>
      <w:r>
        <w:rPr>
          <w:rFonts w:hint="default" w:ascii="Times New Roman" w:hAnsi="Times New Roman" w:eastAsia="仿宋_GB2312" w:cs="Times New Roman"/>
          <w:color w:val="auto"/>
          <w:sz w:val="32"/>
          <w:szCs w:val="32"/>
          <w:highlight w:val="none"/>
          <w:lang w:eastAsia="zh-CN"/>
        </w:rPr>
        <w:t>中，</w:t>
      </w:r>
      <w:r>
        <w:rPr>
          <w:rFonts w:hint="default" w:ascii="Times New Roman" w:hAnsi="Times New Roman" w:eastAsia="仿宋_GB2312" w:cs="Times New Roman"/>
          <w:color w:val="auto"/>
          <w:sz w:val="32"/>
          <w:szCs w:val="32"/>
          <w:highlight w:val="none"/>
        </w:rPr>
        <w:t>坚持原则不动摇，把法治观念强不强、法治素养好不好作为衡量干部德才的重要标准，把能不能遵守法律、依法办事作为考察干部重要内容。在相同条件下，优先提拔使用法治素养好、依法行政能力强的干部。</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四、202</w:t>
      </w:r>
      <w:r>
        <w:rPr>
          <w:rFonts w:hint="default" w:ascii="Times New Roman" w:hAnsi="Times New Roman" w:eastAsia="黑体" w:cs="Times New Roman"/>
          <w:color w:val="auto"/>
          <w:kern w:val="0"/>
          <w:sz w:val="32"/>
          <w:szCs w:val="32"/>
          <w:highlight w:val="none"/>
          <w:lang w:val="en-US" w:eastAsia="zh-CN"/>
        </w:rPr>
        <w:t>5</w:t>
      </w:r>
      <w:r>
        <w:rPr>
          <w:rFonts w:hint="default" w:ascii="Times New Roman" w:hAnsi="Times New Roman" w:eastAsia="黑体" w:cs="Times New Roman"/>
          <w:color w:val="auto"/>
          <w:kern w:val="0"/>
          <w:sz w:val="32"/>
          <w:szCs w:val="32"/>
          <w:highlight w:val="none"/>
        </w:rPr>
        <w:t>年推进法治政府建设的主要安排</w:t>
      </w:r>
    </w:p>
    <w:p>
      <w:pPr>
        <w:numPr>
          <w:ilvl w:val="0"/>
          <w:numId w:val="3"/>
        </w:num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2"/>
          <w:sz w:val="32"/>
          <w:szCs w:val="32"/>
          <w:highlight w:val="none"/>
          <w:lang w:val="en-US" w:eastAsia="zh-CN" w:bidi="ar-SA"/>
        </w:rPr>
        <w:t>继续坚持党对依法治税的领导，落实好法治政府建设的各项工作任务，全面履行税收工作职能。</w:t>
      </w:r>
      <w:r>
        <w:rPr>
          <w:rFonts w:hint="default" w:ascii="Times New Roman" w:hAnsi="Times New Roman" w:eastAsia="仿宋_GB2312" w:cs="Times New Roman"/>
          <w:color w:val="auto"/>
          <w:sz w:val="32"/>
          <w:szCs w:val="32"/>
          <w:highlight w:val="none"/>
        </w:rPr>
        <w:t>持续推进法</w:t>
      </w:r>
      <w:r>
        <w:rPr>
          <w:rFonts w:hint="default" w:ascii="Times New Roman" w:hAnsi="Times New Roman" w:eastAsia="仿宋_GB2312" w:cs="Times New Roman"/>
          <w:color w:val="auto"/>
          <w:sz w:val="32"/>
          <w:szCs w:val="32"/>
          <w:highlight w:val="none"/>
          <w:lang w:eastAsia="zh-CN"/>
        </w:rPr>
        <w:t>治</w:t>
      </w:r>
      <w:r>
        <w:rPr>
          <w:rFonts w:hint="default" w:ascii="Times New Roman" w:hAnsi="Times New Roman" w:eastAsia="仿宋_GB2312" w:cs="Times New Roman"/>
          <w:color w:val="auto"/>
          <w:sz w:val="32"/>
          <w:szCs w:val="32"/>
          <w:highlight w:val="none"/>
        </w:rPr>
        <w:t>建设，不断加强法</w:t>
      </w:r>
      <w:r>
        <w:rPr>
          <w:rFonts w:hint="default" w:ascii="Times New Roman" w:hAnsi="Times New Roman" w:eastAsia="仿宋_GB2312" w:cs="Times New Roman"/>
          <w:color w:val="auto"/>
          <w:sz w:val="32"/>
          <w:szCs w:val="32"/>
          <w:highlight w:val="none"/>
          <w:lang w:eastAsia="zh-CN"/>
        </w:rPr>
        <w:t>治</w:t>
      </w:r>
      <w:r>
        <w:rPr>
          <w:rFonts w:hint="default" w:ascii="Times New Roman" w:hAnsi="Times New Roman" w:eastAsia="仿宋_GB2312" w:cs="Times New Roman"/>
          <w:color w:val="auto"/>
          <w:sz w:val="32"/>
          <w:szCs w:val="32"/>
          <w:highlight w:val="none"/>
        </w:rPr>
        <w:t>思想。重点做到：一是聚焦学思践悟，持续深入推进习近平法治思想的贯彻落实工作。二是聚焦服务大局，充分发挥法治固根本、稳预期、利长远的重要作用。三是聚焦重点任务，真正把法治蓝图转化为法治税务工作建设的生动实践。四是聚焦群众期待，切实增强纳税人和税务干部在法治领域的获得感、幸福感、安全感。</w:t>
      </w:r>
    </w:p>
    <w:p>
      <w:pPr>
        <w:numPr>
          <w:ilvl w:val="0"/>
          <w:numId w:val="3"/>
        </w:num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2"/>
          <w:sz w:val="32"/>
          <w:szCs w:val="32"/>
          <w:lang w:val="en-US" w:eastAsia="zh-CN" w:bidi="ar"/>
        </w:rPr>
        <w:t>强化</w:t>
      </w:r>
      <w:r>
        <w:rPr>
          <w:rFonts w:hint="default" w:ascii="Times New Roman" w:hAnsi="Times New Roman" w:eastAsia="楷体_GB2312" w:cs="Times New Roman"/>
          <w:color w:val="auto"/>
          <w:kern w:val="2"/>
          <w:sz w:val="32"/>
          <w:szCs w:val="32"/>
        </w:rPr>
        <w:t>检查督查机制</w:t>
      </w:r>
      <w:r>
        <w:rPr>
          <w:rFonts w:hint="default" w:ascii="Times New Roman" w:hAnsi="Times New Roman" w:eastAsia="楷体_GB2312" w:cs="Times New Roman"/>
          <w:color w:val="auto"/>
          <w:kern w:val="2"/>
          <w:sz w:val="32"/>
          <w:szCs w:val="32"/>
          <w:lang w:eastAsia="zh-CN"/>
        </w:rPr>
        <w:t>，强化内控建设</w:t>
      </w:r>
      <w:r>
        <w:rPr>
          <w:rFonts w:hint="default" w:ascii="Times New Roman" w:hAnsi="Times New Roman" w:eastAsia="楷体_GB2312" w:cs="Times New Roman"/>
          <w:color w:val="auto"/>
          <w:kern w:val="2"/>
          <w:sz w:val="32"/>
          <w:szCs w:val="32"/>
        </w:rPr>
        <w:t>。</w:t>
      </w:r>
      <w:r>
        <w:rPr>
          <w:rFonts w:hint="default" w:ascii="Times New Roman" w:hAnsi="Times New Roman" w:eastAsia="仿宋_GB2312" w:cs="Times New Roman"/>
          <w:color w:val="auto"/>
          <w:sz w:val="32"/>
          <w:szCs w:val="32"/>
        </w:rPr>
        <w:t>分期分批对局内科所工作进行专项检查监督。比照审计方式，对基层执法文书、政策执行、</w:t>
      </w:r>
      <w:r>
        <w:rPr>
          <w:rFonts w:hint="default" w:ascii="Times New Roman" w:hAnsi="Times New Roman" w:eastAsia="仿宋_GB2312" w:cs="Times New Roman"/>
          <w:color w:val="auto"/>
          <w:sz w:val="32"/>
          <w:szCs w:val="32"/>
          <w:lang w:eastAsia="zh-CN"/>
        </w:rPr>
        <w:t>日常征管、</w:t>
      </w:r>
      <w:r>
        <w:rPr>
          <w:rFonts w:hint="default" w:ascii="Times New Roman" w:hAnsi="Times New Roman" w:eastAsia="仿宋_GB2312" w:cs="Times New Roman"/>
          <w:color w:val="auto"/>
          <w:sz w:val="32"/>
          <w:szCs w:val="32"/>
        </w:rPr>
        <w:t>宣传辅导等项目分批进行检查并通报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科室</w:t>
      </w:r>
      <w:r>
        <w:rPr>
          <w:rFonts w:hint="default" w:ascii="Times New Roman" w:hAnsi="Times New Roman" w:eastAsia="仿宋_GB2312" w:cs="Times New Roman"/>
          <w:color w:val="auto"/>
          <w:sz w:val="32"/>
          <w:szCs w:val="32"/>
          <w:lang w:eastAsia="zh-CN"/>
        </w:rPr>
        <w:t>检查</w:t>
      </w:r>
      <w:r>
        <w:rPr>
          <w:rFonts w:hint="default" w:ascii="Times New Roman" w:hAnsi="Times New Roman" w:eastAsia="仿宋_GB2312" w:cs="Times New Roman"/>
          <w:color w:val="auto"/>
          <w:sz w:val="32"/>
          <w:szCs w:val="32"/>
        </w:rPr>
        <w:t>重点在政策执行和流程管理，管理所</w:t>
      </w:r>
      <w:r>
        <w:rPr>
          <w:rFonts w:hint="default" w:ascii="Times New Roman" w:hAnsi="Times New Roman" w:eastAsia="仿宋_GB2312" w:cs="Times New Roman"/>
          <w:color w:val="auto"/>
          <w:sz w:val="32"/>
          <w:szCs w:val="32"/>
          <w:lang w:eastAsia="zh-CN"/>
        </w:rPr>
        <w:t>检查</w:t>
      </w:r>
      <w:r>
        <w:rPr>
          <w:rFonts w:hint="default" w:ascii="Times New Roman" w:hAnsi="Times New Roman" w:eastAsia="仿宋_GB2312" w:cs="Times New Roman"/>
          <w:color w:val="auto"/>
          <w:sz w:val="32"/>
          <w:szCs w:val="32"/>
        </w:rPr>
        <w:t>重点在基础管理和政策落实。对</w:t>
      </w:r>
      <w:r>
        <w:rPr>
          <w:rFonts w:hint="default" w:ascii="Times New Roman" w:hAnsi="Times New Roman" w:eastAsia="仿宋_GB2312" w:cs="Times New Roman"/>
          <w:color w:val="auto"/>
          <w:sz w:val="32"/>
          <w:szCs w:val="32"/>
          <w:lang w:eastAsia="zh-CN"/>
        </w:rPr>
        <w:t>问题</w:t>
      </w:r>
      <w:r>
        <w:rPr>
          <w:rFonts w:hint="default" w:ascii="Times New Roman" w:hAnsi="Times New Roman" w:eastAsia="仿宋_GB2312" w:cs="Times New Roman"/>
          <w:color w:val="auto"/>
          <w:sz w:val="32"/>
          <w:szCs w:val="32"/>
        </w:rPr>
        <w:t>较多、分歧较多的内容</w:t>
      </w:r>
      <w:r>
        <w:rPr>
          <w:rFonts w:hint="default" w:ascii="Times New Roman" w:hAnsi="Times New Roman" w:eastAsia="仿宋_GB2312" w:cs="Times New Roman"/>
          <w:color w:val="auto"/>
          <w:sz w:val="32"/>
          <w:szCs w:val="32"/>
          <w:lang w:eastAsia="zh-CN"/>
        </w:rPr>
        <w:t>汇总</w:t>
      </w:r>
      <w:r>
        <w:rPr>
          <w:rFonts w:hint="default" w:ascii="Times New Roman" w:hAnsi="Times New Roman" w:eastAsia="仿宋_GB2312" w:cs="Times New Roman"/>
          <w:color w:val="auto"/>
          <w:sz w:val="32"/>
          <w:szCs w:val="32"/>
        </w:rPr>
        <w:t>进行辅导讲解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以达到对各类执法问题“发现—研判—实施—监督—保障”的有效闭环管理。</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pacing w:val="0"/>
          <w:kern w:val="2"/>
          <w:sz w:val="32"/>
          <w:szCs w:val="32"/>
          <w:highlight w:val="none"/>
          <w:lang w:val="en-US" w:eastAsia="zh-CN" w:bidi="ar-SA"/>
        </w:rPr>
        <w:t>（三）继续带动法律人才团队建设，切实发挥团队作用。</w:t>
      </w:r>
      <w:r>
        <w:rPr>
          <w:rFonts w:hint="default" w:ascii="Times New Roman" w:hAnsi="Times New Roman" w:eastAsia="仿宋_GB2312" w:cs="Times New Roman"/>
          <w:color w:val="auto"/>
          <w:sz w:val="32"/>
          <w:szCs w:val="32"/>
          <w:highlight w:val="none"/>
          <w:lang w:val="en-US" w:eastAsia="zh-CN"/>
        </w:rPr>
        <w:t>积极作为，为规范执法充实力量。</w:t>
      </w:r>
      <w:r>
        <w:rPr>
          <w:rFonts w:hint="default" w:ascii="Times New Roman" w:hAnsi="Times New Roman" w:eastAsia="仿宋_GB2312" w:cs="Times New Roman"/>
          <w:color w:val="auto"/>
          <w:sz w:val="32"/>
          <w:szCs w:val="32"/>
          <w:highlight w:val="none"/>
        </w:rPr>
        <w:t>邀请律师等专业人员来我局开设讲座，分享行政涉诉案件的处理角度和方法，全面提高我局税务干部法律素养和能力，修正执法瑕疵，规避执法风险。</w:t>
      </w:r>
    </w:p>
    <w:p>
      <w:pPr>
        <w:pBdr>
          <w:top w:val="none" w:color="000000" w:sz="0" w:space="1"/>
          <w:left w:val="none" w:color="000000" w:sz="0" w:space="0"/>
          <w:bottom w:val="none" w:color="000000" w:sz="0" w:space="11"/>
          <w:right w:val="none" w:color="000000" w:sz="0" w:space="10"/>
        </w:pBd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pacing w:val="0"/>
          <w:kern w:val="2"/>
          <w:sz w:val="32"/>
          <w:szCs w:val="32"/>
          <w:highlight w:val="none"/>
          <w:lang w:val="en-US" w:eastAsia="zh-CN" w:bidi="ar-SA"/>
        </w:rPr>
        <w:t>（四）强化与司法机关的定期沟通交流。</w:t>
      </w:r>
      <w:r>
        <w:rPr>
          <w:rFonts w:hint="default" w:ascii="Times New Roman" w:hAnsi="Times New Roman" w:eastAsia="仿宋_GB2312" w:cs="Times New Roman"/>
          <w:color w:val="auto"/>
          <w:sz w:val="32"/>
          <w:szCs w:val="32"/>
          <w:highlight w:val="none"/>
        </w:rPr>
        <w:t>定期与</w:t>
      </w:r>
      <w:r>
        <w:rPr>
          <w:rFonts w:hint="default" w:ascii="Times New Roman" w:hAnsi="Times New Roman" w:eastAsia="仿宋_GB2312" w:cs="Times New Roman"/>
          <w:color w:val="auto"/>
          <w:sz w:val="32"/>
          <w:szCs w:val="32"/>
          <w:highlight w:val="none"/>
          <w:lang w:eastAsia="zh-CN"/>
        </w:rPr>
        <w:t>司法局、</w:t>
      </w:r>
      <w:r>
        <w:rPr>
          <w:rFonts w:hint="default" w:ascii="Times New Roman" w:hAnsi="Times New Roman" w:eastAsia="仿宋_GB2312" w:cs="Times New Roman"/>
          <w:color w:val="auto"/>
          <w:sz w:val="32"/>
          <w:szCs w:val="32"/>
          <w:highlight w:val="none"/>
        </w:rPr>
        <w:t>人民法院等部门沟通税收执法动态、涉税法律问题及诉讼案件情况等，通过旁听案件、主动听取人民法院加强行政应诉工作和规范行政执法行为的意见建议，逐渐形成行政执法和行政审判的良性互动，减少不必要发生的败诉引发的舆情风险。</w:t>
      </w:r>
    </w:p>
    <w:p>
      <w:pPr>
        <w:pStyle w:val="2"/>
        <w:spacing w:line="560" w:lineRule="exact"/>
        <w:ind w:firstLine="528" w:firstLineChars="200"/>
        <w:rPr>
          <w:rFonts w:hint="default" w:ascii="Times New Roman" w:hAnsi="Times New Roman" w:cs="Times New Roman"/>
          <w:color w:val="auto"/>
          <w:highlight w:val="none"/>
        </w:rPr>
      </w:pPr>
    </w:p>
    <w:p>
      <w:pPr>
        <w:snapToGrid w:val="0"/>
        <w:spacing w:line="560" w:lineRule="exact"/>
        <w:ind w:firstLine="640" w:firstLineChars="200"/>
        <w:jc w:val="center"/>
        <w:rPr>
          <w:rFonts w:hint="default" w:ascii="Times New Roman" w:hAnsi="Times New Roman" w:eastAsia="仿宋_GB2312" w:cs="Times New Roman"/>
          <w:color w:val="auto"/>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039W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yv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A&#10;9N/VtgEAAFQDAAAOAAAAAAAAAAEAIAAAAB8BAABkcnMvZTJvRG9jLnhtbFBLBQYAAAAABgAGAFkB&#10;AABH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EEB26F"/>
    <w:multiLevelType w:val="singleLevel"/>
    <w:tmpl w:val="BBEEB26F"/>
    <w:lvl w:ilvl="0" w:tentative="0">
      <w:start w:val="1"/>
      <w:numFmt w:val="chineseCounting"/>
      <w:suff w:val="nothing"/>
      <w:lvlText w:val="（%1）"/>
      <w:lvlJc w:val="left"/>
      <w:rPr>
        <w:rFonts w:hint="eastAsia"/>
      </w:rPr>
    </w:lvl>
  </w:abstractNum>
  <w:abstractNum w:abstractNumId="1">
    <w:nsid w:val="CDEFA3C3"/>
    <w:multiLevelType w:val="singleLevel"/>
    <w:tmpl w:val="CDEFA3C3"/>
    <w:lvl w:ilvl="0" w:tentative="0">
      <w:start w:val="1"/>
      <w:numFmt w:val="chineseCounting"/>
      <w:suff w:val="nothing"/>
      <w:lvlText w:val="（%1）"/>
      <w:lvlJc w:val="left"/>
      <w:rPr>
        <w:rFonts w:hint="eastAsia" w:ascii="楷体_GB2312" w:hAnsi="楷体_GB2312" w:eastAsia="楷体_GB2312" w:cs="楷体_GB2312"/>
      </w:rPr>
    </w:lvl>
  </w:abstractNum>
  <w:abstractNum w:abstractNumId="2">
    <w:nsid w:val="1693FDA4"/>
    <w:multiLevelType w:val="singleLevel"/>
    <w:tmpl w:val="1693FDA4"/>
    <w:lvl w:ilvl="0" w:tentative="0">
      <w:start w:val="2"/>
      <w:numFmt w:val="chineseCounting"/>
      <w:suff w:val="nothing"/>
      <w:lvlText w:val="（%1）"/>
      <w:lvlJc w:val="left"/>
      <w:pPr>
        <w:ind w:left="-1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D6007"/>
    <w:rsid w:val="00040216"/>
    <w:rsid w:val="0004533C"/>
    <w:rsid w:val="000A7D08"/>
    <w:rsid w:val="000F5160"/>
    <w:rsid w:val="000F6EC8"/>
    <w:rsid w:val="002166C8"/>
    <w:rsid w:val="0035481B"/>
    <w:rsid w:val="003D31F5"/>
    <w:rsid w:val="005A3197"/>
    <w:rsid w:val="005F79EA"/>
    <w:rsid w:val="007C21DD"/>
    <w:rsid w:val="008068BD"/>
    <w:rsid w:val="00835DE5"/>
    <w:rsid w:val="0088387A"/>
    <w:rsid w:val="008A2EFC"/>
    <w:rsid w:val="009303EE"/>
    <w:rsid w:val="00A37660"/>
    <w:rsid w:val="00D23E95"/>
    <w:rsid w:val="00F6258A"/>
    <w:rsid w:val="00F737C9"/>
    <w:rsid w:val="021D53D9"/>
    <w:rsid w:val="03C24291"/>
    <w:rsid w:val="03E33BCC"/>
    <w:rsid w:val="03E43DE1"/>
    <w:rsid w:val="04AC792F"/>
    <w:rsid w:val="05C27103"/>
    <w:rsid w:val="0742121D"/>
    <w:rsid w:val="077778E7"/>
    <w:rsid w:val="0891186F"/>
    <w:rsid w:val="09B970F1"/>
    <w:rsid w:val="0A0B259D"/>
    <w:rsid w:val="0A23470F"/>
    <w:rsid w:val="0BC30125"/>
    <w:rsid w:val="0BDD215E"/>
    <w:rsid w:val="0C3E5F17"/>
    <w:rsid w:val="0C794734"/>
    <w:rsid w:val="0DD00B0A"/>
    <w:rsid w:val="0E492995"/>
    <w:rsid w:val="0F7922A5"/>
    <w:rsid w:val="10A40495"/>
    <w:rsid w:val="123B6D9F"/>
    <w:rsid w:val="135B6E69"/>
    <w:rsid w:val="13A74D33"/>
    <w:rsid w:val="1513309C"/>
    <w:rsid w:val="153B68FB"/>
    <w:rsid w:val="156850F1"/>
    <w:rsid w:val="15901D4E"/>
    <w:rsid w:val="15E219A5"/>
    <w:rsid w:val="16235C95"/>
    <w:rsid w:val="17E76C0A"/>
    <w:rsid w:val="19253D3E"/>
    <w:rsid w:val="19AB65E8"/>
    <w:rsid w:val="19F03895"/>
    <w:rsid w:val="1A8D3C5F"/>
    <w:rsid w:val="1ABC153C"/>
    <w:rsid w:val="1AFB1BBA"/>
    <w:rsid w:val="1C4D7484"/>
    <w:rsid w:val="1C7C1383"/>
    <w:rsid w:val="1C9C002C"/>
    <w:rsid w:val="1CCE5BB3"/>
    <w:rsid w:val="1CFC3719"/>
    <w:rsid w:val="1D0106FF"/>
    <w:rsid w:val="1DD640A1"/>
    <w:rsid w:val="1E1F377B"/>
    <w:rsid w:val="1EC6138F"/>
    <w:rsid w:val="1EE82D40"/>
    <w:rsid w:val="1EEF6587"/>
    <w:rsid w:val="20586D7D"/>
    <w:rsid w:val="22912B30"/>
    <w:rsid w:val="23126BC4"/>
    <w:rsid w:val="231A67A1"/>
    <w:rsid w:val="23FC16DE"/>
    <w:rsid w:val="24046CC0"/>
    <w:rsid w:val="2407335E"/>
    <w:rsid w:val="257C3AAD"/>
    <w:rsid w:val="25815BD5"/>
    <w:rsid w:val="26255502"/>
    <w:rsid w:val="26C16214"/>
    <w:rsid w:val="26D42054"/>
    <w:rsid w:val="27535906"/>
    <w:rsid w:val="27C81D30"/>
    <w:rsid w:val="27F02FB5"/>
    <w:rsid w:val="283818E0"/>
    <w:rsid w:val="29766A14"/>
    <w:rsid w:val="29B80C90"/>
    <w:rsid w:val="2A2962F1"/>
    <w:rsid w:val="2B3B64D2"/>
    <w:rsid w:val="2B8550B5"/>
    <w:rsid w:val="2BEE419D"/>
    <w:rsid w:val="2C914FA0"/>
    <w:rsid w:val="2CEB13DA"/>
    <w:rsid w:val="2E781B17"/>
    <w:rsid w:val="2E9E220B"/>
    <w:rsid w:val="2F272317"/>
    <w:rsid w:val="2F50626C"/>
    <w:rsid w:val="2F7C6A98"/>
    <w:rsid w:val="2F845E58"/>
    <w:rsid w:val="2F9622B6"/>
    <w:rsid w:val="309B5FBF"/>
    <w:rsid w:val="30D64D6A"/>
    <w:rsid w:val="316F3785"/>
    <w:rsid w:val="324A532D"/>
    <w:rsid w:val="32520B38"/>
    <w:rsid w:val="326A2E97"/>
    <w:rsid w:val="32FE298F"/>
    <w:rsid w:val="33773408"/>
    <w:rsid w:val="342E6F54"/>
    <w:rsid w:val="344D3446"/>
    <w:rsid w:val="359F62A3"/>
    <w:rsid w:val="36327BCF"/>
    <w:rsid w:val="368B2BF8"/>
    <w:rsid w:val="376F7D0D"/>
    <w:rsid w:val="37BB0511"/>
    <w:rsid w:val="385065D8"/>
    <w:rsid w:val="389E6877"/>
    <w:rsid w:val="38D004F4"/>
    <w:rsid w:val="393F7C08"/>
    <w:rsid w:val="398A5ADF"/>
    <w:rsid w:val="3A0518FD"/>
    <w:rsid w:val="3A5E73CA"/>
    <w:rsid w:val="3AEF524C"/>
    <w:rsid w:val="3AFB5234"/>
    <w:rsid w:val="3BA072C8"/>
    <w:rsid w:val="3CE67DAC"/>
    <w:rsid w:val="3D0D0163"/>
    <w:rsid w:val="3D711F53"/>
    <w:rsid w:val="3E0767AA"/>
    <w:rsid w:val="3E64030F"/>
    <w:rsid w:val="3E6E6685"/>
    <w:rsid w:val="3EA32135"/>
    <w:rsid w:val="3FA928DC"/>
    <w:rsid w:val="40140C2A"/>
    <w:rsid w:val="43D32FF9"/>
    <w:rsid w:val="45910666"/>
    <w:rsid w:val="45DE26EC"/>
    <w:rsid w:val="4768280A"/>
    <w:rsid w:val="47C4772A"/>
    <w:rsid w:val="48A418B6"/>
    <w:rsid w:val="49AD43B8"/>
    <w:rsid w:val="49AD5334"/>
    <w:rsid w:val="4A1D6007"/>
    <w:rsid w:val="4AE335D3"/>
    <w:rsid w:val="4B7B3EDF"/>
    <w:rsid w:val="4BE646DF"/>
    <w:rsid w:val="4C67700E"/>
    <w:rsid w:val="4C7C7BA8"/>
    <w:rsid w:val="4CED5FF0"/>
    <w:rsid w:val="4DC23D04"/>
    <w:rsid w:val="4DDE43F0"/>
    <w:rsid w:val="4E79041C"/>
    <w:rsid w:val="50554BD2"/>
    <w:rsid w:val="50CD16BF"/>
    <w:rsid w:val="51410FFE"/>
    <w:rsid w:val="519F468A"/>
    <w:rsid w:val="539C101C"/>
    <w:rsid w:val="53BE21FE"/>
    <w:rsid w:val="53E8580C"/>
    <w:rsid w:val="542624D5"/>
    <w:rsid w:val="54DB1BC5"/>
    <w:rsid w:val="559E094A"/>
    <w:rsid w:val="56487C9E"/>
    <w:rsid w:val="571407D8"/>
    <w:rsid w:val="57514A6C"/>
    <w:rsid w:val="577B7A21"/>
    <w:rsid w:val="57E373A9"/>
    <w:rsid w:val="59102CD0"/>
    <w:rsid w:val="59830D7A"/>
    <w:rsid w:val="5A3912A2"/>
    <w:rsid w:val="5A8D25C3"/>
    <w:rsid w:val="5A8E2D0E"/>
    <w:rsid w:val="5AF74069"/>
    <w:rsid w:val="5BA947FA"/>
    <w:rsid w:val="5BD273D7"/>
    <w:rsid w:val="5CFF5FF9"/>
    <w:rsid w:val="5E074E7A"/>
    <w:rsid w:val="5F1939AC"/>
    <w:rsid w:val="5F701814"/>
    <w:rsid w:val="602D5D56"/>
    <w:rsid w:val="603B261B"/>
    <w:rsid w:val="605C3A3F"/>
    <w:rsid w:val="610B36B5"/>
    <w:rsid w:val="61921E2F"/>
    <w:rsid w:val="62437055"/>
    <w:rsid w:val="62FC0E92"/>
    <w:rsid w:val="63CC5E14"/>
    <w:rsid w:val="64026C2D"/>
    <w:rsid w:val="641919C8"/>
    <w:rsid w:val="648D4A33"/>
    <w:rsid w:val="65374F38"/>
    <w:rsid w:val="6548394D"/>
    <w:rsid w:val="65694C05"/>
    <w:rsid w:val="6576554A"/>
    <w:rsid w:val="65A46FE2"/>
    <w:rsid w:val="660A3F5C"/>
    <w:rsid w:val="665A043F"/>
    <w:rsid w:val="66A64ED9"/>
    <w:rsid w:val="66EF7F3E"/>
    <w:rsid w:val="670E13A8"/>
    <w:rsid w:val="676B772E"/>
    <w:rsid w:val="67DD4A26"/>
    <w:rsid w:val="69685A5F"/>
    <w:rsid w:val="69DB7F54"/>
    <w:rsid w:val="69E61595"/>
    <w:rsid w:val="6A135FBD"/>
    <w:rsid w:val="6B6D4468"/>
    <w:rsid w:val="6C226BFE"/>
    <w:rsid w:val="6C741A80"/>
    <w:rsid w:val="6D6B03C6"/>
    <w:rsid w:val="6DD3471E"/>
    <w:rsid w:val="6E736320"/>
    <w:rsid w:val="6EF61FA7"/>
    <w:rsid w:val="6FB95744"/>
    <w:rsid w:val="711265BB"/>
    <w:rsid w:val="717F0DE5"/>
    <w:rsid w:val="71B9345A"/>
    <w:rsid w:val="73F350D3"/>
    <w:rsid w:val="74B31C33"/>
    <w:rsid w:val="74DB73A3"/>
    <w:rsid w:val="75E92944"/>
    <w:rsid w:val="75EF3D88"/>
    <w:rsid w:val="770E1512"/>
    <w:rsid w:val="77160CC5"/>
    <w:rsid w:val="77CC6333"/>
    <w:rsid w:val="78315646"/>
    <w:rsid w:val="7A992AC8"/>
    <w:rsid w:val="7B40795C"/>
    <w:rsid w:val="7B6727C0"/>
    <w:rsid w:val="7D371FB5"/>
    <w:rsid w:val="7D6E1CB3"/>
    <w:rsid w:val="7DC623BA"/>
    <w:rsid w:val="7DD87CC4"/>
    <w:rsid w:val="7F382BD1"/>
    <w:rsid w:val="7F5823E5"/>
    <w:rsid w:val="7F61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line="640" w:lineRule="atLeast"/>
    </w:pPr>
    <w:rPr>
      <w:rFonts w:ascii="仿宋_GB2312" w:hAnsi="Times New Roman" w:eastAsia="仿宋_GB2312"/>
      <w:spacing w:val="-8"/>
      <w:sz w:val="28"/>
    </w:rPr>
  </w:style>
  <w:style w:type="paragraph" w:styleId="4">
    <w:name w:val="Normal Indent"/>
    <w:basedOn w:val="1"/>
    <w:unhideWhenUsed/>
    <w:qFormat/>
    <w:uiPriority w:val="0"/>
    <w:pPr>
      <w:ind w:firstLine="420" w:firstLineChars="200"/>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FollowedHyperlink"/>
    <w:basedOn w:val="10"/>
    <w:qFormat/>
    <w:uiPriority w:val="0"/>
    <w:rPr>
      <w:color w:val="333333"/>
      <w:u w:val="none"/>
    </w:rPr>
  </w:style>
  <w:style w:type="character" w:styleId="12">
    <w:name w:val="Hyperlink"/>
    <w:basedOn w:val="10"/>
    <w:qFormat/>
    <w:uiPriority w:val="0"/>
    <w:rPr>
      <w:color w:val="333333"/>
      <w:u w:val="none"/>
    </w:rPr>
  </w:style>
  <w:style w:type="paragraph" w:customStyle="1" w:styleId="14">
    <w:name w:val="Normal Indent1"/>
    <w:basedOn w:val="1"/>
    <w:qFormat/>
    <w:uiPriority w:val="0"/>
    <w:pPr>
      <w:spacing w:line="660" w:lineRule="exact"/>
      <w:ind w:firstLine="720" w:firstLineChars="200"/>
    </w:pPr>
    <w:rPr>
      <w:rFonts w:eastAsia="楷体_GB2312"/>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4519</Words>
  <Characters>4583</Characters>
  <Lines>34</Lines>
  <Paragraphs>9</Paragraphs>
  <TotalTime>0</TotalTime>
  <ScaleCrop>false</ScaleCrop>
  <LinksUpToDate>false</LinksUpToDate>
  <CharactersWithSpaces>4586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2021-12-30T07:08:00Z</dcterms:created>
  <dc:creator>赵素苓</dc:creator>
  <cp:lastModifiedBy>Lenovo</cp:lastModifiedBy>
  <cp:lastPrinted>2009-01-04T21:19:00Z</cp:lastPrinted>
  <dcterms:modified xsi:type="dcterms:W3CDTF">2025-03-27T06:34:22Z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02B6BD8B6D004491BFF83EEA02873727</vt:lpwstr>
  </property>
  <property fmtid="{D5CDD505-2E9C-101B-9397-08002B2CF9AE}" pid="4" name="KSOTemplateDocerSaveRecord">
    <vt:lpwstr>eyJoZGlkIjoiMGU3M2U2NzEwNTZmNTk2Mjk1MjBlYzY0MTM1MzM0YTUiLCJ1c2VySWQiOiI2Mzc1MDI3OTEifQ==</vt:lpwstr>
  </property>
</Properties>
</file>