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560" w:lineRule="exact"/>
        <w:jc w:val="center"/>
        <w:rPr>
          <w:rFonts w:eastAsia="方正小标宋简体"/>
          <w:color w:val="000000" w:themeColor="text1"/>
          <w:sz w:val="44"/>
          <w:szCs w:val="32"/>
        </w:rPr>
      </w:pPr>
      <w:r>
        <w:rPr>
          <w:rFonts w:eastAsia="方正小标宋简体"/>
          <w:color w:val="000000" w:themeColor="text1"/>
          <w:sz w:val="44"/>
          <w:szCs w:val="32"/>
        </w:rPr>
        <w:t>北京市东城区人力资源和社会保障局</w:t>
      </w:r>
    </w:p>
    <w:p>
      <w:pPr>
        <w:overflowPunct w:val="0"/>
        <w:topLinePunct/>
        <w:spacing w:line="560" w:lineRule="exact"/>
        <w:jc w:val="center"/>
        <w:rPr>
          <w:rFonts w:eastAsia="方正小标宋简体"/>
          <w:color w:val="000000" w:themeColor="text1"/>
          <w:sz w:val="44"/>
          <w:szCs w:val="32"/>
        </w:rPr>
      </w:pPr>
      <w:r>
        <w:rPr>
          <w:rFonts w:eastAsia="方正小标宋简体"/>
          <w:color w:val="000000" w:themeColor="text1"/>
          <w:sz w:val="44"/>
          <w:szCs w:val="32"/>
        </w:rPr>
        <w:t>2024年法治政府建设年度情况报告</w:t>
      </w:r>
    </w:p>
    <w:p>
      <w:pPr>
        <w:pStyle w:val="2"/>
        <w:overflowPunct w:val="0"/>
        <w:topLinePunct/>
        <w:adjustRightInd w:val="0"/>
        <w:spacing w:line="560" w:lineRule="exact"/>
        <w:ind w:firstLine="640" w:firstLineChars="200"/>
        <w:jc w:val="both"/>
        <w:rPr>
          <w:rFonts w:ascii="Times New Roman" w:hAnsi="Times New Roman" w:eastAsia="仿宋_GB2312" w:cs="Times New Roman"/>
          <w:color w:val="000000" w:themeColor="text1"/>
          <w:sz w:val="32"/>
          <w:szCs w:val="32"/>
          <w:shd w:val="clear" w:color="auto" w:fill="FFFFFF"/>
        </w:rPr>
      </w:pPr>
    </w:p>
    <w:p>
      <w:pPr>
        <w:overflowPunct w:val="0"/>
        <w:topLinePunct/>
        <w:adjustRightInd w:val="0"/>
        <w:snapToGrid w:val="0"/>
        <w:spacing w:line="560" w:lineRule="exact"/>
        <w:ind w:firstLine="640" w:firstLineChars="200"/>
        <w:rPr>
          <w:rFonts w:eastAsia="仿宋_GB2312"/>
          <w:color w:val="000000" w:themeColor="text1"/>
          <w:sz w:val="32"/>
          <w:szCs w:val="32"/>
        </w:rPr>
      </w:pPr>
      <w:r>
        <w:rPr>
          <w:rFonts w:eastAsia="仿宋_GB2312"/>
          <w:color w:val="000000" w:themeColor="text1"/>
          <w:sz w:val="32"/>
          <w:szCs w:val="32"/>
          <w:shd w:val="clear" w:color="auto" w:fill="FFFFFF"/>
        </w:rPr>
        <w:t>2024年，北京市东城区人力资源和社会保障局坚持以习近平新时代中国特色社会主义思想为指导，全面贯彻落实党的二十大和二十届三中全会精神，深入学习贯彻习近平法治思想，在区委、区政府的正确领导下，在北京市人力资源和社会保障局的大力指导下，</w:t>
      </w:r>
      <w:r>
        <w:rPr>
          <w:rFonts w:eastAsia="仿宋_GB2312"/>
          <w:color w:val="000000" w:themeColor="text1"/>
          <w:sz w:val="32"/>
          <w:szCs w:val="32"/>
        </w:rPr>
        <w:t>认真落实党中央、国务院、市委市政府和区委区政府关于法治政府建设的各项决策部署，扎实推进法治政府建设各项工作</w:t>
      </w:r>
      <w:r>
        <w:rPr>
          <w:rFonts w:eastAsia="仿宋_GB2312"/>
          <w:color w:val="000000" w:themeColor="text1"/>
          <w:sz w:val="32"/>
          <w:szCs w:val="32"/>
          <w:shd w:val="clear" w:color="auto" w:fill="FFFFFF"/>
        </w:rPr>
        <w:t>，</w:t>
      </w:r>
      <w:r>
        <w:rPr>
          <w:rFonts w:hint="eastAsia" w:eastAsia="仿宋_GB2312"/>
          <w:color w:val="000000" w:themeColor="text1"/>
          <w:sz w:val="32"/>
          <w:szCs w:val="32"/>
          <w:shd w:val="clear" w:color="auto" w:fill="FFFFFF"/>
        </w:rPr>
        <w:t>全面</w:t>
      </w:r>
      <w:r>
        <w:rPr>
          <w:rFonts w:eastAsia="仿宋_GB2312"/>
          <w:color w:val="000000" w:themeColor="text1"/>
          <w:sz w:val="32"/>
          <w:szCs w:val="32"/>
          <w:shd w:val="clear" w:color="auto" w:fill="FFFFFF"/>
        </w:rPr>
        <w:t>完成了年度法治人社建设目标任务。</w:t>
      </w:r>
    </w:p>
    <w:p>
      <w:pPr>
        <w:overflowPunct w:val="0"/>
        <w:topLinePunct/>
        <w:adjustRightInd w:val="0"/>
        <w:snapToGrid w:val="0"/>
        <w:spacing w:line="560" w:lineRule="exact"/>
        <w:ind w:firstLine="640" w:firstLineChars="200"/>
        <w:rPr>
          <w:rFonts w:eastAsia="黑体"/>
          <w:color w:val="000000" w:themeColor="text1"/>
          <w:sz w:val="32"/>
          <w:szCs w:val="32"/>
        </w:rPr>
      </w:pPr>
      <w:r>
        <w:rPr>
          <w:rFonts w:eastAsia="黑体"/>
          <w:color w:val="000000" w:themeColor="text1"/>
          <w:sz w:val="32"/>
          <w:szCs w:val="32"/>
        </w:rPr>
        <w:t>一、2024年推进法治政府建设的主要举措和成效</w:t>
      </w:r>
    </w:p>
    <w:p>
      <w:pPr>
        <w:pStyle w:val="2"/>
        <w:overflowPunct w:val="0"/>
        <w:topLinePunct/>
        <w:adjustRightInd w:val="0"/>
        <w:spacing w:line="560" w:lineRule="exact"/>
        <w:ind w:firstLine="640" w:firstLineChars="200"/>
        <w:jc w:val="both"/>
        <w:rPr>
          <w:rFonts w:ascii="Times New Roman" w:hAnsi="Times New Roman" w:eastAsia="楷体_GB2312" w:cs="Times New Roman"/>
          <w:color w:val="000000" w:themeColor="text1"/>
          <w:sz w:val="32"/>
          <w:szCs w:val="32"/>
        </w:rPr>
      </w:pPr>
      <w:r>
        <w:rPr>
          <w:rFonts w:ascii="Times New Roman" w:hAnsi="Times New Roman" w:eastAsia="楷体_GB2312" w:cs="Times New Roman"/>
          <w:color w:val="000000" w:themeColor="text1"/>
          <w:sz w:val="32"/>
          <w:szCs w:val="32"/>
        </w:rPr>
        <w:t>（一）深化学习贯彻党的二十大精神和习近平法治思想</w:t>
      </w:r>
    </w:p>
    <w:p>
      <w:pPr>
        <w:pStyle w:val="2"/>
        <w:overflowPunct w:val="0"/>
        <w:topLinePunct/>
        <w:adjustRightInd w:val="0"/>
        <w:spacing w:line="56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shd w:val="clear" w:color="auto" w:fill="FFFFFF"/>
        </w:rPr>
        <w:t>突出“关键少数”，把学习党的二十大</w:t>
      </w:r>
      <w:r>
        <w:rPr>
          <w:rFonts w:hint="eastAsia" w:ascii="Times New Roman" w:hAnsi="Times New Roman" w:eastAsia="仿宋_GB2312" w:cs="Times New Roman"/>
          <w:color w:val="000000" w:themeColor="text1"/>
          <w:sz w:val="32"/>
          <w:szCs w:val="32"/>
          <w:highlight w:val="none"/>
          <w:shd w:val="clear" w:color="auto" w:fill="FFFFFF"/>
          <w:lang w:val="en-US" w:eastAsia="zh-CN"/>
        </w:rPr>
        <w:t>和</w:t>
      </w:r>
      <w:r>
        <w:rPr>
          <w:rFonts w:ascii="Times New Roman" w:hAnsi="Times New Roman" w:eastAsia="仿宋_GB2312" w:cs="Times New Roman"/>
          <w:color w:val="000000" w:themeColor="text1"/>
          <w:sz w:val="32"/>
          <w:szCs w:val="32"/>
          <w:highlight w:val="none"/>
          <w:shd w:val="clear" w:color="auto" w:fill="FFFFFF"/>
        </w:rPr>
        <w:t>二十届三中全会精神</w:t>
      </w:r>
      <w:r>
        <w:rPr>
          <w:rFonts w:ascii="Times New Roman" w:hAnsi="Times New Roman" w:eastAsia="仿宋_GB2312" w:cs="Times New Roman"/>
          <w:color w:val="000000" w:themeColor="text1"/>
          <w:sz w:val="32"/>
          <w:szCs w:val="32"/>
          <w:shd w:val="clear" w:color="auto" w:fill="FFFFFF"/>
        </w:rPr>
        <w:t>和习近平法治思想列入局党组理论学习中心组2024年学习计划，定期</w:t>
      </w:r>
      <w:r>
        <w:rPr>
          <w:rFonts w:ascii="Times New Roman" w:hAnsi="Times New Roman" w:eastAsia="仿宋_GB2312" w:cs="Times New Roman"/>
          <w:color w:val="000000" w:themeColor="text1"/>
          <w:sz w:val="32"/>
          <w:szCs w:val="32"/>
        </w:rPr>
        <w:t>开展专题学习。开展会前学法5次，开展旁听庭审活动3次</w:t>
      </w:r>
      <w:r>
        <w:rPr>
          <w:rFonts w:ascii="Times New Roman" w:hAnsi="Times New Roman" w:eastAsia="仿宋_GB2312" w:cs="Times New Roman"/>
          <w:color w:val="000000" w:themeColor="text1"/>
          <w:sz w:val="32"/>
          <w:szCs w:val="32"/>
          <w:shd w:val="clear" w:color="auto" w:fill="FFFFFF"/>
        </w:rPr>
        <w:t>，</w:t>
      </w:r>
      <w:r>
        <w:rPr>
          <w:rFonts w:ascii="Times New Roman" w:hAnsi="Times New Roman" w:eastAsia="仿宋_GB2312" w:cs="Times New Roman"/>
          <w:color w:val="000000" w:themeColor="text1"/>
          <w:sz w:val="32"/>
          <w:szCs w:val="32"/>
        </w:rPr>
        <w:t>开展《中国共产党纪律处分条例》专题讲座2次、新入职公务员依法行政专题讲座1次，</w:t>
      </w:r>
      <w:r>
        <w:rPr>
          <w:rFonts w:ascii="Times New Roman" w:hAnsi="Times New Roman" w:eastAsia="仿宋_GB2312" w:cs="Times New Roman"/>
          <w:color w:val="000000" w:themeColor="text1"/>
          <w:sz w:val="32"/>
          <w:szCs w:val="32"/>
          <w:shd w:val="clear" w:color="auto" w:fill="FFFFFF"/>
        </w:rPr>
        <w:t>组织新入职干部参加国家工作人</w:t>
      </w:r>
      <w:r>
        <w:rPr>
          <w:rFonts w:ascii="Times New Roman" w:hAnsi="Times New Roman" w:eastAsia="仿宋_GB2312" w:cs="Times New Roman"/>
          <w:color w:val="000000" w:themeColor="text1"/>
          <w:sz w:val="32"/>
          <w:szCs w:val="32"/>
        </w:rPr>
        <w:t>员学法考试，加强党的二十大、二十届三中全会精神和习近平法治思想的学习贯彻落实。</w:t>
      </w:r>
    </w:p>
    <w:p>
      <w:pPr>
        <w:pStyle w:val="2"/>
        <w:overflowPunct w:val="0"/>
        <w:topLinePunct/>
        <w:adjustRightInd w:val="0"/>
        <w:spacing w:line="560" w:lineRule="exact"/>
        <w:ind w:firstLine="640" w:firstLineChars="200"/>
        <w:jc w:val="both"/>
        <w:rPr>
          <w:rFonts w:ascii="Times New Roman" w:hAnsi="Times New Roman" w:eastAsia="楷体_GB2312" w:cs="Times New Roman"/>
          <w:color w:val="000000" w:themeColor="text1"/>
          <w:sz w:val="32"/>
          <w:szCs w:val="32"/>
        </w:rPr>
      </w:pPr>
      <w:r>
        <w:rPr>
          <w:rFonts w:ascii="Times New Roman" w:hAnsi="Times New Roman" w:eastAsia="楷体_GB2312" w:cs="Times New Roman"/>
          <w:color w:val="000000" w:themeColor="text1"/>
          <w:sz w:val="32"/>
          <w:szCs w:val="32"/>
        </w:rPr>
        <w:t>（二）持续推进政府职能转变</w:t>
      </w:r>
    </w:p>
    <w:p>
      <w:pPr>
        <w:pStyle w:val="2"/>
        <w:overflowPunct w:val="0"/>
        <w:topLinePunct/>
        <w:adjustRightInd w:val="0"/>
        <w:spacing w:line="560" w:lineRule="exact"/>
        <w:ind w:firstLine="640" w:firstLineChars="200"/>
        <w:jc w:val="both"/>
        <w:rPr>
          <w:rFonts w:hint="default" w:ascii="Times New Roman" w:hAnsi="Times New Roman" w:eastAsia="仿宋_GB2312" w:cs="Times New Roman"/>
          <w:b w:val="0"/>
          <w:bCs/>
          <w:color w:val="000000" w:themeColor="text1"/>
          <w:sz w:val="32"/>
          <w:szCs w:val="32"/>
        </w:rPr>
      </w:pPr>
      <w:r>
        <w:rPr>
          <w:rFonts w:hint="default" w:ascii="Times New Roman" w:hAnsi="Times New Roman" w:eastAsia="仿宋_GB2312" w:cs="Times New Roman"/>
          <w:b w:val="0"/>
          <w:bCs/>
          <w:color w:val="000000" w:themeColor="text1"/>
          <w:sz w:val="32"/>
          <w:szCs w:val="32"/>
        </w:rPr>
        <w:t>1.围绕群众企业办事需求，提升人社服务品质</w:t>
      </w:r>
    </w:p>
    <w:p>
      <w:pPr>
        <w:pStyle w:val="2"/>
        <w:overflowPunct w:val="0"/>
        <w:topLinePunct/>
        <w:adjustRightInd w:val="0"/>
        <w:spacing w:line="560" w:lineRule="exact"/>
        <w:ind w:firstLine="640" w:firstLineChars="200"/>
        <w:jc w:val="both"/>
        <w:rPr>
          <w:rFonts w:ascii="Times New Roman" w:hAnsi="Times New Roman" w:eastAsia="楷体_GB2312" w:cs="Times New Roman"/>
          <w:color w:val="000000" w:themeColor="text1"/>
          <w:sz w:val="32"/>
          <w:szCs w:val="32"/>
        </w:rPr>
      </w:pPr>
      <w:r>
        <w:rPr>
          <w:rFonts w:ascii="Times New Roman" w:hAnsi="Times New Roman" w:eastAsia="仿宋_GB2312" w:cs="Times New Roman"/>
          <w:color w:val="000000" w:themeColor="text1"/>
          <w:sz w:val="32"/>
          <w:szCs w:val="32"/>
        </w:rPr>
        <w:t>制定《创业服务场景一件事工作方案》，实施初创企业“一单式”服务模式，联动开展助企纾困政策宣传服务活动19次，有效提升企业对整体创业服务的获得感。实现“退休一件事”网上联办审批，打造“无档快审、有档预审”的审核模式和“一表申请、一窗受理、一站服务”的联办模式。全面上线智慧云平台，实现工伤职工就医、康复、劳动能力鉴定、工伤保险医疗费用报销“一站式服务”。</w:t>
      </w:r>
    </w:p>
    <w:p>
      <w:pPr>
        <w:pStyle w:val="2"/>
        <w:overflowPunct w:val="0"/>
        <w:topLinePunct/>
        <w:adjustRightInd w:val="0"/>
        <w:spacing w:line="560" w:lineRule="exact"/>
        <w:ind w:firstLine="640" w:firstLineChars="200"/>
        <w:jc w:val="both"/>
        <w:rPr>
          <w:rFonts w:hint="default" w:ascii="Times New Roman" w:hAnsi="Times New Roman" w:eastAsia="仿宋_GB2312" w:cs="Times New Roman"/>
          <w:b w:val="0"/>
          <w:bCs/>
          <w:color w:val="000000" w:themeColor="text1"/>
          <w:sz w:val="32"/>
          <w:szCs w:val="32"/>
        </w:rPr>
      </w:pPr>
      <w:r>
        <w:rPr>
          <w:rFonts w:hint="default" w:ascii="Times New Roman" w:hAnsi="Times New Roman" w:eastAsia="仿宋_GB2312" w:cs="Times New Roman"/>
          <w:b w:val="0"/>
          <w:bCs/>
          <w:color w:val="000000" w:themeColor="text1"/>
          <w:sz w:val="32"/>
          <w:szCs w:val="32"/>
        </w:rPr>
        <w:t>2.推动一体化综合监管</w:t>
      </w:r>
      <w:r>
        <w:rPr>
          <w:rFonts w:hint="eastAsia" w:ascii="Times New Roman" w:hAnsi="Times New Roman" w:eastAsia="仿宋_GB2312" w:cs="Times New Roman"/>
          <w:b w:val="0"/>
          <w:bCs/>
          <w:color w:val="000000" w:themeColor="text1"/>
          <w:sz w:val="32"/>
          <w:szCs w:val="32"/>
        </w:rPr>
        <w:t>，提升</w:t>
      </w:r>
      <w:r>
        <w:rPr>
          <w:rFonts w:hint="default" w:ascii="Times New Roman" w:hAnsi="Times New Roman" w:eastAsia="仿宋_GB2312" w:cs="Times New Roman"/>
          <w:b w:val="0"/>
          <w:bCs/>
          <w:color w:val="000000" w:themeColor="text1"/>
          <w:sz w:val="32"/>
          <w:szCs w:val="32"/>
        </w:rPr>
        <w:t>人社监管效能</w:t>
      </w:r>
    </w:p>
    <w:p>
      <w:pPr>
        <w:overflowPunct w:val="0"/>
        <w:topLinePunct/>
        <w:adjustRightInd w:val="0"/>
        <w:snapToGrid w:val="0"/>
        <w:spacing w:line="560" w:lineRule="exact"/>
        <w:ind w:firstLine="640" w:firstLineChars="200"/>
        <w:rPr>
          <w:rFonts w:eastAsia="仿宋_GB2312"/>
          <w:color w:val="000000" w:themeColor="text1"/>
          <w:sz w:val="32"/>
          <w:szCs w:val="32"/>
        </w:rPr>
      </w:pPr>
      <w:r>
        <w:rPr>
          <w:rFonts w:eastAsia="仿宋_GB2312"/>
          <w:color w:val="000000" w:themeColor="text1"/>
          <w:sz w:val="32"/>
          <w:szCs w:val="32"/>
        </w:rPr>
        <w:t>认真落实市委市政府及区委区政府关于优化营商环境的决策部署，严格落实区事中事后监管工作联席会工作要求，深入推进一体化综合监管。</w:t>
      </w:r>
    </w:p>
    <w:p>
      <w:pPr>
        <w:overflowPunct w:val="0"/>
        <w:topLinePunct/>
        <w:adjustRightInd w:val="0"/>
        <w:snapToGrid w:val="0"/>
        <w:spacing w:line="560" w:lineRule="exact"/>
        <w:ind w:firstLine="640" w:firstLineChars="200"/>
        <w:rPr>
          <w:rFonts w:eastAsia="仿宋_GB2312"/>
          <w:color w:val="000000" w:themeColor="text1"/>
          <w:sz w:val="32"/>
          <w:szCs w:val="32"/>
        </w:rPr>
      </w:pPr>
      <w:r>
        <w:rPr>
          <w:rFonts w:eastAsia="仿宋_GB2312"/>
          <w:color w:val="000000" w:themeColor="text1"/>
          <w:sz w:val="32"/>
          <w:szCs w:val="32"/>
        </w:rPr>
        <w:t>（1）加强组织协调，夯实工作基础。局长办公会研究部署一体化综合监管及行政执法相关工作，面向全局涉及行政检查、行政处罚的业务部门开展综合监管业务培训，为提高思想认识、转变监管理念、明确监管标准、规范监管程序奠定良好基础。</w:t>
      </w:r>
    </w:p>
    <w:p>
      <w:pPr>
        <w:overflowPunct w:val="0"/>
        <w:topLinePunct/>
        <w:adjustRightInd w:val="0"/>
        <w:snapToGrid w:val="0"/>
        <w:spacing w:line="560" w:lineRule="exact"/>
        <w:ind w:firstLine="640" w:firstLineChars="200"/>
        <w:rPr>
          <w:rFonts w:eastAsia="仿宋_GB2312"/>
          <w:color w:val="000000" w:themeColor="text1"/>
          <w:sz w:val="32"/>
          <w:szCs w:val="32"/>
        </w:rPr>
      </w:pPr>
      <w:r>
        <w:rPr>
          <w:rFonts w:eastAsia="仿宋_GB2312"/>
          <w:color w:val="000000" w:themeColor="text1"/>
          <w:sz w:val="32"/>
          <w:szCs w:val="32"/>
        </w:rPr>
        <w:t>（2）规范检查行为，开展“</w:t>
      </w:r>
      <w:r>
        <w:rPr>
          <w:rFonts w:hint="eastAsia" w:eastAsia="仿宋_GB2312"/>
          <w:color w:val="000000" w:themeColor="text1"/>
          <w:sz w:val="32"/>
          <w:szCs w:val="32"/>
        </w:rPr>
        <w:t>扫码</w:t>
      </w:r>
      <w:r>
        <w:rPr>
          <w:rFonts w:eastAsia="仿宋_GB2312"/>
          <w:color w:val="000000" w:themeColor="text1"/>
          <w:sz w:val="32"/>
          <w:szCs w:val="32"/>
        </w:rPr>
        <w:t>检查”。做好综合监管信息系统角色配置、组织机构确定、电子印章配备、A岗执法人员信息维护等基础准备工作；落实“逢查必扫”“应录尽录”要求，依托京办“综合监管e码查”小程序完成各类检查任务的制定实施，提升监管规范化、标准化水平。</w:t>
      </w:r>
      <w:r>
        <w:rPr>
          <w:rFonts w:hint="eastAsia" w:eastAsia="仿宋_GB2312"/>
          <w:color w:val="000000" w:themeColor="text1"/>
          <w:sz w:val="32"/>
          <w:szCs w:val="32"/>
        </w:rPr>
        <w:t>全局</w:t>
      </w:r>
      <w:r>
        <w:rPr>
          <w:rFonts w:eastAsia="仿宋_GB2312"/>
          <w:color w:val="000000" w:themeColor="text1"/>
          <w:sz w:val="32"/>
          <w:szCs w:val="32"/>
        </w:rPr>
        <w:t>A岗执法人员“</w:t>
      </w:r>
      <w:r>
        <w:rPr>
          <w:rFonts w:hint="eastAsia" w:eastAsia="仿宋_GB2312"/>
          <w:color w:val="000000" w:themeColor="text1"/>
          <w:sz w:val="32"/>
          <w:szCs w:val="32"/>
        </w:rPr>
        <w:t>扫</w:t>
      </w:r>
      <w:r>
        <w:rPr>
          <w:rFonts w:eastAsia="仿宋_GB2312"/>
          <w:color w:val="000000" w:themeColor="text1"/>
          <w:sz w:val="32"/>
          <w:szCs w:val="32"/>
        </w:rPr>
        <w:t>码检查”绑定率、应用率均为100%。</w:t>
      </w:r>
    </w:p>
    <w:p>
      <w:pPr>
        <w:overflowPunct w:val="0"/>
        <w:topLinePunct/>
        <w:adjustRightInd w:val="0"/>
        <w:snapToGrid w:val="0"/>
        <w:spacing w:line="560" w:lineRule="exact"/>
        <w:ind w:firstLine="640" w:firstLineChars="200"/>
        <w:rPr>
          <w:rFonts w:eastAsia="仿宋_GB2312"/>
          <w:color w:val="000000" w:themeColor="text1"/>
          <w:sz w:val="32"/>
          <w:szCs w:val="32"/>
        </w:rPr>
      </w:pPr>
      <w:r>
        <w:rPr>
          <w:rFonts w:eastAsia="仿宋_GB2312"/>
          <w:color w:val="000000" w:themeColor="text1"/>
          <w:sz w:val="32"/>
          <w:szCs w:val="32"/>
        </w:rPr>
        <w:t>（3）转变监管理念，落实“无事不扰”。对“无事不扰”企业清单经营主体，除被投诉举报转办交办案件线索、专项检查及法律法规另有规定外，不主动实施日常检查的现场检查，进一步维护公平有序的市场环境。兼顾监管效率与安全底线，持续提升检查的精准性、有效性，全局</w:t>
      </w:r>
      <w:r>
        <w:rPr>
          <w:rFonts w:hint="eastAsia" w:eastAsia="仿宋_GB2312"/>
          <w:color w:val="000000" w:themeColor="text1"/>
          <w:sz w:val="32"/>
          <w:szCs w:val="32"/>
        </w:rPr>
        <w:t>行政检查</w:t>
      </w:r>
      <w:r>
        <w:rPr>
          <w:rFonts w:eastAsia="仿宋_GB2312"/>
          <w:color w:val="000000" w:themeColor="text1"/>
          <w:sz w:val="32"/>
          <w:szCs w:val="32"/>
        </w:rPr>
        <w:t>问题发现率</w:t>
      </w:r>
      <w:r>
        <w:rPr>
          <w:rFonts w:hint="eastAsia" w:eastAsia="仿宋_GB2312"/>
          <w:color w:val="000000" w:themeColor="text1"/>
          <w:sz w:val="32"/>
          <w:szCs w:val="32"/>
        </w:rPr>
        <w:t>大幅提升</w:t>
      </w:r>
      <w:r>
        <w:rPr>
          <w:rFonts w:eastAsia="仿宋_GB2312"/>
          <w:color w:val="000000" w:themeColor="text1"/>
          <w:sz w:val="32"/>
          <w:szCs w:val="32"/>
        </w:rPr>
        <w:t>。</w:t>
      </w:r>
    </w:p>
    <w:p>
      <w:pPr>
        <w:overflowPunct w:val="0"/>
        <w:topLinePunct/>
        <w:adjustRightInd w:val="0"/>
        <w:snapToGrid w:val="0"/>
        <w:spacing w:line="560" w:lineRule="exact"/>
        <w:ind w:firstLine="640" w:firstLineChars="200"/>
        <w:rPr>
          <w:rFonts w:eastAsia="仿宋_GB2312"/>
          <w:color w:val="000000" w:themeColor="text1"/>
          <w:sz w:val="32"/>
          <w:szCs w:val="32"/>
        </w:rPr>
      </w:pPr>
      <w:r>
        <w:rPr>
          <w:rFonts w:eastAsia="仿宋_GB2312"/>
          <w:color w:val="000000" w:themeColor="text1"/>
          <w:sz w:val="32"/>
          <w:szCs w:val="32"/>
        </w:rPr>
        <w:t>（4）注重监管实效，推进非现场监管。贯彻“非现场监管为主、现场检查为辅”理念，树牢“非现场监管就是强化监管”意识，推进日常监管主要检查方式由现场向非现场监管转变，提升“无事不扰、无处不在”监管能力。依托综合监管信息系统，运用市局搭建的信息支撑系统与非现场监管模块，结合业务工作实际，在经营性人力资源服务机构、劳务派遣、职业技能培训机构、社会保险基金、劳动保障、农民工工资支付等领域全面履行非现场监管职责</w:t>
      </w:r>
      <w:r>
        <w:rPr>
          <w:rFonts w:hint="eastAsia" w:eastAsia="仿宋_GB2312"/>
          <w:color w:val="000000" w:themeColor="text1"/>
          <w:sz w:val="32"/>
          <w:szCs w:val="32"/>
        </w:rPr>
        <w:t>，</w:t>
      </w:r>
      <w:r>
        <w:rPr>
          <w:rFonts w:eastAsia="仿宋_GB2312"/>
          <w:color w:val="000000" w:themeColor="text1"/>
          <w:sz w:val="32"/>
          <w:szCs w:val="32"/>
        </w:rPr>
        <w:t>全局非现场检查占行政检查总量83%。</w:t>
      </w:r>
    </w:p>
    <w:p>
      <w:pPr>
        <w:pStyle w:val="2"/>
        <w:overflowPunct w:val="0"/>
        <w:topLinePunct/>
        <w:adjustRightInd w:val="0"/>
        <w:spacing w:line="560" w:lineRule="exact"/>
        <w:ind w:firstLine="640" w:firstLineChars="200"/>
        <w:jc w:val="both"/>
        <w:rPr>
          <w:rFonts w:hint="default" w:ascii="Times New Roman" w:hAnsi="Times New Roman" w:eastAsia="仿宋_GB2312" w:cs="Times New Roman"/>
          <w:b w:val="0"/>
          <w:bCs/>
          <w:color w:val="000000" w:themeColor="text1"/>
          <w:sz w:val="32"/>
          <w:szCs w:val="32"/>
        </w:rPr>
      </w:pPr>
      <w:r>
        <w:rPr>
          <w:rFonts w:hint="default" w:ascii="Times New Roman" w:hAnsi="Times New Roman" w:eastAsia="仿宋_GB2312" w:cs="Times New Roman"/>
          <w:b w:val="0"/>
          <w:bCs/>
          <w:color w:val="000000" w:themeColor="text1"/>
          <w:sz w:val="32"/>
          <w:szCs w:val="32"/>
        </w:rPr>
        <w:t>3.</w:t>
      </w:r>
      <w:r>
        <w:rPr>
          <w:rFonts w:hint="eastAsia" w:ascii="Times New Roman" w:hAnsi="Times New Roman" w:eastAsia="仿宋_GB2312" w:cs="Times New Roman"/>
          <w:b w:val="0"/>
          <w:bCs/>
          <w:color w:val="000000" w:themeColor="text1"/>
          <w:sz w:val="32"/>
          <w:szCs w:val="32"/>
        </w:rPr>
        <w:t>聚焦创新改革</w:t>
      </w:r>
      <w:r>
        <w:rPr>
          <w:rFonts w:hint="default" w:ascii="Times New Roman" w:hAnsi="Times New Roman" w:eastAsia="仿宋_GB2312" w:cs="Times New Roman"/>
          <w:b w:val="0"/>
          <w:bCs/>
          <w:color w:val="000000" w:themeColor="text1"/>
          <w:sz w:val="32"/>
          <w:szCs w:val="32"/>
        </w:rPr>
        <w:t>任务，持续优化营商环境</w:t>
      </w:r>
    </w:p>
    <w:p>
      <w:pPr>
        <w:pBdr>
          <w:bottom w:val="single" w:color="FFFFFF" w:sz="4" w:space="14"/>
        </w:pBdr>
        <w:overflowPunct w:val="0"/>
        <w:topLinePunct/>
        <w:adjustRightInd w:val="0"/>
        <w:snapToGrid w:val="0"/>
        <w:spacing w:line="560" w:lineRule="exact"/>
        <w:ind w:firstLine="640" w:firstLineChars="200"/>
        <w:rPr>
          <w:rFonts w:eastAsia="仿宋_GB2312"/>
          <w:b/>
          <w:bCs/>
          <w:color w:val="000000" w:themeColor="text1"/>
          <w:sz w:val="32"/>
          <w:szCs w:val="32"/>
        </w:rPr>
      </w:pPr>
      <w:r>
        <w:rPr>
          <w:rFonts w:eastAsia="仿宋_GB2312"/>
          <w:bCs/>
          <w:color w:val="000000" w:themeColor="text1"/>
          <w:sz w:val="32"/>
          <w:szCs w:val="32"/>
        </w:rPr>
        <w:t>（1）着力组团服务，打造东城样板。创新“产业组团+人社服务”发展路径，由</w:t>
      </w:r>
      <w:r>
        <w:rPr>
          <w:rFonts w:eastAsia="仿宋_GB2312"/>
          <w:color w:val="000000" w:themeColor="text1"/>
          <w:sz w:val="32"/>
          <w:szCs w:val="32"/>
        </w:rPr>
        <w:t>“人力社保服务专员”</w:t>
      </w:r>
      <w:r>
        <w:rPr>
          <w:rFonts w:eastAsia="仿宋_GB2312"/>
          <w:bCs/>
          <w:color w:val="000000" w:themeColor="text1"/>
          <w:sz w:val="32"/>
          <w:szCs w:val="32"/>
        </w:rPr>
        <w:t>主动融入东方广场、航星园、金宝街等产业组团集聚区，积极送政策、送指导、送服务，“一企一策”提升服务效能。</w:t>
      </w:r>
      <w:r>
        <w:rPr>
          <w:rFonts w:eastAsia="仿宋_GB2312"/>
          <w:color w:val="000000" w:themeColor="text1"/>
          <w:sz w:val="32"/>
          <w:szCs w:val="32"/>
        </w:rPr>
        <w:t>开展“党建引领接诉即办 东城人社护航在行动”2024年政策宣传服务月活动，为300余家企业进行普法政策宣传、面对面答疑。</w:t>
      </w:r>
      <w:r>
        <w:rPr>
          <w:rFonts w:eastAsia="仿宋_GB2312"/>
          <w:bCs/>
          <w:color w:val="000000" w:themeColor="text1"/>
          <w:sz w:val="32"/>
          <w:szCs w:val="32"/>
        </w:rPr>
        <w:t>在全市率先引入“刷脸求职机”，用AI技术赋能就业服务。优化企业上市合法合规信息查询出证流程，将办理时限由10个工作日压减至5个工作日，为企业上市加速发展赢得先机，助力首批8个产业组团建设取得实效。</w:t>
      </w:r>
    </w:p>
    <w:p>
      <w:pPr>
        <w:pBdr>
          <w:bottom w:val="single" w:color="FFFFFF" w:sz="4" w:space="14"/>
        </w:pBdr>
        <w:tabs>
          <w:tab w:val="left" w:pos="589"/>
          <w:tab w:val="left" w:pos="1440"/>
        </w:tabs>
        <w:overflowPunct w:val="0"/>
        <w:topLinePunct/>
        <w:adjustRightInd w:val="0"/>
        <w:snapToGrid w:val="0"/>
        <w:spacing w:line="560" w:lineRule="exact"/>
        <w:ind w:firstLine="640" w:firstLineChars="200"/>
        <w:rPr>
          <w:rFonts w:eastAsia="仿宋_GB2312"/>
          <w:color w:val="000000" w:themeColor="text1"/>
          <w:sz w:val="32"/>
          <w:szCs w:val="32"/>
        </w:rPr>
      </w:pPr>
      <w:r>
        <w:rPr>
          <w:rFonts w:eastAsia="仿宋_GB2312"/>
          <w:bCs/>
          <w:color w:val="000000" w:themeColor="text1"/>
          <w:sz w:val="32"/>
          <w:szCs w:val="32"/>
        </w:rPr>
        <w:t>（2）精细管家服务，亮化紫金品牌。</w:t>
      </w:r>
      <w:r>
        <w:rPr>
          <w:rFonts w:eastAsia="仿宋_GB2312"/>
          <w:color w:val="000000" w:themeColor="text1"/>
          <w:sz w:val="32"/>
          <w:szCs w:val="32"/>
        </w:rPr>
        <w:t>组建“东城人社紫金管家团”，坚持“周联络、月走访和有问必答”精细化管家服务模式。“搭台”推进政企对接，</w:t>
      </w:r>
      <w:r>
        <w:rPr>
          <w:rFonts w:eastAsia="仿宋_GB2312"/>
          <w:color w:val="000000" w:themeColor="text1"/>
          <w:sz w:val="32"/>
          <w:szCs w:val="32"/>
          <w:lang w:val="zh-TW"/>
        </w:rPr>
        <w:t>清单化、台账化诉求解决机制，提升对企高效服务供给水平及精准性服务效能，持续提升企业诉求办结率及满意率。</w:t>
      </w:r>
      <w:r>
        <w:rPr>
          <w:rFonts w:eastAsia="仿宋_GB2312"/>
          <w:color w:val="000000" w:themeColor="text1"/>
          <w:sz w:val="32"/>
          <w:szCs w:val="32"/>
        </w:rPr>
        <w:t>2024年，服务包企业提出的全部诉求均100%办结和满意。</w:t>
      </w:r>
    </w:p>
    <w:p>
      <w:pPr>
        <w:pBdr>
          <w:bottom w:val="single" w:color="FFFFFF" w:sz="4" w:space="14"/>
        </w:pBdr>
        <w:tabs>
          <w:tab w:val="left" w:pos="589"/>
          <w:tab w:val="left" w:pos="1440"/>
        </w:tabs>
        <w:overflowPunct w:val="0"/>
        <w:topLinePunct/>
        <w:adjustRightInd w:val="0"/>
        <w:snapToGrid w:val="0"/>
        <w:spacing w:line="560" w:lineRule="exact"/>
        <w:ind w:firstLine="640" w:firstLineChars="200"/>
        <w:rPr>
          <w:rFonts w:eastAsia="仿宋_GB2312"/>
          <w:color w:val="000000" w:themeColor="text1"/>
          <w:sz w:val="32"/>
          <w:szCs w:val="32"/>
        </w:rPr>
      </w:pPr>
      <w:r>
        <w:rPr>
          <w:rFonts w:eastAsia="仿宋_GB2312"/>
          <w:color w:val="000000" w:themeColor="text1"/>
          <w:sz w:val="32"/>
          <w:szCs w:val="32"/>
        </w:rPr>
        <w:t>（3）做好审查工作，维护公平竞争。开展公平竞争政策宣传周活动，组织工作人员围绕《公平竞争审查条例》认真开展学习，提升工作人员公平竞争审查意识和工作能力；充分利用对外宣传渠道，面向企业、群众广泛宣传公平竞争政策，积极营造贯彻《条例》的良好氛围；贯彻落实公平竞争审查工作程序规定，保障公平竞争审查环节有效落实。</w:t>
      </w:r>
    </w:p>
    <w:p>
      <w:pPr>
        <w:pBdr>
          <w:bottom w:val="single" w:color="FFFFFF" w:sz="4" w:space="14"/>
        </w:pBdr>
        <w:tabs>
          <w:tab w:val="left" w:pos="589"/>
          <w:tab w:val="left" w:pos="1440"/>
        </w:tabs>
        <w:overflowPunct w:val="0"/>
        <w:topLinePunct/>
        <w:adjustRightInd w:val="0"/>
        <w:snapToGrid w:val="0"/>
        <w:spacing w:line="560" w:lineRule="exact"/>
        <w:ind w:firstLine="640" w:firstLineChars="200"/>
        <w:rPr>
          <w:rFonts w:eastAsia="仿宋_GB2312"/>
          <w:color w:val="000000" w:themeColor="text1"/>
          <w:sz w:val="32"/>
          <w:szCs w:val="32"/>
        </w:rPr>
      </w:pPr>
      <w:r>
        <w:rPr>
          <w:rFonts w:hint="default" w:ascii="Times New Roman" w:hAnsi="Times New Roman" w:eastAsia="仿宋_GB2312" w:cs="Times New Roman"/>
          <w:b w:val="0"/>
          <w:bCs/>
          <w:color w:val="000000" w:themeColor="text1"/>
          <w:kern w:val="2"/>
          <w:sz w:val="32"/>
          <w:szCs w:val="32"/>
          <w:lang w:val="en-US" w:eastAsia="zh-CN" w:bidi="ar-SA"/>
        </w:rPr>
        <w:t>4.深化接诉即办改革</w:t>
      </w:r>
      <w:r>
        <w:rPr>
          <w:rFonts w:hint="eastAsia" w:ascii="Times New Roman" w:hAnsi="Times New Roman" w:eastAsia="仿宋_GB2312" w:cs="Times New Roman"/>
          <w:b w:val="0"/>
          <w:bCs/>
          <w:color w:val="000000" w:themeColor="text1"/>
          <w:kern w:val="2"/>
          <w:sz w:val="32"/>
          <w:szCs w:val="32"/>
          <w:lang w:val="en-US" w:eastAsia="zh-CN" w:bidi="ar-SA"/>
        </w:rPr>
        <w:t>，</w:t>
      </w:r>
      <w:r>
        <w:rPr>
          <w:rFonts w:hint="default" w:ascii="Times New Roman" w:hAnsi="Times New Roman" w:eastAsia="仿宋_GB2312" w:cs="Times New Roman"/>
          <w:b w:val="0"/>
          <w:bCs/>
          <w:color w:val="000000" w:themeColor="text1"/>
          <w:kern w:val="2"/>
          <w:sz w:val="32"/>
          <w:szCs w:val="32"/>
          <w:lang w:val="en-US" w:eastAsia="zh-CN" w:bidi="ar-SA"/>
        </w:rPr>
        <w:t>提升城市治理水平</w:t>
      </w:r>
    </w:p>
    <w:p>
      <w:pPr>
        <w:pBdr>
          <w:bottom w:val="single" w:color="FFFFFF" w:sz="4" w:space="14"/>
        </w:pBdr>
        <w:tabs>
          <w:tab w:val="left" w:pos="589"/>
          <w:tab w:val="left" w:pos="1440"/>
        </w:tabs>
        <w:overflowPunct w:val="0"/>
        <w:topLinePunct/>
        <w:adjustRightInd w:val="0"/>
        <w:snapToGrid w:val="0"/>
        <w:spacing w:line="560" w:lineRule="exact"/>
        <w:ind w:firstLine="640" w:firstLineChars="200"/>
        <w:rPr>
          <w:rFonts w:eastAsia="仿宋_GB2312"/>
          <w:color w:val="000000" w:themeColor="text1"/>
          <w:sz w:val="32"/>
          <w:szCs w:val="32"/>
        </w:rPr>
      </w:pPr>
      <w:r>
        <w:rPr>
          <w:rFonts w:eastAsia="仿宋_GB2312"/>
          <w:color w:val="000000" w:themeColor="text1"/>
          <w:sz w:val="32"/>
          <w:szCs w:val="32"/>
        </w:rPr>
        <w:t>（1）强化未诉先办，源头治理显绩。以12345案件为线索，在“以办为先”上持续用力，在“息诉减量”上再求突破。重点聚焦前端“政策咨询服务”效能，发挥“社保微课堂”“东小保百问百答”等线上宣贯平台作用，组织开展“社保服务进万家”等专题政策宣讲会，制作《档案业务掌上办》等宣传片，发挥咨询服务热线平台优势，将人社咨询热线并入区级政务服务热线，提前解决“政策咨询服务类”诉求。成立4支仲裁员志愿者普法队，为企业开展服务</w:t>
      </w:r>
      <w:r>
        <w:rPr>
          <w:rFonts w:hint="eastAsia" w:eastAsia="仿宋_GB2312"/>
          <w:color w:val="000000" w:themeColor="text1"/>
          <w:sz w:val="32"/>
          <w:szCs w:val="32"/>
        </w:rPr>
        <w:t>500余</w:t>
      </w:r>
      <w:r>
        <w:rPr>
          <w:rFonts w:eastAsia="仿宋_GB2312"/>
          <w:color w:val="000000" w:themeColor="text1"/>
          <w:sz w:val="32"/>
          <w:szCs w:val="32"/>
        </w:rPr>
        <w:t>次，深入企业园区进行40余次普法宣传活动，深入50余家施工现场，发放“东城人社暖心卡”1000余张，千余件案件在企业园区和属地街道得到化解，源头推动降诉减量。我局《“一站式”调处 “全链条”服务 打造为民解纷“终点站”》在第八届12345政务服务便民热线大会做典型经验交流，《以企业诉求为哨声 提供一站式服务》入选《2024年12345政务服务便民热线典范案例选编》。</w:t>
      </w:r>
    </w:p>
    <w:p>
      <w:pPr>
        <w:pBdr>
          <w:bottom w:val="single" w:color="FFFFFF" w:sz="4" w:space="14"/>
        </w:pBdr>
        <w:tabs>
          <w:tab w:val="left" w:pos="589"/>
          <w:tab w:val="left" w:pos="1440"/>
        </w:tabs>
        <w:overflowPunct w:val="0"/>
        <w:topLinePunct/>
        <w:adjustRightInd w:val="0"/>
        <w:snapToGrid w:val="0"/>
        <w:spacing w:line="560" w:lineRule="exact"/>
        <w:ind w:firstLine="640" w:firstLineChars="200"/>
        <w:rPr>
          <w:rFonts w:eastAsia="仿宋_GB2312"/>
          <w:color w:val="000000" w:themeColor="text1"/>
          <w:sz w:val="32"/>
          <w:szCs w:val="32"/>
        </w:rPr>
      </w:pPr>
      <w:r>
        <w:rPr>
          <w:rFonts w:eastAsia="仿宋_GB2312"/>
          <w:color w:val="000000" w:themeColor="text1"/>
          <w:sz w:val="32"/>
          <w:szCs w:val="32"/>
        </w:rPr>
        <w:t>（2）强化领导包案，问题化解有效。始终紧扣“七有”要求和“五性”需求，坚持“未诉先办、高效快办、领导包办、增值延办”工作理念，严格落实“清零、稳量、保质”工作法，持续强化“精准派发、精准回退、精准办理”工作标准，全力落实“提升首办双肯率和好件率”工作目标。发挥党组织战斗堡垒作用，局领导带头、中层当先、骨干示范，把“领导包案”专家会诊机制走深走实，持续坚持工作日、周末和节假日线下调度。</w:t>
      </w:r>
      <w:r>
        <w:rPr>
          <w:rFonts w:hint="eastAsia" w:eastAsia="仿宋_GB2312"/>
          <w:color w:val="000000" w:themeColor="text1"/>
          <w:sz w:val="32"/>
          <w:szCs w:val="32"/>
        </w:rPr>
        <w:t>202</w:t>
      </w:r>
      <w:r>
        <w:rPr>
          <w:rFonts w:eastAsia="仿宋_GB2312"/>
          <w:color w:val="000000" w:themeColor="text1"/>
          <w:sz w:val="32"/>
          <w:szCs w:val="32"/>
        </w:rPr>
        <w:t>4</w:t>
      </w:r>
      <w:r>
        <w:rPr>
          <w:rFonts w:hint="eastAsia" w:eastAsia="仿宋_GB2312"/>
          <w:color w:val="000000" w:themeColor="text1"/>
          <w:sz w:val="32"/>
          <w:szCs w:val="32"/>
        </w:rPr>
        <w:t>年</w:t>
      </w:r>
      <w:r>
        <w:rPr>
          <w:rFonts w:eastAsia="仿宋_GB2312"/>
          <w:color w:val="000000" w:themeColor="text1"/>
          <w:sz w:val="32"/>
          <w:szCs w:val="32"/>
        </w:rPr>
        <w:t>，我局累计有效承办接诉即办案件</w:t>
      </w:r>
      <w:r>
        <w:rPr>
          <w:rFonts w:hint="eastAsia" w:eastAsia="仿宋_GB2312"/>
          <w:color w:val="000000" w:themeColor="text1"/>
          <w:sz w:val="32"/>
          <w:szCs w:val="32"/>
        </w:rPr>
        <w:t>2万余</w:t>
      </w:r>
      <w:r>
        <w:rPr>
          <w:rFonts w:eastAsia="仿宋_GB2312"/>
          <w:color w:val="000000" w:themeColor="text1"/>
          <w:sz w:val="32"/>
          <w:szCs w:val="32"/>
        </w:rPr>
        <w:t>件，</w:t>
      </w:r>
      <w:r>
        <w:rPr>
          <w:rFonts w:eastAsia="仿宋_GB2312"/>
          <w:bCs/>
          <w:color w:val="000000" w:themeColor="text1"/>
          <w:sz w:val="32"/>
          <w:szCs w:val="32"/>
        </w:rPr>
        <w:t>办件整体水平在全市、全区位居前列。</w:t>
      </w:r>
      <w:r>
        <w:rPr>
          <w:rFonts w:eastAsia="仿宋_GB2312"/>
          <w:color w:val="000000" w:themeColor="text1"/>
          <w:sz w:val="32"/>
          <w:szCs w:val="32"/>
        </w:rPr>
        <w:t>《北京东城强化党建引领推进接诉即办》工作经验被人社部工作信息刊登。</w:t>
      </w:r>
    </w:p>
    <w:p>
      <w:pPr>
        <w:pBdr>
          <w:bottom w:val="single" w:color="FFFFFF" w:sz="4" w:space="14"/>
        </w:pBdr>
        <w:tabs>
          <w:tab w:val="left" w:pos="589"/>
          <w:tab w:val="left" w:pos="1440"/>
        </w:tabs>
        <w:overflowPunct w:val="0"/>
        <w:topLinePunct/>
        <w:adjustRightInd w:val="0"/>
        <w:snapToGrid w:val="0"/>
        <w:spacing w:line="560" w:lineRule="exact"/>
        <w:ind w:firstLine="640" w:firstLineChars="200"/>
        <w:rPr>
          <w:rFonts w:eastAsia="仿宋_GB2312"/>
          <w:color w:val="000000" w:themeColor="text1"/>
          <w:sz w:val="32"/>
          <w:szCs w:val="32"/>
        </w:rPr>
      </w:pPr>
      <w:r>
        <w:rPr>
          <w:rFonts w:eastAsia="仿宋_GB2312"/>
          <w:color w:val="000000" w:themeColor="text1"/>
          <w:sz w:val="32"/>
          <w:szCs w:val="32"/>
        </w:rPr>
        <w:t>（3）强化每月一题，提升高质量就业。打造“党建引领双创 人力社保服务示范基地”品牌，推行“大就业”工作格局，深化“家门口”就业服务，开展“小而精”招聘会促进人岗对接。创新开展“一轴四翼”访企寻岗、“人力资源产业行”和“人社局长进校园”等专项行动，建立“政府+基地+高校+服务+宣传”的“五位一体”创业服务体系，打造“创翼东城”创新创业赛事品牌，进一步撬动和扩大市场吸纳重点群体就业的渠道。2024年，实地走访央企、国企、民营企业等</w:t>
      </w:r>
      <w:r>
        <w:rPr>
          <w:rFonts w:hint="eastAsia" w:eastAsia="仿宋_GB2312"/>
          <w:color w:val="000000" w:themeColor="text1"/>
          <w:sz w:val="32"/>
          <w:szCs w:val="32"/>
        </w:rPr>
        <w:t>100余</w:t>
      </w:r>
      <w:r>
        <w:rPr>
          <w:rFonts w:eastAsia="仿宋_GB2312"/>
          <w:color w:val="000000" w:themeColor="text1"/>
          <w:sz w:val="32"/>
          <w:szCs w:val="32"/>
        </w:rPr>
        <w:t>家重点企业，签订就业服务协议50家，成功挖掘岗位1803个。</w:t>
      </w:r>
      <w:r>
        <w:rPr>
          <w:rFonts w:eastAsia="仿宋_GB2312"/>
          <w:bCs/>
          <w:color w:val="000000" w:themeColor="text1"/>
          <w:sz w:val="32"/>
          <w:szCs w:val="32"/>
        </w:rPr>
        <w:t>高频举办</w:t>
      </w:r>
      <w:r>
        <w:rPr>
          <w:rFonts w:hint="eastAsia" w:eastAsia="仿宋_GB2312"/>
          <w:bCs/>
          <w:color w:val="000000" w:themeColor="text1"/>
          <w:sz w:val="32"/>
          <w:szCs w:val="32"/>
        </w:rPr>
        <w:t>各类</w:t>
      </w:r>
      <w:r>
        <w:rPr>
          <w:rFonts w:eastAsia="仿宋_GB2312"/>
          <w:bCs/>
          <w:color w:val="000000" w:themeColor="text1"/>
          <w:sz w:val="32"/>
          <w:szCs w:val="32"/>
        </w:rPr>
        <w:t>求职招聘活动，提供岗位近10万个</w:t>
      </w:r>
      <w:r>
        <w:rPr>
          <w:rFonts w:eastAsia="仿宋_GB2312"/>
          <w:color w:val="000000" w:themeColor="text1"/>
          <w:sz w:val="32"/>
          <w:szCs w:val="32"/>
        </w:rPr>
        <w:t>。精心编写《职慧百问——就业典型问题百问百答》，</w:t>
      </w:r>
      <w:r>
        <w:rPr>
          <w:rFonts w:hint="eastAsia" w:eastAsia="仿宋_GB2312"/>
          <w:color w:val="000000" w:themeColor="text1"/>
          <w:sz w:val="32"/>
          <w:szCs w:val="32"/>
        </w:rPr>
        <w:t>帮助提升服务对象就业创业能力及公共就业服务专业化、精细化水平，促进高质量充分就业服务落实落地，获</w:t>
      </w:r>
      <w:r>
        <w:rPr>
          <w:rFonts w:eastAsia="仿宋_GB2312"/>
          <w:color w:val="000000" w:themeColor="text1"/>
          <w:sz w:val="32"/>
          <w:szCs w:val="32"/>
        </w:rPr>
        <w:t>全国赛优秀就业服务成果“三等奖”。</w:t>
      </w:r>
    </w:p>
    <w:p>
      <w:pPr>
        <w:pBdr>
          <w:bottom w:val="single" w:color="FFFFFF" w:sz="4" w:space="14"/>
        </w:pBdr>
        <w:tabs>
          <w:tab w:val="left" w:pos="589"/>
          <w:tab w:val="left" w:pos="1440"/>
        </w:tabs>
        <w:overflowPunct w:val="0"/>
        <w:topLinePunct/>
        <w:adjustRightInd w:val="0"/>
        <w:snapToGrid w:val="0"/>
        <w:spacing w:line="560" w:lineRule="exact"/>
        <w:ind w:firstLine="640" w:firstLineChars="200"/>
        <w:rPr>
          <w:rFonts w:eastAsia="仿宋_GB2312"/>
          <w:color w:val="000000" w:themeColor="text1"/>
          <w:sz w:val="32"/>
          <w:szCs w:val="32"/>
        </w:rPr>
      </w:pPr>
      <w:r>
        <w:rPr>
          <w:rFonts w:eastAsia="楷体_GB2312"/>
          <w:color w:val="000000" w:themeColor="text1"/>
          <w:sz w:val="32"/>
          <w:szCs w:val="32"/>
        </w:rPr>
        <w:t>（三）健全依法行政制度体系</w:t>
      </w:r>
    </w:p>
    <w:p>
      <w:pPr>
        <w:pBdr>
          <w:bottom w:val="single" w:color="FFFFFF" w:sz="4" w:space="14"/>
        </w:pBdr>
        <w:tabs>
          <w:tab w:val="left" w:pos="589"/>
          <w:tab w:val="left" w:pos="1440"/>
        </w:tabs>
        <w:overflowPunct w:val="0"/>
        <w:topLinePunct/>
        <w:adjustRightInd w:val="0"/>
        <w:snapToGrid w:val="0"/>
        <w:spacing w:line="560" w:lineRule="exact"/>
        <w:ind w:firstLine="640" w:firstLineChars="200"/>
        <w:rPr>
          <w:rFonts w:eastAsia="仿宋_GB2312"/>
          <w:color w:val="000000" w:themeColor="text1"/>
          <w:sz w:val="32"/>
          <w:szCs w:val="32"/>
        </w:rPr>
      </w:pPr>
      <w:r>
        <w:rPr>
          <w:rFonts w:eastAsia="仿宋_GB2312"/>
          <w:color w:val="000000" w:themeColor="text1"/>
          <w:sz w:val="32"/>
          <w:szCs w:val="32"/>
        </w:rPr>
        <w:t>落实局党组议事规则、局长办公会议事规则和“三重一大”制度，坚持依法科学民主决策。继续聘请律师事务所担任常年法律顾问，为重要决策提供法律意见，参与行政争议案件办理、公平竞争审查、合同审核、疑难事项调处等工作。落实行政规范性文件制定和合法性审核工作要求，严格制发程序，强化审核职责，制发并备案规范性文件1件。</w:t>
      </w:r>
    </w:p>
    <w:p>
      <w:pPr>
        <w:pBdr>
          <w:bottom w:val="single" w:color="FFFFFF" w:sz="4" w:space="14"/>
        </w:pBdr>
        <w:tabs>
          <w:tab w:val="left" w:pos="589"/>
          <w:tab w:val="left" w:pos="1440"/>
        </w:tabs>
        <w:overflowPunct w:val="0"/>
        <w:topLinePunct/>
        <w:adjustRightInd w:val="0"/>
        <w:snapToGrid w:val="0"/>
        <w:spacing w:line="560" w:lineRule="exact"/>
        <w:ind w:firstLine="640" w:firstLineChars="200"/>
        <w:rPr>
          <w:rFonts w:eastAsia="仿宋_GB2312"/>
          <w:color w:val="000000" w:themeColor="text1"/>
          <w:sz w:val="32"/>
          <w:szCs w:val="32"/>
        </w:rPr>
      </w:pPr>
      <w:r>
        <w:rPr>
          <w:rFonts w:eastAsia="楷体_GB2312"/>
          <w:color w:val="000000" w:themeColor="text1"/>
          <w:sz w:val="32"/>
          <w:szCs w:val="32"/>
        </w:rPr>
        <w:t>（四）加强行政执法规范与效能建设</w:t>
      </w:r>
    </w:p>
    <w:p>
      <w:pPr>
        <w:pBdr>
          <w:bottom w:val="single" w:color="FFFFFF" w:sz="4" w:space="14"/>
        </w:pBdr>
        <w:tabs>
          <w:tab w:val="left" w:pos="589"/>
          <w:tab w:val="left" w:pos="1440"/>
        </w:tabs>
        <w:overflowPunct w:val="0"/>
        <w:topLinePunct/>
        <w:adjustRightInd w:val="0"/>
        <w:snapToGrid w:val="0"/>
        <w:spacing w:line="560" w:lineRule="exact"/>
        <w:ind w:firstLine="640" w:firstLineChars="200"/>
        <w:rPr>
          <w:rFonts w:eastAsia="仿宋_GB2312"/>
          <w:b w:val="0"/>
          <w:bCs/>
          <w:color w:val="000000" w:themeColor="text1"/>
          <w:sz w:val="32"/>
          <w:szCs w:val="32"/>
        </w:rPr>
      </w:pPr>
      <w:r>
        <w:rPr>
          <w:rFonts w:eastAsia="仿宋_GB2312"/>
          <w:b w:val="0"/>
          <w:bCs/>
          <w:color w:val="000000" w:themeColor="text1"/>
          <w:sz w:val="32"/>
          <w:szCs w:val="32"/>
        </w:rPr>
        <w:t>1.持续深化行政执法体制改革</w:t>
      </w:r>
    </w:p>
    <w:p>
      <w:pPr>
        <w:pBdr>
          <w:bottom w:val="single" w:color="FFFFFF" w:sz="4" w:space="14"/>
        </w:pBdr>
        <w:tabs>
          <w:tab w:val="left" w:pos="589"/>
          <w:tab w:val="left" w:pos="1440"/>
        </w:tabs>
        <w:overflowPunct w:val="0"/>
        <w:topLinePunct/>
        <w:adjustRightInd w:val="0"/>
        <w:snapToGrid w:val="0"/>
        <w:spacing w:line="560" w:lineRule="exact"/>
        <w:ind w:firstLine="640" w:firstLineChars="200"/>
        <w:rPr>
          <w:rFonts w:eastAsia="仿宋_GB2312"/>
          <w:color w:val="000000" w:themeColor="text1"/>
          <w:sz w:val="32"/>
          <w:szCs w:val="32"/>
        </w:rPr>
      </w:pPr>
      <w:r>
        <w:rPr>
          <w:rFonts w:eastAsia="仿宋_GB2312"/>
          <w:color w:val="000000" w:themeColor="text1"/>
          <w:sz w:val="32"/>
          <w:szCs w:val="32"/>
          <w:highlight w:val="none"/>
        </w:rPr>
        <w:t>坚持</w:t>
      </w:r>
      <w:r>
        <w:rPr>
          <w:rFonts w:hint="eastAsia" w:eastAsia="仿宋_GB2312"/>
          <w:color w:val="000000" w:themeColor="text1"/>
          <w:sz w:val="32"/>
          <w:szCs w:val="32"/>
          <w:highlight w:val="none"/>
          <w:lang w:val="en-US" w:eastAsia="zh-CN"/>
        </w:rPr>
        <w:t>和</w:t>
      </w:r>
      <w:r>
        <w:rPr>
          <w:rFonts w:eastAsia="仿宋_GB2312"/>
          <w:color w:val="000000" w:themeColor="text1"/>
          <w:sz w:val="32"/>
          <w:szCs w:val="32"/>
          <w:highlight w:val="none"/>
        </w:rPr>
        <w:t>加强党的全面领导为统领，</w:t>
      </w:r>
      <w:r>
        <w:rPr>
          <w:rFonts w:eastAsia="仿宋_GB2312"/>
          <w:color w:val="000000" w:themeColor="text1"/>
          <w:sz w:val="32"/>
          <w:szCs w:val="32"/>
        </w:rPr>
        <w:t>衔接有力、高效协同落实机构改革各项任务。依照“三定”规定谋划工作方向，持续优化组织架构，完善机构合并后职责权限、处置程序、监督管理等制度规定，打造可堪大用、能担重任的“和谐劳动关系尖兵”。持续推动行政执法部门“持证上岗”，为行业监管和行政执法协同配合、有效衔接提供队伍保障。2024年以来，9名干部参加行政执法资格考试并通过。</w:t>
      </w:r>
      <w:r>
        <w:rPr>
          <w:rFonts w:hint="eastAsia" w:eastAsia="仿宋_GB2312"/>
          <w:color w:val="000000" w:themeColor="text1"/>
          <w:sz w:val="32"/>
          <w:szCs w:val="32"/>
        </w:rPr>
        <w:t>通过持续推进开展“比武练兵”活动，使执法人员理论水平和业务能力显著提升。</w:t>
      </w:r>
    </w:p>
    <w:p>
      <w:pPr>
        <w:pBdr>
          <w:bottom w:val="single" w:color="FFFFFF" w:sz="4" w:space="14"/>
        </w:pBdr>
        <w:tabs>
          <w:tab w:val="left" w:pos="589"/>
          <w:tab w:val="left" w:pos="1440"/>
        </w:tabs>
        <w:overflowPunct w:val="0"/>
        <w:topLinePunct/>
        <w:adjustRightInd w:val="0"/>
        <w:snapToGrid w:val="0"/>
        <w:spacing w:line="560" w:lineRule="exact"/>
        <w:ind w:firstLine="640" w:firstLineChars="200"/>
        <w:rPr>
          <w:rFonts w:eastAsia="仿宋_GB2312"/>
          <w:b w:val="0"/>
          <w:bCs/>
          <w:color w:val="000000" w:themeColor="text1"/>
          <w:sz w:val="32"/>
          <w:szCs w:val="32"/>
        </w:rPr>
      </w:pPr>
      <w:r>
        <w:rPr>
          <w:rFonts w:eastAsia="仿宋_GB2312"/>
          <w:b w:val="0"/>
          <w:bCs/>
          <w:color w:val="000000" w:themeColor="text1"/>
          <w:sz w:val="32"/>
          <w:szCs w:val="32"/>
        </w:rPr>
        <w:t>2.深入推进严格规范公正文明执法</w:t>
      </w:r>
    </w:p>
    <w:p>
      <w:pPr>
        <w:pBdr>
          <w:bottom w:val="single" w:color="FFFFFF" w:sz="4" w:space="14"/>
        </w:pBdr>
        <w:tabs>
          <w:tab w:val="left" w:pos="589"/>
          <w:tab w:val="left" w:pos="1440"/>
        </w:tabs>
        <w:overflowPunct w:val="0"/>
        <w:topLinePunct/>
        <w:adjustRightInd w:val="0"/>
        <w:snapToGrid w:val="0"/>
        <w:spacing w:line="560" w:lineRule="exact"/>
        <w:ind w:firstLine="640" w:firstLineChars="200"/>
        <w:rPr>
          <w:rFonts w:eastAsia="仿宋_GB2312"/>
          <w:color w:val="000000" w:themeColor="text1"/>
          <w:sz w:val="32"/>
          <w:szCs w:val="32"/>
        </w:rPr>
      </w:pPr>
      <w:r>
        <w:rPr>
          <w:rFonts w:eastAsia="仿宋_GB2312"/>
          <w:color w:val="000000" w:themeColor="text1"/>
          <w:sz w:val="32"/>
          <w:szCs w:val="32"/>
        </w:rPr>
        <w:t>贯彻落实国务院、北京市关于开展提升行政执法质量三年行动的部署安排，严格落实行政执法标准规范，提升执法服务水平。严格落实行政裁量权基准制度，原文学习</w:t>
      </w:r>
      <w:bookmarkStart w:id="0" w:name="_GoBack"/>
      <w:r>
        <w:rPr>
          <w:rFonts w:eastAsia="仿宋_GB2312"/>
          <w:color w:val="000000" w:themeColor="text1"/>
          <w:sz w:val="32"/>
          <w:szCs w:val="32"/>
          <w:highlight w:val="none"/>
        </w:rPr>
        <w:t>《党的二十届三中全会</w:t>
      </w:r>
      <w:r>
        <w:rPr>
          <w:rFonts w:hint="eastAsia" w:eastAsia="仿宋_GB2312"/>
          <w:color w:val="000000" w:themeColor="text1"/>
          <w:sz w:val="32"/>
          <w:szCs w:val="32"/>
          <w:highlight w:val="none"/>
          <w:lang w:eastAsia="zh-CN"/>
        </w:rPr>
        <w:t>〈</w:t>
      </w:r>
      <w:r>
        <w:rPr>
          <w:rFonts w:eastAsia="仿宋_GB2312"/>
          <w:color w:val="000000" w:themeColor="text1"/>
          <w:sz w:val="32"/>
          <w:szCs w:val="32"/>
          <w:highlight w:val="none"/>
        </w:rPr>
        <w:t>决定</w:t>
      </w:r>
      <w:r>
        <w:rPr>
          <w:rFonts w:hint="eastAsia" w:eastAsia="仿宋_GB2312"/>
          <w:color w:val="000000" w:themeColor="text1"/>
          <w:sz w:val="32"/>
          <w:szCs w:val="32"/>
          <w:highlight w:val="none"/>
          <w:lang w:eastAsia="zh-CN"/>
        </w:rPr>
        <w:t>〉</w:t>
      </w:r>
      <w:r>
        <w:rPr>
          <w:rFonts w:eastAsia="仿宋_GB2312"/>
          <w:color w:val="000000" w:themeColor="text1"/>
          <w:sz w:val="32"/>
          <w:szCs w:val="32"/>
          <w:highlight w:val="none"/>
        </w:rPr>
        <w:t>学习辅导百问》</w:t>
      </w:r>
      <w:bookmarkEnd w:id="0"/>
      <w:r>
        <w:rPr>
          <w:rFonts w:eastAsia="仿宋_GB2312"/>
          <w:color w:val="000000" w:themeColor="text1"/>
          <w:sz w:val="32"/>
          <w:szCs w:val="32"/>
        </w:rPr>
        <w:t>关于“完善行政处罚等领域行政裁量权基准制度”相关内容，严格落实北京市人力资源社会保障行政裁量基准，细化量化执法尺度和标准，营造风清气正的执法环境。严肃规范</w:t>
      </w:r>
      <w:r>
        <w:rPr>
          <w:rFonts w:hint="eastAsia" w:eastAsia="仿宋_GB2312"/>
          <w:color w:val="000000" w:themeColor="text1"/>
          <w:sz w:val="32"/>
          <w:szCs w:val="32"/>
        </w:rPr>
        <w:t>行政</w:t>
      </w:r>
      <w:r>
        <w:rPr>
          <w:rFonts w:eastAsia="仿宋_GB2312"/>
          <w:color w:val="000000" w:themeColor="text1"/>
          <w:sz w:val="32"/>
          <w:szCs w:val="32"/>
        </w:rPr>
        <w:t>执法行为，加强行政处罚案卷日常评查，组织开展</w:t>
      </w:r>
      <w:r>
        <w:rPr>
          <w:rFonts w:hint="eastAsia" w:eastAsia="仿宋_GB2312"/>
          <w:color w:val="000000" w:themeColor="text1"/>
          <w:sz w:val="32"/>
          <w:szCs w:val="32"/>
        </w:rPr>
        <w:t>综合执法业务专项</w:t>
      </w:r>
      <w:r>
        <w:rPr>
          <w:rFonts w:eastAsia="仿宋_GB2312"/>
          <w:color w:val="000000" w:themeColor="text1"/>
          <w:sz w:val="32"/>
          <w:szCs w:val="32"/>
        </w:rPr>
        <w:t>培训，专题讲解行政处罚案卷评查实务</w:t>
      </w:r>
      <w:r>
        <w:rPr>
          <w:rFonts w:hint="eastAsia" w:eastAsia="仿宋_GB2312"/>
          <w:color w:val="000000" w:themeColor="text1"/>
          <w:sz w:val="32"/>
          <w:szCs w:val="32"/>
        </w:rPr>
        <w:t>，</w:t>
      </w:r>
      <w:r>
        <w:rPr>
          <w:rFonts w:eastAsia="仿宋_GB2312"/>
          <w:color w:val="000000" w:themeColor="text1"/>
          <w:sz w:val="32"/>
          <w:szCs w:val="32"/>
        </w:rPr>
        <w:t>切实提升</w:t>
      </w:r>
      <w:r>
        <w:rPr>
          <w:rFonts w:hint="eastAsia" w:eastAsia="仿宋_GB2312"/>
          <w:color w:val="000000" w:themeColor="text1"/>
          <w:sz w:val="32"/>
          <w:szCs w:val="32"/>
        </w:rPr>
        <w:t>依法办案</w:t>
      </w:r>
      <w:r>
        <w:rPr>
          <w:rFonts w:eastAsia="仿宋_GB2312"/>
          <w:color w:val="000000" w:themeColor="text1"/>
          <w:sz w:val="32"/>
          <w:szCs w:val="32"/>
        </w:rPr>
        <w:t>能力和规范执法水平。落实行政执法公示制度，及时更新行政执法基本信息，定期公示</w:t>
      </w:r>
      <w:r>
        <w:rPr>
          <w:rFonts w:hint="eastAsia" w:eastAsia="仿宋_GB2312"/>
          <w:color w:val="000000" w:themeColor="text1"/>
          <w:sz w:val="32"/>
          <w:szCs w:val="32"/>
        </w:rPr>
        <w:t>行政</w:t>
      </w:r>
      <w:r>
        <w:rPr>
          <w:rFonts w:eastAsia="仿宋_GB2312"/>
          <w:color w:val="000000" w:themeColor="text1"/>
          <w:sz w:val="32"/>
          <w:szCs w:val="32"/>
        </w:rPr>
        <w:t>执法检查计划、检查结果、统计年报，</w:t>
      </w:r>
      <w:r>
        <w:rPr>
          <w:rFonts w:hint="eastAsia" w:eastAsia="仿宋_GB2312"/>
          <w:color w:val="000000" w:themeColor="text1"/>
          <w:sz w:val="32"/>
          <w:szCs w:val="32"/>
        </w:rPr>
        <w:t>全年</w:t>
      </w:r>
      <w:r>
        <w:rPr>
          <w:rFonts w:eastAsia="仿宋_GB2312"/>
          <w:color w:val="000000" w:themeColor="text1"/>
          <w:sz w:val="32"/>
          <w:szCs w:val="32"/>
        </w:rPr>
        <w:t>公示</w:t>
      </w:r>
      <w:r>
        <w:rPr>
          <w:rFonts w:hint="eastAsia" w:eastAsia="仿宋_GB2312"/>
          <w:color w:val="000000" w:themeColor="text1"/>
          <w:sz w:val="32"/>
          <w:szCs w:val="32"/>
        </w:rPr>
        <w:t>行政执法信息17条</w:t>
      </w:r>
      <w:r>
        <w:rPr>
          <w:rFonts w:eastAsia="仿宋_GB2312"/>
          <w:color w:val="000000" w:themeColor="text1"/>
          <w:sz w:val="32"/>
          <w:szCs w:val="32"/>
        </w:rPr>
        <w:t>，</w:t>
      </w:r>
      <w:r>
        <w:rPr>
          <w:rFonts w:hint="eastAsia" w:eastAsia="仿宋_GB2312"/>
          <w:color w:val="000000" w:themeColor="text1"/>
          <w:sz w:val="32"/>
          <w:szCs w:val="32"/>
        </w:rPr>
        <w:t>促进</w:t>
      </w:r>
      <w:r>
        <w:rPr>
          <w:rFonts w:eastAsia="仿宋_GB2312"/>
          <w:color w:val="000000" w:themeColor="text1"/>
          <w:sz w:val="32"/>
          <w:szCs w:val="32"/>
        </w:rPr>
        <w:t>行政执法在阳光下进行。</w:t>
      </w:r>
      <w:r>
        <w:rPr>
          <w:rFonts w:hint="eastAsia" w:eastAsia="仿宋_GB2312"/>
          <w:color w:val="000000" w:themeColor="text1"/>
          <w:sz w:val="32"/>
          <w:szCs w:val="32"/>
        </w:rPr>
        <w:t>强化行政执法监督，开展年度行政处罚案卷自评工作，对照行政处罚案卷标准和评分细则，持续提升行政处罚案卷质量。</w:t>
      </w:r>
    </w:p>
    <w:p>
      <w:pPr>
        <w:pBdr>
          <w:bottom w:val="single" w:color="FFFFFF" w:sz="4" w:space="14"/>
        </w:pBdr>
        <w:tabs>
          <w:tab w:val="left" w:pos="589"/>
          <w:tab w:val="left" w:pos="1440"/>
        </w:tabs>
        <w:overflowPunct w:val="0"/>
        <w:topLinePunct/>
        <w:adjustRightInd w:val="0"/>
        <w:snapToGrid w:val="0"/>
        <w:spacing w:line="560" w:lineRule="exact"/>
        <w:ind w:firstLine="640" w:firstLineChars="200"/>
        <w:rPr>
          <w:rFonts w:eastAsia="仿宋_GB2312"/>
          <w:color w:val="000000" w:themeColor="text1"/>
          <w:sz w:val="32"/>
          <w:szCs w:val="32"/>
        </w:rPr>
      </w:pPr>
      <w:r>
        <w:rPr>
          <w:rFonts w:eastAsia="楷体_GB2312"/>
          <w:color w:val="000000" w:themeColor="text1"/>
          <w:sz w:val="32"/>
          <w:szCs w:val="32"/>
        </w:rPr>
        <w:t>（五）完善突发事件应对制度机制</w:t>
      </w:r>
    </w:p>
    <w:p>
      <w:pPr>
        <w:pBdr>
          <w:bottom w:val="single" w:color="FFFFFF" w:sz="4" w:space="14"/>
        </w:pBdr>
        <w:overflowPunct w:val="0"/>
        <w:topLinePunct/>
        <w:adjustRightInd w:val="0"/>
        <w:snapToGrid w:val="0"/>
        <w:spacing w:line="560" w:lineRule="exact"/>
        <w:ind w:firstLine="640" w:firstLineChars="200"/>
        <w:rPr>
          <w:rFonts w:eastAsia="仿宋_GB2312"/>
          <w:color w:val="000000" w:themeColor="text1"/>
          <w:sz w:val="32"/>
          <w:szCs w:val="32"/>
        </w:rPr>
      </w:pPr>
      <w:r>
        <w:rPr>
          <w:rFonts w:eastAsia="仿宋_GB2312"/>
          <w:color w:val="000000" w:themeColor="text1"/>
          <w:sz w:val="32"/>
          <w:szCs w:val="32"/>
        </w:rPr>
        <w:t>健全完善应急管理制度体系，修订《东城区人力资源和社会保障局政务值班管理规定》，落实《北京市突发事件应对条例》等文件精神，持续完善应急预案体系，落实部门响应手册等预案支撑性文件，并做好应急演练，推动应急处突能力不断提高。</w:t>
      </w:r>
    </w:p>
    <w:p>
      <w:pPr>
        <w:pBdr>
          <w:bottom w:val="single" w:color="FFFFFF" w:sz="4" w:space="14"/>
        </w:pBdr>
        <w:tabs>
          <w:tab w:val="left" w:pos="589"/>
          <w:tab w:val="left" w:pos="1440"/>
        </w:tabs>
        <w:overflowPunct w:val="0"/>
        <w:topLinePunct/>
        <w:adjustRightInd w:val="0"/>
        <w:snapToGrid w:val="0"/>
        <w:spacing w:line="560" w:lineRule="exact"/>
        <w:ind w:firstLine="640" w:firstLineChars="200"/>
        <w:rPr>
          <w:rFonts w:eastAsia="仿宋_GB2312"/>
          <w:color w:val="000000" w:themeColor="text1"/>
          <w:sz w:val="32"/>
          <w:szCs w:val="32"/>
        </w:rPr>
      </w:pPr>
      <w:r>
        <w:rPr>
          <w:rFonts w:eastAsia="楷体_GB2312"/>
          <w:color w:val="000000" w:themeColor="text1"/>
          <w:sz w:val="32"/>
          <w:szCs w:val="32"/>
        </w:rPr>
        <w:t>（六）强化内外监督工作合力</w:t>
      </w:r>
    </w:p>
    <w:p>
      <w:pPr>
        <w:pBdr>
          <w:bottom w:val="single" w:color="FFFFFF" w:sz="4" w:space="14"/>
        </w:pBdr>
        <w:tabs>
          <w:tab w:val="left" w:pos="589"/>
          <w:tab w:val="left" w:pos="1440"/>
        </w:tabs>
        <w:overflowPunct w:val="0"/>
        <w:topLinePunct/>
        <w:adjustRightInd w:val="0"/>
        <w:snapToGrid w:val="0"/>
        <w:spacing w:line="560" w:lineRule="exact"/>
        <w:ind w:firstLine="640" w:firstLineChars="200"/>
        <w:rPr>
          <w:rFonts w:eastAsia="仿宋_GB2312"/>
          <w:b w:val="0"/>
          <w:bCs/>
          <w:color w:val="000000" w:themeColor="text1"/>
          <w:sz w:val="32"/>
          <w:szCs w:val="32"/>
        </w:rPr>
      </w:pPr>
      <w:r>
        <w:rPr>
          <w:rFonts w:eastAsia="仿宋_GB2312"/>
          <w:b w:val="0"/>
          <w:bCs/>
          <w:color w:val="000000" w:themeColor="text1"/>
          <w:sz w:val="32"/>
          <w:szCs w:val="32"/>
        </w:rPr>
        <w:t>1.主动接受人大监督和政协民主监督</w:t>
      </w:r>
    </w:p>
    <w:p>
      <w:pPr>
        <w:pBdr>
          <w:bottom w:val="single" w:color="FFFFFF" w:sz="4" w:space="14"/>
        </w:pBdr>
        <w:tabs>
          <w:tab w:val="left" w:pos="589"/>
          <w:tab w:val="left" w:pos="1440"/>
        </w:tabs>
        <w:overflowPunct w:val="0"/>
        <w:topLinePunct/>
        <w:adjustRightInd w:val="0"/>
        <w:snapToGrid w:val="0"/>
        <w:spacing w:line="560" w:lineRule="exact"/>
        <w:ind w:firstLine="640" w:firstLineChars="200"/>
        <w:rPr>
          <w:rFonts w:eastAsia="仿宋_GB2312"/>
          <w:color w:val="000000" w:themeColor="text1"/>
          <w:sz w:val="32"/>
          <w:szCs w:val="32"/>
        </w:rPr>
      </w:pPr>
      <w:r>
        <w:rPr>
          <w:rFonts w:eastAsia="仿宋_GB2312"/>
          <w:color w:val="000000" w:themeColor="text1"/>
          <w:sz w:val="32"/>
          <w:szCs w:val="32"/>
        </w:rPr>
        <w:t>严格落实代表建议、政协提案办理制度，高质量办理议案建议提案。受领人大代表建议、政协委员提案、党派（团体）提案办理任务后，局领导班子高度重视，及时召开办公会议，研究办理方案，明确目标责任，全面落实办前沟通情况、办中征求意见、办后反馈结果的“三沟通、三见面”制度，与代表委员面商率均达到100%。我局承办的22件会办建议、4件主办提案，得到政协委员“非常满意”答复意见，满意率达100%。</w:t>
      </w:r>
    </w:p>
    <w:p>
      <w:pPr>
        <w:pBdr>
          <w:bottom w:val="single" w:color="FFFFFF" w:sz="4" w:space="14"/>
        </w:pBdr>
        <w:tabs>
          <w:tab w:val="left" w:pos="589"/>
          <w:tab w:val="left" w:pos="1440"/>
        </w:tabs>
        <w:overflowPunct w:val="0"/>
        <w:topLinePunct/>
        <w:adjustRightInd w:val="0"/>
        <w:snapToGrid w:val="0"/>
        <w:spacing w:line="560" w:lineRule="exact"/>
        <w:ind w:firstLine="640" w:firstLineChars="200"/>
        <w:rPr>
          <w:rFonts w:eastAsia="仿宋_GB2312"/>
          <w:b w:val="0"/>
          <w:bCs/>
          <w:color w:val="000000" w:themeColor="text1"/>
          <w:sz w:val="32"/>
          <w:szCs w:val="32"/>
        </w:rPr>
      </w:pPr>
      <w:r>
        <w:rPr>
          <w:rFonts w:eastAsia="仿宋_GB2312"/>
          <w:b w:val="0"/>
          <w:bCs/>
          <w:color w:val="000000" w:themeColor="text1"/>
          <w:sz w:val="32"/>
          <w:szCs w:val="32"/>
        </w:rPr>
        <w:t>2.加强财政监督</w:t>
      </w:r>
    </w:p>
    <w:p>
      <w:pPr>
        <w:pBdr>
          <w:bottom w:val="single" w:color="FFFFFF" w:sz="4" w:space="14"/>
        </w:pBdr>
        <w:tabs>
          <w:tab w:val="left" w:pos="589"/>
          <w:tab w:val="left" w:pos="1440"/>
        </w:tabs>
        <w:overflowPunct w:val="0"/>
        <w:topLinePunct/>
        <w:adjustRightInd w:val="0"/>
        <w:snapToGrid w:val="0"/>
        <w:spacing w:line="560" w:lineRule="exact"/>
        <w:ind w:firstLine="640" w:firstLineChars="200"/>
        <w:rPr>
          <w:rFonts w:eastAsia="仿宋_GB2312"/>
          <w:color w:val="000000" w:themeColor="text1"/>
          <w:sz w:val="32"/>
          <w:szCs w:val="32"/>
        </w:rPr>
      </w:pPr>
      <w:r>
        <w:rPr>
          <w:rFonts w:eastAsia="仿宋_GB2312"/>
          <w:color w:val="000000" w:themeColor="text1"/>
          <w:sz w:val="32"/>
          <w:szCs w:val="32"/>
        </w:rPr>
        <w:t>明确执行重点，强化预算统筹。一季度召开财务工作会，从源头出发，对一般性支出实行统一管理；优化资源配置，改善经费支出结构，提升财政资金使用效能。加强运行监控，助力绩效目标实现。对项目支出预算执行按“日”统计、按“月”公示、按“季”跟踪，规范项目管理工作流程，提升预算执行效率。加强项目支出绩效管理，提升财政资金使用效能，研究制定《2024年度项目支出绩效评价工作方案》并实施绩效评价工作，实现预算绩效管理体系全方位、全过程、全覆盖、全成本、多主体联动。</w:t>
      </w:r>
    </w:p>
    <w:p>
      <w:pPr>
        <w:pBdr>
          <w:bottom w:val="single" w:color="FFFFFF" w:sz="4" w:space="14"/>
        </w:pBdr>
        <w:tabs>
          <w:tab w:val="left" w:pos="589"/>
          <w:tab w:val="left" w:pos="1440"/>
        </w:tabs>
        <w:overflowPunct w:val="0"/>
        <w:topLinePunct/>
        <w:adjustRightInd w:val="0"/>
        <w:snapToGrid w:val="0"/>
        <w:spacing w:line="560" w:lineRule="exact"/>
        <w:ind w:firstLine="640" w:firstLineChars="200"/>
        <w:rPr>
          <w:rFonts w:eastAsia="仿宋_GB2312"/>
          <w:b w:val="0"/>
          <w:bCs/>
          <w:color w:val="000000" w:themeColor="text1"/>
          <w:sz w:val="32"/>
          <w:szCs w:val="32"/>
        </w:rPr>
      </w:pPr>
      <w:r>
        <w:rPr>
          <w:rFonts w:eastAsia="仿宋_GB2312"/>
          <w:b w:val="0"/>
          <w:bCs/>
          <w:color w:val="000000" w:themeColor="text1"/>
          <w:sz w:val="32"/>
          <w:szCs w:val="32"/>
        </w:rPr>
        <w:t>3.深化政府信息和政务公开</w:t>
      </w:r>
    </w:p>
    <w:p>
      <w:pPr>
        <w:pBdr>
          <w:bottom w:val="single" w:color="FFFFFF" w:sz="4" w:space="14"/>
        </w:pBdr>
        <w:overflowPunct w:val="0"/>
        <w:topLinePunct/>
        <w:adjustRightInd w:val="0"/>
        <w:snapToGrid w:val="0"/>
        <w:spacing w:line="560" w:lineRule="exact"/>
        <w:ind w:firstLine="640" w:firstLineChars="200"/>
        <w:rPr>
          <w:rFonts w:eastAsia="仿宋_GB2312"/>
          <w:color w:val="000000" w:themeColor="text1"/>
          <w:sz w:val="32"/>
          <w:szCs w:val="32"/>
        </w:rPr>
      </w:pPr>
      <w:r>
        <w:rPr>
          <w:rFonts w:eastAsia="仿宋_GB2312"/>
          <w:color w:val="000000" w:themeColor="text1"/>
          <w:sz w:val="32"/>
          <w:szCs w:val="32"/>
        </w:rPr>
        <w:t>全年通过数字东城网站主动公开政府信息165条次，通过政务微博发布信息189条次、微信公众号发送信息1191条。办理政府信息公开申请46件，均在法定时限内给予答复。</w:t>
      </w:r>
    </w:p>
    <w:p>
      <w:pPr>
        <w:pBdr>
          <w:bottom w:val="single" w:color="FFFFFF" w:sz="4" w:space="14"/>
        </w:pBdr>
        <w:tabs>
          <w:tab w:val="left" w:pos="589"/>
          <w:tab w:val="left" w:pos="1440"/>
        </w:tabs>
        <w:overflowPunct w:val="0"/>
        <w:topLinePunct/>
        <w:adjustRightInd w:val="0"/>
        <w:snapToGrid w:val="0"/>
        <w:spacing w:line="560" w:lineRule="exact"/>
        <w:ind w:firstLine="640" w:firstLineChars="200"/>
        <w:rPr>
          <w:rFonts w:eastAsia="仿宋_GB2312"/>
          <w:b w:val="0"/>
          <w:bCs/>
          <w:color w:val="000000" w:themeColor="text1"/>
          <w:sz w:val="32"/>
          <w:szCs w:val="32"/>
        </w:rPr>
      </w:pPr>
      <w:r>
        <w:rPr>
          <w:rFonts w:eastAsia="仿宋_GB2312"/>
          <w:b w:val="0"/>
          <w:bCs/>
          <w:color w:val="000000" w:themeColor="text1"/>
          <w:sz w:val="32"/>
          <w:szCs w:val="32"/>
        </w:rPr>
        <w:t>4.自觉接受司法和纪检监察监督</w:t>
      </w:r>
    </w:p>
    <w:p>
      <w:pPr>
        <w:pBdr>
          <w:bottom w:val="single" w:color="FFFFFF" w:sz="4" w:space="14"/>
        </w:pBdr>
        <w:tabs>
          <w:tab w:val="left" w:pos="589"/>
          <w:tab w:val="left" w:pos="1440"/>
        </w:tabs>
        <w:overflowPunct w:val="0"/>
        <w:topLinePunct/>
        <w:adjustRightInd w:val="0"/>
        <w:snapToGrid w:val="0"/>
        <w:spacing w:line="560" w:lineRule="exact"/>
        <w:ind w:firstLine="640" w:firstLineChars="200"/>
        <w:rPr>
          <w:rFonts w:eastAsia="仿宋_GB2312"/>
          <w:color w:val="000000" w:themeColor="text1"/>
          <w:sz w:val="32"/>
          <w:szCs w:val="32"/>
        </w:rPr>
      </w:pPr>
      <w:r>
        <w:rPr>
          <w:rFonts w:eastAsia="仿宋_GB2312"/>
          <w:color w:val="000000" w:themeColor="text1"/>
          <w:sz w:val="32"/>
          <w:szCs w:val="32"/>
        </w:rPr>
        <w:t>支持法院依法受理和审理行政</w:t>
      </w:r>
      <w:r>
        <w:rPr>
          <w:rFonts w:hint="eastAsia" w:eastAsia="仿宋_GB2312"/>
          <w:color w:val="000000" w:themeColor="text1"/>
          <w:sz w:val="32"/>
          <w:szCs w:val="32"/>
        </w:rPr>
        <w:t>争议</w:t>
      </w:r>
      <w:r>
        <w:rPr>
          <w:rFonts w:eastAsia="仿宋_GB2312"/>
          <w:color w:val="000000" w:themeColor="text1"/>
          <w:sz w:val="32"/>
          <w:szCs w:val="32"/>
        </w:rPr>
        <w:t>案件，强化“关键少数”引领作用，行政机关负责人出庭应诉12次。尊重并执行法院生效裁判，认真落实司法建议。支持和配合检察机关开展行政诉讼监督1件。自觉接受、配合纪检监察机关开展监督工作。</w:t>
      </w:r>
    </w:p>
    <w:p>
      <w:pPr>
        <w:pBdr>
          <w:bottom w:val="single" w:color="FFFFFF" w:sz="4" w:space="14"/>
        </w:pBdr>
        <w:tabs>
          <w:tab w:val="left" w:pos="589"/>
          <w:tab w:val="left" w:pos="1440"/>
        </w:tabs>
        <w:overflowPunct w:val="0"/>
        <w:topLinePunct/>
        <w:adjustRightInd w:val="0"/>
        <w:snapToGrid w:val="0"/>
        <w:spacing w:line="560" w:lineRule="exact"/>
        <w:ind w:firstLine="640" w:firstLineChars="200"/>
        <w:rPr>
          <w:rFonts w:eastAsia="楷体_GB2312"/>
          <w:color w:val="000000" w:themeColor="text1"/>
          <w:sz w:val="32"/>
          <w:szCs w:val="32"/>
        </w:rPr>
      </w:pPr>
      <w:r>
        <w:rPr>
          <w:rFonts w:eastAsia="楷体_GB2312"/>
          <w:color w:val="000000" w:themeColor="text1"/>
          <w:sz w:val="32"/>
          <w:szCs w:val="32"/>
        </w:rPr>
        <w:t>（七）健全矛盾纠纷行政预防化解体系</w:t>
      </w:r>
    </w:p>
    <w:p>
      <w:pPr>
        <w:pBdr>
          <w:bottom w:val="single" w:color="FFFFFF" w:sz="4" w:space="14"/>
        </w:pBdr>
        <w:tabs>
          <w:tab w:val="left" w:pos="589"/>
          <w:tab w:val="left" w:pos="1440"/>
        </w:tabs>
        <w:overflowPunct w:val="0"/>
        <w:topLinePunct/>
        <w:adjustRightInd w:val="0"/>
        <w:snapToGrid w:val="0"/>
        <w:spacing w:line="560" w:lineRule="exact"/>
        <w:ind w:firstLine="640" w:firstLineChars="200"/>
        <w:rPr>
          <w:rFonts w:eastAsia="仿宋_GB2312"/>
          <w:b w:val="0"/>
          <w:bCs/>
          <w:color w:val="000000" w:themeColor="text1"/>
          <w:sz w:val="32"/>
          <w:szCs w:val="32"/>
        </w:rPr>
      </w:pPr>
      <w:r>
        <w:rPr>
          <w:rFonts w:eastAsia="仿宋_GB2312"/>
          <w:b w:val="0"/>
          <w:bCs/>
          <w:color w:val="000000" w:themeColor="text1"/>
          <w:sz w:val="32"/>
          <w:szCs w:val="32"/>
        </w:rPr>
        <w:t>1.全面贯彻实施新修订的行政复议法</w:t>
      </w:r>
    </w:p>
    <w:p>
      <w:pPr>
        <w:pBdr>
          <w:bottom w:val="single" w:color="FFFFFF" w:sz="4" w:space="14"/>
        </w:pBdr>
        <w:tabs>
          <w:tab w:val="left" w:pos="589"/>
          <w:tab w:val="left" w:pos="1440"/>
        </w:tabs>
        <w:overflowPunct w:val="0"/>
        <w:topLinePunct/>
        <w:adjustRightInd w:val="0"/>
        <w:snapToGrid w:val="0"/>
        <w:spacing w:line="560" w:lineRule="exact"/>
        <w:ind w:firstLine="640" w:firstLineChars="200"/>
        <w:rPr>
          <w:rFonts w:eastAsia="仿宋_GB2312"/>
          <w:color w:val="000000" w:themeColor="text1"/>
          <w:sz w:val="32"/>
          <w:szCs w:val="32"/>
        </w:rPr>
      </w:pPr>
      <w:r>
        <w:rPr>
          <w:rFonts w:eastAsia="仿宋_GB2312"/>
          <w:color w:val="000000" w:themeColor="text1"/>
          <w:sz w:val="32"/>
          <w:szCs w:val="32"/>
        </w:rPr>
        <w:t>局长办公会会前专题学习《中华人民共和国行政复议法》，邀请</w:t>
      </w:r>
      <w:r>
        <w:rPr>
          <w:rFonts w:hint="eastAsia" w:eastAsia="仿宋_GB2312"/>
          <w:color w:val="000000" w:themeColor="text1"/>
          <w:sz w:val="32"/>
          <w:szCs w:val="32"/>
        </w:rPr>
        <w:t>专家</w:t>
      </w:r>
      <w:r>
        <w:rPr>
          <w:rFonts w:eastAsia="仿宋_GB2312"/>
          <w:color w:val="000000" w:themeColor="text1"/>
          <w:sz w:val="32"/>
          <w:szCs w:val="32"/>
        </w:rPr>
        <w:t>到我局授课，从修订背景、意义和特色亮点等方面进行讲解，为我局今后实质性化解行政争议、更好落实依法行政提出了工作建议。开展全局针对《中华人民共和国行政复议法》的学习，引导全体干部充分认识行政复议化解行政争议主渠道作用，树牢依法行政的意识，提升运用法治思维和法治方式解决各种矛盾问题的能力。配合复议机关推进复议案前和解、案中调解工作，加强对行政争议的实质性化解。</w:t>
      </w:r>
    </w:p>
    <w:p>
      <w:pPr>
        <w:pBdr>
          <w:bottom w:val="single" w:color="FFFFFF" w:sz="4" w:space="14"/>
        </w:pBdr>
        <w:tabs>
          <w:tab w:val="left" w:pos="589"/>
          <w:tab w:val="left" w:pos="1440"/>
        </w:tabs>
        <w:overflowPunct w:val="0"/>
        <w:topLinePunct/>
        <w:adjustRightInd w:val="0"/>
        <w:snapToGrid w:val="0"/>
        <w:spacing w:line="560" w:lineRule="exact"/>
        <w:ind w:firstLine="640" w:firstLineChars="200"/>
        <w:rPr>
          <w:rFonts w:eastAsia="仿宋_GB2312"/>
          <w:b w:val="0"/>
          <w:bCs/>
          <w:color w:val="000000" w:themeColor="text1"/>
          <w:sz w:val="32"/>
          <w:szCs w:val="32"/>
        </w:rPr>
      </w:pPr>
      <w:r>
        <w:rPr>
          <w:rFonts w:eastAsia="仿宋_GB2312"/>
          <w:b w:val="0"/>
          <w:bCs/>
          <w:color w:val="000000" w:themeColor="text1"/>
          <w:sz w:val="32"/>
          <w:szCs w:val="32"/>
        </w:rPr>
        <w:t>2.深入推进信访工作法治化</w:t>
      </w:r>
    </w:p>
    <w:p>
      <w:pPr>
        <w:pBdr>
          <w:bottom w:val="single" w:color="FFFFFF" w:sz="4" w:space="14"/>
        </w:pBdr>
        <w:tabs>
          <w:tab w:val="left" w:pos="589"/>
          <w:tab w:val="left" w:pos="1440"/>
        </w:tabs>
        <w:overflowPunct w:val="0"/>
        <w:topLinePunct/>
        <w:adjustRightInd w:val="0"/>
        <w:snapToGrid w:val="0"/>
        <w:spacing w:line="560" w:lineRule="exact"/>
        <w:ind w:firstLine="640" w:firstLineChars="200"/>
        <w:rPr>
          <w:rFonts w:eastAsia="仿宋_GB2312"/>
          <w:color w:val="000000" w:themeColor="text1"/>
          <w:sz w:val="32"/>
          <w:szCs w:val="32"/>
        </w:rPr>
      </w:pPr>
      <w:r>
        <w:rPr>
          <w:rFonts w:eastAsia="仿宋_GB2312"/>
          <w:color w:val="000000" w:themeColor="text1"/>
          <w:sz w:val="32"/>
          <w:szCs w:val="32"/>
        </w:rPr>
        <w:t>加强矛盾纠纷排查化解，落实常态化信访矛盾排查化解工作措施，重点做好重要时期、重点时间节点矛盾隐患排查化解工作，确保全面排查，不留死角，切实做好信访矛盾源头治理。按照《信访工作条例》规定，落实依法分类处理群众信访诉求，对信访人反映的事实和诉求进行认真分析、甄别，做到分清性质、明确管辖、精准转送、及时督办，将“三到位一处理”要求落到实处，持续维护良好的信访工作秩序。全年未发生过超期办理的情况，及时受理率和按时答复率均保持在100%</w:t>
      </w:r>
      <w:r>
        <w:rPr>
          <w:rFonts w:hint="eastAsia" w:eastAsia="仿宋_GB2312"/>
          <w:color w:val="000000" w:themeColor="text1"/>
          <w:sz w:val="32"/>
          <w:szCs w:val="32"/>
        </w:rPr>
        <w:t>，案件办理水平不断提升。</w:t>
      </w:r>
    </w:p>
    <w:p>
      <w:pPr>
        <w:pBdr>
          <w:bottom w:val="single" w:color="FFFFFF" w:sz="4" w:space="14"/>
        </w:pBdr>
        <w:tabs>
          <w:tab w:val="left" w:pos="589"/>
          <w:tab w:val="left" w:pos="1440"/>
        </w:tabs>
        <w:overflowPunct w:val="0"/>
        <w:topLinePunct/>
        <w:adjustRightInd w:val="0"/>
        <w:snapToGrid w:val="0"/>
        <w:spacing w:line="560" w:lineRule="exact"/>
        <w:ind w:firstLine="640" w:firstLineChars="200"/>
        <w:rPr>
          <w:rFonts w:eastAsia="仿宋_GB2312"/>
          <w:b w:val="0"/>
          <w:bCs/>
          <w:color w:val="000000" w:themeColor="text1"/>
          <w:sz w:val="32"/>
          <w:szCs w:val="32"/>
        </w:rPr>
      </w:pPr>
      <w:r>
        <w:rPr>
          <w:rFonts w:eastAsia="仿宋_GB2312"/>
          <w:b w:val="0"/>
          <w:bCs/>
          <w:color w:val="000000" w:themeColor="text1"/>
          <w:sz w:val="32"/>
          <w:szCs w:val="32"/>
        </w:rPr>
        <w:t>3.完善多元纠纷化解体系</w:t>
      </w:r>
    </w:p>
    <w:p>
      <w:pPr>
        <w:pBdr>
          <w:bottom w:val="single" w:color="FFFFFF" w:sz="4" w:space="14"/>
        </w:pBdr>
        <w:tabs>
          <w:tab w:val="left" w:pos="589"/>
          <w:tab w:val="left" w:pos="1440"/>
        </w:tabs>
        <w:overflowPunct w:val="0"/>
        <w:topLinePunct/>
        <w:adjustRightInd w:val="0"/>
        <w:snapToGrid w:val="0"/>
        <w:spacing w:line="560" w:lineRule="exact"/>
        <w:ind w:firstLine="640" w:firstLineChars="200"/>
        <w:rPr>
          <w:rFonts w:eastAsia="仿宋_GB2312"/>
          <w:color w:val="000000" w:themeColor="text1"/>
          <w:sz w:val="32"/>
          <w:szCs w:val="32"/>
        </w:rPr>
      </w:pPr>
      <w:r>
        <w:rPr>
          <w:rFonts w:eastAsia="仿宋_GB2312"/>
          <w:color w:val="000000" w:themeColor="text1"/>
          <w:sz w:val="32"/>
          <w:szCs w:val="32"/>
        </w:rPr>
        <w:t>成立劳动人事争议“一站式”调解中心，破解劳动者“维权难”问题。争取区法院、司法局等多方支持，以劳动争议化解为核心，设立工会调解、诉前调解、法律援助等多元化服务窗口，设置“法官工作站”与“苏宁劳模调解室”两大专业调解区域，并配备22名专职调解员轮班值守，通过“诉前调解+审查确认”“网上立案+速裁判决”“市场监管+行政执法”等模式，实现劳动纠纷的“一站式接待、一条龙服务、一揽子解决”，为化解劳动争议提供高效率、低成本、可执行的解决方案。</w:t>
      </w:r>
    </w:p>
    <w:p>
      <w:pPr>
        <w:pBdr>
          <w:bottom w:val="single" w:color="FFFFFF" w:sz="4" w:space="14"/>
        </w:pBdr>
        <w:tabs>
          <w:tab w:val="left" w:pos="589"/>
          <w:tab w:val="left" w:pos="1440"/>
        </w:tabs>
        <w:overflowPunct w:val="0"/>
        <w:topLinePunct/>
        <w:adjustRightInd w:val="0"/>
        <w:snapToGrid w:val="0"/>
        <w:spacing w:line="560" w:lineRule="exact"/>
        <w:ind w:firstLine="640" w:firstLineChars="200"/>
        <w:rPr>
          <w:rFonts w:eastAsia="黑体"/>
          <w:color w:val="000000" w:themeColor="text1"/>
          <w:kern w:val="0"/>
          <w:sz w:val="32"/>
          <w:szCs w:val="32"/>
        </w:rPr>
      </w:pPr>
      <w:r>
        <w:rPr>
          <w:rFonts w:eastAsia="黑体"/>
          <w:color w:val="000000" w:themeColor="text1"/>
          <w:kern w:val="0"/>
          <w:sz w:val="32"/>
          <w:szCs w:val="32"/>
        </w:rPr>
        <w:t>二、2024年推进法治政府建设存在的不足和原因</w:t>
      </w:r>
    </w:p>
    <w:p>
      <w:pPr>
        <w:pBdr>
          <w:bottom w:val="single" w:color="FFFFFF" w:sz="4" w:space="14"/>
        </w:pBdr>
        <w:tabs>
          <w:tab w:val="left" w:pos="589"/>
          <w:tab w:val="left" w:pos="1440"/>
        </w:tabs>
        <w:overflowPunct w:val="0"/>
        <w:topLinePunct/>
        <w:adjustRightInd w:val="0"/>
        <w:snapToGrid w:val="0"/>
        <w:spacing w:line="560" w:lineRule="exact"/>
        <w:ind w:firstLine="640" w:firstLineChars="200"/>
        <w:rPr>
          <w:rFonts w:eastAsia="仿宋_GB2312"/>
          <w:color w:val="000000" w:themeColor="text1"/>
          <w:sz w:val="32"/>
          <w:szCs w:val="32"/>
        </w:rPr>
      </w:pPr>
      <w:r>
        <w:rPr>
          <w:rFonts w:eastAsia="仿宋_GB2312"/>
          <w:color w:val="000000" w:themeColor="text1"/>
          <w:sz w:val="32"/>
          <w:szCs w:val="32"/>
        </w:rPr>
        <w:t>一是法治思维能力还需加强。学法用法的积极性和主动性还需加强，运用法治思维和法治方式解决工作难题的能力与事业发展需求还有差距，在源头预防、实质化解矛盾纠纷方面与人民群众的期望还有差距。</w:t>
      </w:r>
    </w:p>
    <w:p>
      <w:pPr>
        <w:pBdr>
          <w:bottom w:val="single" w:color="FFFFFF" w:sz="4" w:space="14"/>
        </w:pBdr>
        <w:tabs>
          <w:tab w:val="left" w:pos="589"/>
          <w:tab w:val="left" w:pos="1440"/>
        </w:tabs>
        <w:overflowPunct w:val="0"/>
        <w:topLinePunct/>
        <w:adjustRightInd w:val="0"/>
        <w:snapToGrid w:val="0"/>
        <w:spacing w:line="560" w:lineRule="exact"/>
        <w:ind w:firstLine="640" w:firstLineChars="200"/>
        <w:rPr>
          <w:rFonts w:eastAsia="仿宋_GB2312"/>
          <w:color w:val="000000" w:themeColor="text1"/>
          <w:sz w:val="32"/>
          <w:szCs w:val="32"/>
        </w:rPr>
      </w:pPr>
      <w:r>
        <w:rPr>
          <w:rFonts w:eastAsia="仿宋_GB2312"/>
          <w:color w:val="000000" w:themeColor="text1"/>
          <w:sz w:val="32"/>
          <w:szCs w:val="32"/>
        </w:rPr>
        <w:t>二是综合监管效能还需提升。需进一步推动一线监管人员转变执法理念，牢固树立执法检查行为规范，发挥综合监管信息系统对于提升监管效能的促进作用，增强监管的系统性、针对性、有效性。</w:t>
      </w:r>
    </w:p>
    <w:p>
      <w:pPr>
        <w:pBdr>
          <w:bottom w:val="single" w:color="FFFFFF" w:sz="4" w:space="14"/>
        </w:pBdr>
        <w:overflowPunct w:val="0"/>
        <w:topLinePunct/>
        <w:adjustRightInd w:val="0"/>
        <w:snapToGrid w:val="0"/>
        <w:spacing w:line="560" w:lineRule="exact"/>
        <w:ind w:firstLine="640" w:firstLineChars="200"/>
        <w:rPr>
          <w:rFonts w:eastAsia="黑体"/>
          <w:color w:val="000000" w:themeColor="text1"/>
          <w:kern w:val="0"/>
          <w:sz w:val="32"/>
          <w:szCs w:val="32"/>
        </w:rPr>
      </w:pPr>
      <w:r>
        <w:rPr>
          <w:rFonts w:eastAsia="黑体"/>
          <w:color w:val="000000" w:themeColor="text1"/>
          <w:kern w:val="0"/>
          <w:sz w:val="32"/>
          <w:szCs w:val="32"/>
        </w:rPr>
        <w:t>三、2024年党政主要负责人履行推进法治建设第一责任人职责，加强法治政府建设的有关情况</w:t>
      </w:r>
    </w:p>
    <w:p>
      <w:pPr>
        <w:pBdr>
          <w:bottom w:val="single" w:color="FFFFFF" w:sz="4" w:space="14"/>
        </w:pBdr>
        <w:tabs>
          <w:tab w:val="left" w:pos="589"/>
          <w:tab w:val="left" w:pos="1440"/>
        </w:tabs>
        <w:overflowPunct w:val="0"/>
        <w:topLinePunct/>
        <w:adjustRightInd w:val="0"/>
        <w:snapToGrid w:val="0"/>
        <w:spacing w:line="560" w:lineRule="exact"/>
        <w:ind w:firstLine="640" w:firstLineChars="200"/>
        <w:rPr>
          <w:rFonts w:eastAsia="仿宋_GB2312"/>
          <w:color w:val="000000" w:themeColor="text1"/>
          <w:kern w:val="0"/>
          <w:sz w:val="32"/>
          <w:szCs w:val="32"/>
        </w:rPr>
      </w:pPr>
      <w:r>
        <w:rPr>
          <w:rFonts w:eastAsia="仿宋_GB2312"/>
          <w:color w:val="000000" w:themeColor="text1"/>
          <w:kern w:val="0"/>
          <w:sz w:val="32"/>
          <w:szCs w:val="32"/>
        </w:rPr>
        <w:t>一是推动学习贯彻习近平法治思想走深走实。开展局党组理论学习中心组习近平法治思想专题学习2次，持续提升</w:t>
      </w:r>
      <w:r>
        <w:rPr>
          <w:rFonts w:eastAsia="仿宋_GB2312"/>
          <w:color w:val="000000" w:themeColor="text1"/>
          <w:sz w:val="32"/>
          <w:szCs w:val="32"/>
        </w:rPr>
        <w:t>领导干部法治思维和依法行政能力。</w:t>
      </w:r>
      <w:r>
        <w:rPr>
          <w:rFonts w:eastAsia="仿宋_GB2312"/>
          <w:color w:val="000000" w:themeColor="text1"/>
          <w:kern w:val="0"/>
          <w:sz w:val="32"/>
          <w:szCs w:val="32"/>
        </w:rPr>
        <w:t>带头落实行政机关负责人出庭应诉，</w:t>
      </w:r>
      <w:r>
        <w:rPr>
          <w:rFonts w:eastAsia="仿宋_GB2312"/>
          <w:color w:val="000000" w:themeColor="text1"/>
          <w:sz w:val="32"/>
          <w:szCs w:val="32"/>
        </w:rPr>
        <w:t>行政机关负责人共出庭应诉12次，</w:t>
      </w:r>
      <w:r>
        <w:rPr>
          <w:rFonts w:eastAsia="仿宋_GB2312"/>
          <w:color w:val="000000" w:themeColor="text1"/>
          <w:kern w:val="0"/>
          <w:sz w:val="32"/>
          <w:szCs w:val="32"/>
        </w:rPr>
        <w:t>支持法院审理行政案件，推进行政争议实质化解。</w:t>
      </w:r>
    </w:p>
    <w:p>
      <w:pPr>
        <w:pBdr>
          <w:bottom w:val="single" w:color="FFFFFF" w:sz="4" w:space="14"/>
        </w:pBdr>
        <w:tabs>
          <w:tab w:val="left" w:pos="589"/>
          <w:tab w:val="left" w:pos="1440"/>
        </w:tabs>
        <w:overflowPunct w:val="0"/>
        <w:topLinePunct/>
        <w:adjustRightInd w:val="0"/>
        <w:snapToGrid w:val="0"/>
        <w:spacing w:line="560" w:lineRule="exact"/>
        <w:ind w:firstLine="640" w:firstLineChars="200"/>
        <w:rPr>
          <w:rFonts w:eastAsia="仿宋_GB2312"/>
          <w:color w:val="000000" w:themeColor="text1"/>
          <w:kern w:val="0"/>
          <w:sz w:val="32"/>
          <w:szCs w:val="32"/>
        </w:rPr>
      </w:pPr>
      <w:r>
        <w:rPr>
          <w:rFonts w:eastAsia="仿宋_GB2312"/>
          <w:color w:val="000000" w:themeColor="text1"/>
          <w:kern w:val="0"/>
          <w:sz w:val="32"/>
          <w:szCs w:val="32"/>
        </w:rPr>
        <w:t>二是加强对法治人社建设的组织领导。</w:t>
      </w:r>
      <w:r>
        <w:rPr>
          <w:rFonts w:hint="eastAsia" w:eastAsia="仿宋_GB2312"/>
          <w:color w:val="000000" w:themeColor="text1"/>
          <w:kern w:val="0"/>
          <w:sz w:val="32"/>
          <w:szCs w:val="32"/>
        </w:rPr>
        <w:t>把</w:t>
      </w:r>
      <w:r>
        <w:rPr>
          <w:rFonts w:eastAsia="仿宋_GB2312"/>
          <w:color w:val="000000" w:themeColor="text1"/>
          <w:kern w:val="0"/>
          <w:sz w:val="32"/>
          <w:szCs w:val="32"/>
        </w:rPr>
        <w:t>“</w:t>
      </w:r>
      <w:r>
        <w:rPr>
          <w:rFonts w:hint="eastAsia" w:eastAsia="仿宋_GB2312"/>
          <w:color w:val="000000" w:themeColor="text1"/>
          <w:kern w:val="0"/>
          <w:sz w:val="32"/>
          <w:szCs w:val="32"/>
        </w:rPr>
        <w:t>法治</w:t>
      </w:r>
      <w:r>
        <w:rPr>
          <w:rFonts w:eastAsia="仿宋_GB2312"/>
          <w:color w:val="000000" w:themeColor="text1"/>
          <w:kern w:val="0"/>
          <w:sz w:val="32"/>
          <w:szCs w:val="32"/>
        </w:rPr>
        <w:t>部门”</w:t>
      </w:r>
      <w:r>
        <w:rPr>
          <w:rFonts w:hint="eastAsia" w:eastAsia="仿宋_GB2312"/>
          <w:color w:val="000000" w:themeColor="text1"/>
          <w:kern w:val="0"/>
          <w:sz w:val="32"/>
          <w:szCs w:val="32"/>
        </w:rPr>
        <w:t>定义融入我局</w:t>
      </w:r>
      <w:r>
        <w:rPr>
          <w:rFonts w:eastAsia="仿宋_GB2312"/>
          <w:color w:val="000000" w:themeColor="text1"/>
          <w:kern w:val="0"/>
          <w:sz w:val="32"/>
          <w:szCs w:val="32"/>
        </w:rPr>
        <w:t>“六位一体”</w:t>
      </w:r>
      <w:r>
        <w:rPr>
          <w:rFonts w:hint="eastAsia" w:eastAsia="仿宋_GB2312"/>
          <w:color w:val="000000" w:themeColor="text1"/>
          <w:kern w:val="0"/>
          <w:sz w:val="32"/>
          <w:szCs w:val="32"/>
        </w:rPr>
        <w:t>人社职责</w:t>
      </w:r>
      <w:r>
        <w:rPr>
          <w:rFonts w:eastAsia="仿宋_GB2312"/>
          <w:color w:val="000000" w:themeColor="text1"/>
          <w:kern w:val="0"/>
          <w:sz w:val="32"/>
          <w:szCs w:val="32"/>
        </w:rPr>
        <w:t>，</w:t>
      </w:r>
      <w:r>
        <w:rPr>
          <w:rFonts w:hint="eastAsia" w:eastAsia="仿宋_GB2312"/>
          <w:color w:val="000000" w:themeColor="text1"/>
          <w:kern w:val="0"/>
          <w:sz w:val="32"/>
          <w:szCs w:val="32"/>
        </w:rPr>
        <w:t>将</w:t>
      </w:r>
      <w:r>
        <w:rPr>
          <w:rFonts w:eastAsia="仿宋_GB2312"/>
          <w:color w:val="000000" w:themeColor="text1"/>
          <w:kern w:val="0"/>
          <w:sz w:val="32"/>
          <w:szCs w:val="32"/>
        </w:rPr>
        <w:t>“</w:t>
      </w:r>
      <w:r>
        <w:rPr>
          <w:rFonts w:hint="eastAsia" w:eastAsia="仿宋_GB2312"/>
          <w:color w:val="000000" w:themeColor="text1"/>
          <w:kern w:val="0"/>
          <w:sz w:val="32"/>
          <w:szCs w:val="32"/>
        </w:rPr>
        <w:t>守公心，落实法治部门要求</w:t>
      </w:r>
      <w:r>
        <w:rPr>
          <w:rFonts w:eastAsia="仿宋_GB2312"/>
          <w:color w:val="000000" w:themeColor="text1"/>
          <w:kern w:val="0"/>
          <w:sz w:val="32"/>
          <w:szCs w:val="32"/>
        </w:rPr>
        <w:t>”</w:t>
      </w:r>
      <w:r>
        <w:rPr>
          <w:rFonts w:hint="eastAsia" w:eastAsia="仿宋_GB2312"/>
          <w:color w:val="000000" w:themeColor="text1"/>
          <w:kern w:val="0"/>
          <w:sz w:val="32"/>
          <w:szCs w:val="32"/>
        </w:rPr>
        <w:t>价值理念注入我局“正阳先锋·六心人社”党建品牌文化</w:t>
      </w:r>
      <w:r>
        <w:rPr>
          <w:rFonts w:eastAsia="仿宋_GB2312"/>
          <w:color w:val="000000" w:themeColor="text1"/>
          <w:kern w:val="0"/>
          <w:sz w:val="32"/>
          <w:szCs w:val="32"/>
        </w:rPr>
        <w:t>内涵</w:t>
      </w:r>
      <w:r>
        <w:rPr>
          <w:rFonts w:hint="eastAsia" w:eastAsia="仿宋_GB2312"/>
          <w:color w:val="000000" w:themeColor="text1"/>
          <w:kern w:val="0"/>
          <w:sz w:val="32"/>
          <w:szCs w:val="32"/>
        </w:rPr>
        <w:t>，</w:t>
      </w:r>
      <w:r>
        <w:rPr>
          <w:rFonts w:eastAsia="仿宋_GB2312"/>
          <w:color w:val="000000" w:themeColor="text1"/>
          <w:kern w:val="0"/>
          <w:sz w:val="32"/>
          <w:szCs w:val="32"/>
        </w:rPr>
        <w:t>传承“红楼初心”与“正阳先锋”品牌精神，为区域发展与民生保障注入强劲动力。主持召开局长办公会议，研究</w:t>
      </w:r>
      <w:r>
        <w:rPr>
          <w:rFonts w:eastAsia="仿宋_GB2312"/>
          <w:color w:val="000000" w:themeColor="text1"/>
          <w:sz w:val="32"/>
          <w:szCs w:val="32"/>
        </w:rPr>
        <w:t>一体化综合监管及行政执法、</w:t>
      </w:r>
      <w:r>
        <w:rPr>
          <w:rFonts w:eastAsia="仿宋_GB2312"/>
          <w:color w:val="000000" w:themeColor="text1"/>
          <w:kern w:val="0"/>
          <w:sz w:val="32"/>
          <w:szCs w:val="32"/>
        </w:rPr>
        <w:t>普法和行政争议案件等重点任务，部署推进法治人社建设。认真落实领导干部会前学法制度，主持召开会前学法5次，带头尊法学法守法用法。</w:t>
      </w:r>
    </w:p>
    <w:p>
      <w:pPr>
        <w:pBdr>
          <w:bottom w:val="single" w:color="FFFFFF" w:sz="4" w:space="14"/>
        </w:pBdr>
        <w:tabs>
          <w:tab w:val="left" w:pos="589"/>
          <w:tab w:val="left" w:pos="1440"/>
        </w:tabs>
        <w:overflowPunct w:val="0"/>
        <w:topLinePunct/>
        <w:adjustRightInd w:val="0"/>
        <w:snapToGrid w:val="0"/>
        <w:spacing w:line="560" w:lineRule="exact"/>
        <w:ind w:firstLine="640" w:firstLineChars="200"/>
        <w:rPr>
          <w:rFonts w:eastAsia="仿宋_GB2312"/>
          <w:color w:val="000000" w:themeColor="text1"/>
          <w:kern w:val="0"/>
          <w:sz w:val="32"/>
          <w:szCs w:val="32"/>
        </w:rPr>
      </w:pPr>
      <w:r>
        <w:rPr>
          <w:rFonts w:eastAsia="仿宋_GB2312"/>
          <w:color w:val="000000" w:themeColor="text1"/>
          <w:kern w:val="0"/>
          <w:sz w:val="32"/>
          <w:szCs w:val="32"/>
        </w:rPr>
        <w:t>三是在法治轨道上推动人力社保事业高质量发展。严格执行行政决策程序，不断提升决策科学化、民主化、法治化水平。全力推动促进高质量充分就业、</w:t>
      </w:r>
      <w:r>
        <w:rPr>
          <w:rFonts w:hint="eastAsia" w:eastAsia="仿宋_GB2312"/>
          <w:color w:val="000000" w:themeColor="text1"/>
          <w:kern w:val="0"/>
          <w:sz w:val="32"/>
          <w:szCs w:val="32"/>
        </w:rPr>
        <w:t>推进</w:t>
      </w:r>
      <w:r>
        <w:rPr>
          <w:rFonts w:eastAsia="仿宋_GB2312"/>
          <w:color w:val="000000" w:themeColor="text1"/>
          <w:kern w:val="0"/>
          <w:sz w:val="32"/>
          <w:szCs w:val="32"/>
        </w:rPr>
        <w:t>社会保险工作、</w:t>
      </w:r>
      <w:r>
        <w:rPr>
          <w:rFonts w:hint="eastAsia" w:eastAsia="仿宋_GB2312"/>
          <w:color w:val="000000" w:themeColor="text1"/>
          <w:kern w:val="0"/>
          <w:sz w:val="32"/>
          <w:szCs w:val="32"/>
        </w:rPr>
        <w:t>强化</w:t>
      </w:r>
      <w:r>
        <w:rPr>
          <w:rFonts w:eastAsia="仿宋_GB2312"/>
          <w:color w:val="000000" w:themeColor="text1"/>
          <w:kern w:val="0"/>
          <w:sz w:val="32"/>
          <w:szCs w:val="32"/>
        </w:rPr>
        <w:t>人才服务保障、</w:t>
      </w:r>
      <w:r>
        <w:rPr>
          <w:rFonts w:hint="eastAsia" w:eastAsia="仿宋_GB2312"/>
          <w:color w:val="000000" w:themeColor="text1"/>
          <w:kern w:val="0"/>
          <w:sz w:val="32"/>
          <w:szCs w:val="32"/>
        </w:rPr>
        <w:t>维护</w:t>
      </w:r>
      <w:r>
        <w:rPr>
          <w:rFonts w:eastAsia="仿宋_GB2312"/>
          <w:color w:val="000000" w:themeColor="text1"/>
          <w:kern w:val="0"/>
          <w:sz w:val="32"/>
          <w:szCs w:val="32"/>
        </w:rPr>
        <w:t>和谐劳动关系等重点任务，兜牢民生底线，服务首都核心区高质量发展。</w:t>
      </w:r>
    </w:p>
    <w:p>
      <w:pPr>
        <w:pBdr>
          <w:bottom w:val="single" w:color="FFFFFF" w:sz="4" w:space="14"/>
        </w:pBdr>
        <w:tabs>
          <w:tab w:val="left" w:pos="589"/>
          <w:tab w:val="left" w:pos="1440"/>
        </w:tabs>
        <w:overflowPunct w:val="0"/>
        <w:topLinePunct/>
        <w:adjustRightInd w:val="0"/>
        <w:snapToGrid w:val="0"/>
        <w:spacing w:line="560" w:lineRule="exact"/>
        <w:ind w:firstLine="640" w:firstLineChars="200"/>
        <w:rPr>
          <w:rFonts w:eastAsia="黑体"/>
          <w:color w:val="000000" w:themeColor="text1"/>
          <w:kern w:val="0"/>
          <w:sz w:val="32"/>
          <w:szCs w:val="32"/>
        </w:rPr>
      </w:pPr>
      <w:r>
        <w:rPr>
          <w:rFonts w:eastAsia="黑体"/>
          <w:color w:val="000000" w:themeColor="text1"/>
          <w:kern w:val="0"/>
          <w:sz w:val="32"/>
          <w:szCs w:val="32"/>
        </w:rPr>
        <w:t>四、2025年推进法治政府建设的主要安排</w:t>
      </w:r>
    </w:p>
    <w:p>
      <w:pPr>
        <w:pBdr>
          <w:bottom w:val="single" w:color="FFFFFF" w:sz="4" w:space="14"/>
        </w:pBdr>
        <w:tabs>
          <w:tab w:val="left" w:pos="589"/>
          <w:tab w:val="left" w:pos="1440"/>
        </w:tabs>
        <w:overflowPunct w:val="0"/>
        <w:topLinePunct/>
        <w:adjustRightInd w:val="0"/>
        <w:snapToGrid w:val="0"/>
        <w:spacing w:line="560" w:lineRule="exact"/>
        <w:ind w:firstLine="640" w:firstLineChars="200"/>
        <w:contextualSpacing/>
        <w:rPr>
          <w:rFonts w:eastAsia="仿宋_GB2312"/>
          <w:color w:val="000000" w:themeColor="text1"/>
          <w:kern w:val="0"/>
          <w:sz w:val="32"/>
          <w:szCs w:val="32"/>
        </w:rPr>
      </w:pPr>
      <w:r>
        <w:rPr>
          <w:rFonts w:eastAsia="仿宋_GB2312"/>
          <w:color w:val="000000" w:themeColor="text1"/>
          <w:kern w:val="0"/>
          <w:sz w:val="32"/>
          <w:szCs w:val="32"/>
        </w:rPr>
        <w:t>一是</w:t>
      </w:r>
      <w:r>
        <w:rPr>
          <w:rFonts w:hint="eastAsia" w:eastAsia="仿宋_GB2312"/>
          <w:color w:val="000000" w:themeColor="text1"/>
          <w:kern w:val="0"/>
          <w:sz w:val="32"/>
          <w:szCs w:val="32"/>
        </w:rPr>
        <w:t>深入</w:t>
      </w:r>
      <w:r>
        <w:rPr>
          <w:rFonts w:eastAsia="仿宋_GB2312"/>
          <w:color w:val="000000" w:themeColor="text1"/>
          <w:kern w:val="0"/>
          <w:sz w:val="32"/>
          <w:szCs w:val="32"/>
        </w:rPr>
        <w:t>学习贯彻习近平法治思想。将党的领导贯彻到“法治人社”建设全过程，深入落实党的二十大报告关于法治政府建设的相关要求，</w:t>
      </w:r>
      <w:r>
        <w:rPr>
          <w:rFonts w:hint="eastAsia" w:eastAsia="仿宋_GB2312"/>
          <w:color w:val="000000" w:themeColor="text1"/>
          <w:kern w:val="0"/>
          <w:sz w:val="32"/>
          <w:szCs w:val="32"/>
        </w:rPr>
        <w:t>发挥“正阳先锋·六心人社”党建品牌引领作用，</w:t>
      </w:r>
      <w:r>
        <w:rPr>
          <w:rFonts w:eastAsia="仿宋_GB2312"/>
          <w:color w:val="000000" w:themeColor="text1"/>
          <w:kern w:val="0"/>
          <w:sz w:val="32"/>
          <w:szCs w:val="32"/>
        </w:rPr>
        <w:t>扎实推进法治人社建设</w:t>
      </w:r>
      <w:r>
        <w:rPr>
          <w:rFonts w:hint="eastAsia" w:eastAsia="仿宋_GB2312"/>
          <w:color w:val="000000" w:themeColor="text1"/>
          <w:kern w:val="0"/>
          <w:sz w:val="32"/>
          <w:szCs w:val="32"/>
        </w:rPr>
        <w:t>，</w:t>
      </w:r>
      <w:r>
        <w:rPr>
          <w:rFonts w:eastAsia="仿宋_GB2312"/>
          <w:color w:val="000000" w:themeColor="text1"/>
          <w:kern w:val="0"/>
          <w:sz w:val="32"/>
          <w:szCs w:val="32"/>
        </w:rPr>
        <w:t>依法全面履行人社职能。运用法治思维和法治方式解决人力社保事业发展中的难题，在法治轨道上推动首都核心区人力社保事业高质量发展。</w:t>
      </w:r>
    </w:p>
    <w:p>
      <w:pPr>
        <w:pBdr>
          <w:bottom w:val="single" w:color="FFFFFF" w:sz="4" w:space="14"/>
        </w:pBdr>
        <w:tabs>
          <w:tab w:val="left" w:pos="589"/>
          <w:tab w:val="left" w:pos="1440"/>
        </w:tabs>
        <w:overflowPunct w:val="0"/>
        <w:topLinePunct/>
        <w:adjustRightInd w:val="0"/>
        <w:snapToGrid w:val="0"/>
        <w:spacing w:line="560" w:lineRule="exact"/>
        <w:ind w:firstLine="640" w:firstLineChars="200"/>
        <w:contextualSpacing/>
        <w:rPr>
          <w:rFonts w:eastAsia="仿宋_GB2312"/>
          <w:color w:val="000000" w:themeColor="text1"/>
          <w:kern w:val="0"/>
          <w:sz w:val="32"/>
          <w:szCs w:val="32"/>
        </w:rPr>
      </w:pPr>
      <w:r>
        <w:rPr>
          <w:rFonts w:hint="eastAsia" w:ascii="仿宋_GB2312" w:eastAsia="仿宋_GB2312"/>
          <w:sz w:val="32"/>
          <w:szCs w:val="32"/>
        </w:rPr>
        <w:t>二是全面提升执法质效。</w:t>
      </w:r>
      <w:r>
        <w:rPr>
          <w:rFonts w:eastAsia="仿宋_GB2312"/>
          <w:sz w:val="32"/>
          <w:szCs w:val="32"/>
        </w:rPr>
        <w:t>深化</w:t>
      </w:r>
      <w:r>
        <w:rPr>
          <w:rFonts w:hint="eastAsia" w:eastAsia="仿宋_GB2312"/>
          <w:sz w:val="32"/>
          <w:szCs w:val="32"/>
        </w:rPr>
        <w:t>推进</w:t>
      </w:r>
      <w:r>
        <w:rPr>
          <w:rFonts w:eastAsia="仿宋_GB2312"/>
          <w:sz w:val="32"/>
          <w:szCs w:val="32"/>
        </w:rPr>
        <w:t>落实行政执法“三项制度”，</w:t>
      </w:r>
      <w:r>
        <w:rPr>
          <w:rFonts w:hint="eastAsia" w:eastAsia="仿宋_GB2312"/>
          <w:color w:val="000000" w:themeColor="text1"/>
          <w:sz w:val="32"/>
          <w:szCs w:val="32"/>
        </w:rPr>
        <w:t>推动</w:t>
      </w:r>
      <w:r>
        <w:rPr>
          <w:rFonts w:eastAsia="仿宋_GB2312"/>
          <w:color w:val="000000"/>
          <w:sz w:val="32"/>
          <w:szCs w:val="32"/>
        </w:rPr>
        <w:t>把案卷评查标准作为执法标准，提升执法精细化程度，持续提升执法规范性。</w:t>
      </w:r>
      <w:r>
        <w:rPr>
          <w:rFonts w:hint="eastAsia" w:eastAsia="仿宋_GB2312"/>
          <w:sz w:val="32"/>
          <w:szCs w:val="32"/>
        </w:rPr>
        <w:t>组织</w:t>
      </w:r>
      <w:r>
        <w:rPr>
          <w:rFonts w:eastAsia="仿宋_GB2312"/>
          <w:sz w:val="32"/>
          <w:szCs w:val="32"/>
        </w:rPr>
        <w:t>落实行政执法人员培训，</w:t>
      </w:r>
      <w:r>
        <w:rPr>
          <w:rFonts w:eastAsia="仿宋_GB2312"/>
          <w:color w:val="000000"/>
          <w:sz w:val="32"/>
          <w:szCs w:val="32"/>
        </w:rPr>
        <w:t>加强行政执法人员专业培训力度，提升行政执法队伍专业化水平，</w:t>
      </w:r>
      <w:r>
        <w:rPr>
          <w:rFonts w:eastAsia="仿宋_GB2312"/>
          <w:color w:val="000000"/>
          <w:sz w:val="32"/>
          <w:szCs w:val="24"/>
        </w:rPr>
        <w:t>促进执法效能提升。</w:t>
      </w:r>
      <w:r>
        <w:rPr>
          <w:rFonts w:eastAsia="仿宋_GB2312"/>
          <w:color w:val="000000"/>
          <w:sz w:val="32"/>
          <w:szCs w:val="32"/>
        </w:rPr>
        <w:t>深入推进一体化综合监管，树立“非现场监管就是强化监管”的理念，按照统一标准、规范程序开展非现场监管工作，推动实现监管“无事不扰、无处不在”</w:t>
      </w:r>
      <w:r>
        <w:rPr>
          <w:rFonts w:eastAsia="仿宋_GB2312"/>
          <w:sz w:val="32"/>
          <w:szCs w:val="32"/>
        </w:rPr>
        <w:t>，</w:t>
      </w:r>
      <w:r>
        <w:rPr>
          <w:rFonts w:eastAsia="仿宋_GB2312"/>
          <w:color w:val="333333"/>
          <w:kern w:val="36"/>
          <w:sz w:val="32"/>
          <w:szCs w:val="32"/>
        </w:rPr>
        <w:t>提升监管效能</w:t>
      </w:r>
      <w:r>
        <w:rPr>
          <w:rFonts w:hint="eastAsia" w:eastAsia="仿宋_GB2312"/>
          <w:color w:val="333333"/>
          <w:kern w:val="36"/>
          <w:sz w:val="32"/>
          <w:szCs w:val="32"/>
        </w:rPr>
        <w:t>，不断优化营商环境</w:t>
      </w:r>
      <w:r>
        <w:rPr>
          <w:rFonts w:eastAsia="仿宋_GB2312"/>
          <w:color w:val="333333"/>
          <w:kern w:val="36"/>
          <w:sz w:val="32"/>
          <w:szCs w:val="32"/>
        </w:rPr>
        <w:t>。</w:t>
      </w:r>
    </w:p>
    <w:p>
      <w:pPr>
        <w:pBdr>
          <w:bottom w:val="single" w:color="FFFFFF" w:sz="4" w:space="14"/>
        </w:pBdr>
        <w:overflowPunct w:val="0"/>
        <w:topLinePunct/>
        <w:adjustRightInd w:val="0"/>
        <w:snapToGrid w:val="0"/>
        <w:spacing w:line="560" w:lineRule="exact"/>
        <w:ind w:firstLine="640" w:firstLineChars="200"/>
        <w:rPr>
          <w:rFonts w:eastAsia="仿宋_GB2312"/>
          <w:color w:val="000000" w:themeColor="text1"/>
          <w:kern w:val="0"/>
          <w:sz w:val="32"/>
          <w:szCs w:val="32"/>
        </w:rPr>
      </w:pPr>
      <w:r>
        <w:rPr>
          <w:rFonts w:hint="eastAsia" w:eastAsia="仿宋_GB2312"/>
          <w:color w:val="000000" w:themeColor="text1"/>
          <w:kern w:val="0"/>
          <w:sz w:val="32"/>
          <w:szCs w:val="32"/>
        </w:rPr>
        <w:t>三</w:t>
      </w:r>
      <w:r>
        <w:rPr>
          <w:rFonts w:eastAsia="仿宋_GB2312"/>
          <w:color w:val="000000" w:themeColor="text1"/>
          <w:kern w:val="0"/>
          <w:sz w:val="32"/>
          <w:szCs w:val="32"/>
        </w:rPr>
        <w:t>是做好矛盾纠纷预防化解。</w:t>
      </w:r>
      <w:r>
        <w:rPr>
          <w:rFonts w:hint="eastAsia" w:eastAsia="仿宋_GB2312"/>
          <w:color w:val="000000" w:themeColor="text1"/>
          <w:kern w:val="0"/>
          <w:sz w:val="32"/>
          <w:szCs w:val="32"/>
        </w:rPr>
        <w:t>进一步健全“一站式”调解工作制度，推行综合执法、劳动仲裁“一窗通办”模式，统筹基层调解、行政调解、司法调解等多元解纷力量，确保劳动纠纷高效及时解决。推动调解力量向行业商会、园区、楼宇延伸，加大“互联网+”调解服务水平，着力实现“小事不出企业，大事不出街道”，引导更多劳动纠纷通过调解方式柔性化解。</w:t>
      </w:r>
      <w:r>
        <w:rPr>
          <w:rFonts w:hint="eastAsia" w:ascii="仿宋_GB2312" w:eastAsia="仿宋_GB2312"/>
          <w:sz w:val="32"/>
          <w:szCs w:val="32"/>
        </w:rPr>
        <w:t>深入落实信访工作法治化各项要求，统筹协调调处信访矛盾</w:t>
      </w:r>
      <w:r>
        <w:rPr>
          <w:rFonts w:eastAsia="仿宋_GB2312"/>
          <w:color w:val="000000" w:themeColor="text1"/>
          <w:kern w:val="0"/>
          <w:sz w:val="32"/>
          <w:szCs w:val="32"/>
        </w:rPr>
        <w:t>。做好行政争议案件办理工作，配合复议机关做好</w:t>
      </w:r>
      <w:r>
        <w:rPr>
          <w:rFonts w:hint="eastAsia" w:eastAsia="仿宋_GB2312"/>
          <w:color w:val="000000" w:themeColor="text1"/>
          <w:kern w:val="0"/>
          <w:sz w:val="32"/>
          <w:szCs w:val="32"/>
        </w:rPr>
        <w:t>行政</w:t>
      </w:r>
      <w:r>
        <w:rPr>
          <w:rFonts w:eastAsia="仿宋_GB2312"/>
          <w:color w:val="000000" w:themeColor="text1"/>
          <w:kern w:val="0"/>
          <w:sz w:val="32"/>
          <w:szCs w:val="32"/>
        </w:rPr>
        <w:t>复议调解</w:t>
      </w:r>
      <w:r>
        <w:rPr>
          <w:rFonts w:hint="eastAsia" w:eastAsia="仿宋_GB2312"/>
          <w:color w:val="000000" w:themeColor="text1"/>
          <w:kern w:val="0"/>
          <w:sz w:val="32"/>
          <w:szCs w:val="32"/>
        </w:rPr>
        <w:t>、</w:t>
      </w:r>
      <w:r>
        <w:rPr>
          <w:rFonts w:eastAsia="仿宋_GB2312"/>
          <w:color w:val="000000" w:themeColor="text1"/>
          <w:kern w:val="0"/>
          <w:sz w:val="32"/>
          <w:szCs w:val="32"/>
        </w:rPr>
        <w:t>审理工作，</w:t>
      </w:r>
      <w:r>
        <w:rPr>
          <w:rFonts w:hint="eastAsia" w:eastAsia="仿宋_GB2312"/>
          <w:color w:val="000000" w:themeColor="text1"/>
          <w:kern w:val="0"/>
          <w:sz w:val="32"/>
          <w:szCs w:val="32"/>
        </w:rPr>
        <w:t>发挥</w:t>
      </w:r>
      <w:r>
        <w:rPr>
          <w:rFonts w:eastAsia="仿宋_GB2312"/>
          <w:color w:val="000000" w:themeColor="text1"/>
          <w:kern w:val="0"/>
          <w:sz w:val="32"/>
          <w:szCs w:val="32"/>
        </w:rPr>
        <w:t>行政复议化解行政争议主渠道作用</w:t>
      </w:r>
      <w:r>
        <w:rPr>
          <w:rFonts w:hint="eastAsia" w:eastAsia="仿宋_GB2312"/>
          <w:color w:val="000000" w:themeColor="text1"/>
          <w:kern w:val="0"/>
          <w:sz w:val="32"/>
          <w:szCs w:val="32"/>
        </w:rPr>
        <w:t>；</w:t>
      </w:r>
      <w:r>
        <w:rPr>
          <w:rFonts w:eastAsia="仿宋_GB2312"/>
          <w:color w:val="000000" w:themeColor="text1"/>
          <w:kern w:val="0"/>
          <w:sz w:val="32"/>
          <w:szCs w:val="32"/>
        </w:rPr>
        <w:t>落实行政机关负责人出庭应诉，推动行政争议实质性化解</w:t>
      </w:r>
      <w:r>
        <w:rPr>
          <w:rFonts w:hint="eastAsia" w:eastAsia="仿宋_GB2312"/>
          <w:color w:val="000000" w:themeColor="text1"/>
          <w:kern w:val="0"/>
          <w:sz w:val="32"/>
          <w:szCs w:val="32"/>
        </w:rPr>
        <w:t>。</w:t>
      </w:r>
    </w:p>
    <w:p>
      <w:pPr>
        <w:adjustRightInd w:val="0"/>
        <w:snapToGrid w:val="0"/>
        <w:spacing w:line="560" w:lineRule="exact"/>
        <w:ind w:firstLine="640" w:firstLineChars="200"/>
        <w:rPr>
          <w:rFonts w:eastAsia="仿宋_GB2312"/>
          <w:color w:val="000000" w:themeColor="text1"/>
          <w:kern w:val="0"/>
          <w:sz w:val="32"/>
          <w:szCs w:val="32"/>
        </w:rPr>
      </w:pPr>
    </w:p>
    <w:sectPr>
      <w:footerReference r:id="rId3" w:type="default"/>
      <w:footerReference r:id="rId4" w:type="even"/>
      <w:pgSz w:w="11906" w:h="16838"/>
      <w:pgMar w:top="2098" w:right="1474" w:bottom="1985"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8907255"/>
      <w:docPartObj>
        <w:docPartGallery w:val="autotext"/>
      </w:docPartObj>
    </w:sdtPr>
    <w:sdtEndPr>
      <w:rPr>
        <w:rFonts w:ascii="宋体" w:hAnsi="宋体" w:eastAsia="宋体"/>
        <w:sz w:val="28"/>
      </w:rPr>
    </w:sdtEndPr>
    <w:sdtContent>
      <w:p>
        <w:pPr>
          <w:pStyle w:val="2"/>
          <w:jc w:val="right"/>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1 -</w:t>
        </w:r>
        <w:r>
          <w:rPr>
            <w:rFonts w:ascii="宋体" w:hAnsi="宋体" w:eastAsia="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036101"/>
      <w:docPartObj>
        <w:docPartGallery w:val="autotext"/>
      </w:docPartObj>
    </w:sdtPr>
    <w:sdtEndPr>
      <w:rPr>
        <w:rFonts w:ascii="宋体" w:hAnsi="宋体" w:eastAsia="宋体"/>
        <w:sz w:val="28"/>
        <w:szCs w:val="28"/>
      </w:rPr>
    </w:sdtEndPr>
    <w:sdtContent>
      <w:p>
        <w:pPr>
          <w:pStyle w:val="2"/>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12 -</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A191E"/>
    <w:rsid w:val="00004D3A"/>
    <w:rsid w:val="00024538"/>
    <w:rsid w:val="0003663C"/>
    <w:rsid w:val="00037BF9"/>
    <w:rsid w:val="00051947"/>
    <w:rsid w:val="0006418F"/>
    <w:rsid w:val="00082FDA"/>
    <w:rsid w:val="00083C96"/>
    <w:rsid w:val="000937F7"/>
    <w:rsid w:val="000A3828"/>
    <w:rsid w:val="000B7F09"/>
    <w:rsid w:val="000C1754"/>
    <w:rsid w:val="000C3E87"/>
    <w:rsid w:val="000F2356"/>
    <w:rsid w:val="000F2CDC"/>
    <w:rsid w:val="00113B64"/>
    <w:rsid w:val="00132261"/>
    <w:rsid w:val="001342AF"/>
    <w:rsid w:val="0015010E"/>
    <w:rsid w:val="00153EAF"/>
    <w:rsid w:val="00193214"/>
    <w:rsid w:val="001A4C6E"/>
    <w:rsid w:val="001A643E"/>
    <w:rsid w:val="002073B6"/>
    <w:rsid w:val="002117C4"/>
    <w:rsid w:val="002128C8"/>
    <w:rsid w:val="00236F56"/>
    <w:rsid w:val="002415EB"/>
    <w:rsid w:val="00245DBB"/>
    <w:rsid w:val="00253496"/>
    <w:rsid w:val="002534C1"/>
    <w:rsid w:val="00265598"/>
    <w:rsid w:val="00267ECB"/>
    <w:rsid w:val="00286D92"/>
    <w:rsid w:val="00295823"/>
    <w:rsid w:val="002966F5"/>
    <w:rsid w:val="002A37C2"/>
    <w:rsid w:val="002C0AAF"/>
    <w:rsid w:val="002D07C1"/>
    <w:rsid w:val="002D1F82"/>
    <w:rsid w:val="002E6788"/>
    <w:rsid w:val="002E759E"/>
    <w:rsid w:val="002F01D0"/>
    <w:rsid w:val="003276C8"/>
    <w:rsid w:val="003346E3"/>
    <w:rsid w:val="00371C75"/>
    <w:rsid w:val="00380DE9"/>
    <w:rsid w:val="003A769F"/>
    <w:rsid w:val="003B6173"/>
    <w:rsid w:val="003C33CB"/>
    <w:rsid w:val="003C3CE3"/>
    <w:rsid w:val="003C50A5"/>
    <w:rsid w:val="003D2489"/>
    <w:rsid w:val="003E10CF"/>
    <w:rsid w:val="003E1DBB"/>
    <w:rsid w:val="003E2E53"/>
    <w:rsid w:val="00401D29"/>
    <w:rsid w:val="004075F4"/>
    <w:rsid w:val="0041508E"/>
    <w:rsid w:val="004200B2"/>
    <w:rsid w:val="00422FDA"/>
    <w:rsid w:val="00444FD6"/>
    <w:rsid w:val="0046710B"/>
    <w:rsid w:val="00475D59"/>
    <w:rsid w:val="00491FA5"/>
    <w:rsid w:val="004928FB"/>
    <w:rsid w:val="004A4159"/>
    <w:rsid w:val="004B7924"/>
    <w:rsid w:val="004D3459"/>
    <w:rsid w:val="004E24DE"/>
    <w:rsid w:val="004E52AF"/>
    <w:rsid w:val="004F3649"/>
    <w:rsid w:val="0052409A"/>
    <w:rsid w:val="00574A08"/>
    <w:rsid w:val="005C6D76"/>
    <w:rsid w:val="005E0E25"/>
    <w:rsid w:val="005F5773"/>
    <w:rsid w:val="006034F0"/>
    <w:rsid w:val="00611BA7"/>
    <w:rsid w:val="00611BAD"/>
    <w:rsid w:val="00660910"/>
    <w:rsid w:val="0066317E"/>
    <w:rsid w:val="00671143"/>
    <w:rsid w:val="00680C80"/>
    <w:rsid w:val="006B01FD"/>
    <w:rsid w:val="006B6D39"/>
    <w:rsid w:val="0070205F"/>
    <w:rsid w:val="00702FBA"/>
    <w:rsid w:val="00712701"/>
    <w:rsid w:val="00723DFC"/>
    <w:rsid w:val="00741C7E"/>
    <w:rsid w:val="0076633C"/>
    <w:rsid w:val="007849E4"/>
    <w:rsid w:val="007C3E68"/>
    <w:rsid w:val="007D20D9"/>
    <w:rsid w:val="007D2EE0"/>
    <w:rsid w:val="007D6953"/>
    <w:rsid w:val="007F0BD7"/>
    <w:rsid w:val="007F7080"/>
    <w:rsid w:val="00801FF0"/>
    <w:rsid w:val="00815C4E"/>
    <w:rsid w:val="00825C6A"/>
    <w:rsid w:val="00832E1C"/>
    <w:rsid w:val="0084372B"/>
    <w:rsid w:val="0084645E"/>
    <w:rsid w:val="00850AB2"/>
    <w:rsid w:val="008641E1"/>
    <w:rsid w:val="00880407"/>
    <w:rsid w:val="00884AFC"/>
    <w:rsid w:val="008A2AD9"/>
    <w:rsid w:val="008C1F13"/>
    <w:rsid w:val="008C2B45"/>
    <w:rsid w:val="008E4FC6"/>
    <w:rsid w:val="008F081E"/>
    <w:rsid w:val="008F0EC2"/>
    <w:rsid w:val="008F6967"/>
    <w:rsid w:val="009006C6"/>
    <w:rsid w:val="00906C75"/>
    <w:rsid w:val="00914822"/>
    <w:rsid w:val="009228E8"/>
    <w:rsid w:val="00923569"/>
    <w:rsid w:val="00933280"/>
    <w:rsid w:val="009464CA"/>
    <w:rsid w:val="00972668"/>
    <w:rsid w:val="009838D7"/>
    <w:rsid w:val="009A191E"/>
    <w:rsid w:val="009B1353"/>
    <w:rsid w:val="009B5E53"/>
    <w:rsid w:val="009B628A"/>
    <w:rsid w:val="009C6E43"/>
    <w:rsid w:val="009D3DF8"/>
    <w:rsid w:val="009D64C9"/>
    <w:rsid w:val="009F2606"/>
    <w:rsid w:val="00A04312"/>
    <w:rsid w:val="00A04E03"/>
    <w:rsid w:val="00A3386B"/>
    <w:rsid w:val="00A457A1"/>
    <w:rsid w:val="00A6077C"/>
    <w:rsid w:val="00A62C49"/>
    <w:rsid w:val="00A82A0B"/>
    <w:rsid w:val="00AA6057"/>
    <w:rsid w:val="00AB484E"/>
    <w:rsid w:val="00AC4FE9"/>
    <w:rsid w:val="00AD7EA5"/>
    <w:rsid w:val="00AF0B3A"/>
    <w:rsid w:val="00B0733B"/>
    <w:rsid w:val="00B1499F"/>
    <w:rsid w:val="00B166CE"/>
    <w:rsid w:val="00B34E2F"/>
    <w:rsid w:val="00B42987"/>
    <w:rsid w:val="00B51ED0"/>
    <w:rsid w:val="00B5306A"/>
    <w:rsid w:val="00B57713"/>
    <w:rsid w:val="00B64EE3"/>
    <w:rsid w:val="00B75841"/>
    <w:rsid w:val="00B82EC1"/>
    <w:rsid w:val="00BE73C6"/>
    <w:rsid w:val="00C04A06"/>
    <w:rsid w:val="00C1526D"/>
    <w:rsid w:val="00C16C54"/>
    <w:rsid w:val="00C45FA6"/>
    <w:rsid w:val="00C46A61"/>
    <w:rsid w:val="00C61109"/>
    <w:rsid w:val="00C667A0"/>
    <w:rsid w:val="00C755CF"/>
    <w:rsid w:val="00C83FB7"/>
    <w:rsid w:val="00C93E7E"/>
    <w:rsid w:val="00CA48DE"/>
    <w:rsid w:val="00CD1A12"/>
    <w:rsid w:val="00CF741A"/>
    <w:rsid w:val="00D0317C"/>
    <w:rsid w:val="00D24618"/>
    <w:rsid w:val="00D3622A"/>
    <w:rsid w:val="00D4142F"/>
    <w:rsid w:val="00D63D1F"/>
    <w:rsid w:val="00D72A4F"/>
    <w:rsid w:val="00DB571A"/>
    <w:rsid w:val="00DC0E2D"/>
    <w:rsid w:val="00E016C5"/>
    <w:rsid w:val="00E15046"/>
    <w:rsid w:val="00E30414"/>
    <w:rsid w:val="00E3136E"/>
    <w:rsid w:val="00E32041"/>
    <w:rsid w:val="00E40994"/>
    <w:rsid w:val="00E40D5D"/>
    <w:rsid w:val="00E71B7C"/>
    <w:rsid w:val="00E83A69"/>
    <w:rsid w:val="00E943F4"/>
    <w:rsid w:val="00EA7DE3"/>
    <w:rsid w:val="00EC4366"/>
    <w:rsid w:val="00EE4BF6"/>
    <w:rsid w:val="00F114F7"/>
    <w:rsid w:val="00F24881"/>
    <w:rsid w:val="00F2578B"/>
    <w:rsid w:val="00F56D13"/>
    <w:rsid w:val="00F579C7"/>
    <w:rsid w:val="00F65C4A"/>
    <w:rsid w:val="00F750CE"/>
    <w:rsid w:val="00F811B6"/>
    <w:rsid w:val="00F86FAD"/>
    <w:rsid w:val="00F934CB"/>
    <w:rsid w:val="00F97FA2"/>
    <w:rsid w:val="00FA24EC"/>
    <w:rsid w:val="00FF5816"/>
    <w:rsid w:val="00FF6A08"/>
    <w:rsid w:val="2B0C573E"/>
    <w:rsid w:val="5B0A4599"/>
    <w:rsid w:val="7D4E70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Normal Indent"/>
    <w:basedOn w:val="1"/>
    <w:qFormat/>
    <w:uiPriority w:val="0"/>
    <w:pPr>
      <w:ind w:firstLine="200" w:firstLineChars="200"/>
    </w:pPr>
    <w:rPr>
      <w:rFonts w:asciiTheme="minorHAnsi" w:hAnsiTheme="minorHAnsi" w:eastAsiaTheme="minorEastAsia" w:cstheme="minorBidi"/>
      <w:szCs w:val="24"/>
    </w:rPr>
  </w:style>
  <w:style w:type="paragraph" w:styleId="4">
    <w:name w:val="Balloon Text"/>
    <w:basedOn w:val="1"/>
    <w:link w:val="11"/>
    <w:semiHidden/>
    <w:unhideWhenUsed/>
    <w:qFormat/>
    <w:uiPriority w:val="99"/>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2"/>
    <w:qFormat/>
    <w:uiPriority w:val="99"/>
    <w:rPr>
      <w:sz w:val="18"/>
      <w:szCs w:val="18"/>
    </w:rPr>
  </w:style>
  <w:style w:type="paragraph" w:customStyle="1" w:styleId="10">
    <w:name w:val="公文"/>
    <w:basedOn w:val="1"/>
    <w:qFormat/>
    <w:uiPriority w:val="0"/>
    <w:pPr>
      <w:widowControl/>
      <w:spacing w:line="560" w:lineRule="exact"/>
      <w:ind w:firstLine="200" w:firstLineChars="200"/>
      <w:jc w:val="left"/>
    </w:pPr>
    <w:rPr>
      <w:rFonts w:ascii="Calibri" w:hAnsi="Calibri" w:eastAsia="仿宋_GB2312" w:cs="黑体"/>
      <w:sz w:val="32"/>
    </w:rPr>
  </w:style>
  <w:style w:type="character" w:customStyle="1" w:styleId="11">
    <w:name w:val="批注框文本 字符"/>
    <w:basedOn w:val="7"/>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6482</Words>
  <Characters>6605</Characters>
  <Lines>47</Lines>
  <Paragraphs>13</Paragraphs>
  <TotalTime>0</TotalTime>
  <ScaleCrop>false</ScaleCrop>
  <LinksUpToDate>false</LinksUpToDate>
  <CharactersWithSpaces>6610</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2024-12-02T12:15:00Z</dcterms:created>
  <dc:creator>法规科</dc:creator>
  <cp:lastModifiedBy>lenovo</cp:lastModifiedBy>
  <cp:lastPrinted>2024-12-19T09:36:00Z</cp:lastPrinted>
  <dcterms:modified xsi:type="dcterms:W3CDTF">2025-03-27T08:00:35Z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91C1E77CA98E40AF91FEAC593C340AF8</vt:lpwstr>
  </property>
  <property fmtid="{D5CDD505-2E9C-101B-9397-08002B2CF9AE}" pid="4" name="KSOTemplateDocerSaveRecord">
    <vt:lpwstr>eyJoZGlkIjoiMGU3M2U2NzEwNTZmNTk2Mjk1MjBlYzY0MTM1MzM0YTUiLCJ1c2VySWQiOiI2Mzc1MDI3OTEifQ==</vt:lpwstr>
  </property>
</Properties>
</file>