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北京市</w:t>
      </w:r>
      <w:r>
        <w:rPr>
          <w:rFonts w:hint="default" w:ascii="Times New Roman" w:hAnsi="Times New Roman" w:eastAsia="方正小标宋简体" w:cs="Times New Roman"/>
          <w:sz w:val="44"/>
          <w:szCs w:val="44"/>
          <w:lang w:eastAsia="zh-CN"/>
        </w:rPr>
        <w:t>东城区国有资产监督管理委员会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lang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年法治政府建设年度情况</w:t>
      </w:r>
      <w:r>
        <w:rPr>
          <w:rFonts w:hint="default" w:ascii="Times New Roman" w:hAnsi="Times New Roman" w:eastAsia="方正小标宋简体" w:cs="Times New Roman"/>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年以来，区国资委坚持以习近平新时代中国特色社会主义思想为指导，全面贯彻落实党的二十大和二十届三中全会精神，深入学习贯彻习近平法治思想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党中央关于全面依法治国的决策部署，严格落实法治政府建设各项任务，把法治</w:t>
      </w:r>
      <w:r>
        <w:rPr>
          <w:rFonts w:hint="default" w:ascii="Times New Roman" w:hAnsi="Times New Roman" w:eastAsia="仿宋_GB2312" w:cs="Times New Roman"/>
          <w:sz w:val="32"/>
          <w:szCs w:val="32"/>
          <w:highlight w:val="none"/>
        </w:rPr>
        <w:t>建设与依法履行出资人职责、依法维护出资人合法权益相结合</w:t>
      </w:r>
      <w:r>
        <w:rPr>
          <w:rFonts w:hint="eastAsia" w:ascii="Times New Roman" w:hAnsi="Times New Roman" w:eastAsia="仿宋_GB2312" w:cs="Times New Roman"/>
          <w:sz w:val="32"/>
          <w:szCs w:val="32"/>
          <w:highlight w:val="none"/>
          <w:lang w:eastAsia="zh-CN"/>
        </w:rPr>
        <w:t>，紧扣新一轮国企改革的提升对提升监管专业化体系化法治化水平的要求，</w:t>
      </w:r>
      <w:r>
        <w:rPr>
          <w:rFonts w:hint="default" w:ascii="Times New Roman" w:hAnsi="Times New Roman" w:eastAsia="仿宋_GB2312" w:cs="Times New Roman"/>
          <w:sz w:val="32"/>
          <w:szCs w:val="32"/>
          <w:highlight w:val="none"/>
          <w:lang w:eastAsia="zh-CN"/>
        </w:rPr>
        <w:t>坚持以法治思维和法治方式统筹推进国资系统各项工作，着力打造法治国资国企，以坚实的法治保障推动构建“</w:t>
      </w:r>
      <w:r>
        <w:rPr>
          <w:rFonts w:hint="default" w:ascii="Times New Roman" w:hAnsi="Times New Roman" w:eastAsia="仿宋_GB2312" w:cs="Times New Roman"/>
          <w:sz w:val="32"/>
          <w:szCs w:val="32"/>
          <w:highlight w:val="none"/>
          <w:lang w:val="en-US" w:eastAsia="zh-CN"/>
        </w:rPr>
        <w:t>1+N</w:t>
      </w:r>
      <w:r>
        <w:rPr>
          <w:rFonts w:hint="default" w:ascii="Times New Roman" w:hAnsi="Times New Roman" w:eastAsia="仿宋_GB2312" w:cs="Times New Roman"/>
          <w:sz w:val="32"/>
          <w:szCs w:val="32"/>
          <w:highlight w:val="none"/>
          <w:lang w:eastAsia="zh-CN"/>
        </w:rPr>
        <w:t>”国有经济新布局、</w:t>
      </w:r>
      <w:r>
        <w:rPr>
          <w:rFonts w:hint="default" w:ascii="Times New Roman" w:hAnsi="Times New Roman" w:eastAsia="仿宋_GB2312" w:cs="Times New Roman"/>
          <w:sz w:val="32"/>
          <w:szCs w:val="32"/>
          <w:shd w:val="clear" w:color="auto" w:fill="FFFFFF"/>
        </w:rPr>
        <w:t>持续做强做优做大国有资本和国有企业</w:t>
      </w:r>
      <w:r>
        <w:rPr>
          <w:rFonts w:hint="default" w:ascii="Times New Roman" w:hAnsi="Times New Roman" w:eastAsia="仿宋_GB2312" w:cs="Times New Roman"/>
          <w:sz w:val="32"/>
          <w:szCs w:val="32"/>
          <w:highlight w:val="none"/>
        </w:rPr>
        <w:t>。现将本年度</w:t>
      </w:r>
      <w:r>
        <w:rPr>
          <w:rFonts w:hint="default" w:ascii="Times New Roman" w:hAnsi="Times New Roman" w:eastAsia="仿宋_GB2312" w:cs="Times New Roman"/>
          <w:sz w:val="32"/>
          <w:szCs w:val="32"/>
          <w:highlight w:val="none"/>
          <w:lang w:eastAsia="zh-CN"/>
        </w:rPr>
        <w:t>法治政府建设年度情况</w:t>
      </w:r>
      <w:r>
        <w:rPr>
          <w:rFonts w:hint="default" w:ascii="Times New Roman" w:hAnsi="Times New Roman" w:eastAsia="仿宋_GB2312" w:cs="Times New Roman"/>
          <w:sz w:val="32"/>
          <w:szCs w:val="32"/>
          <w:highlight w:val="none"/>
        </w:rPr>
        <w:t>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推进法治政府建设的</w:t>
      </w:r>
      <w:r>
        <w:rPr>
          <w:rFonts w:hint="default" w:ascii="Times New Roman" w:hAnsi="Times New Roman" w:eastAsia="黑体" w:cs="Times New Roman"/>
          <w:sz w:val="32"/>
          <w:szCs w:val="32"/>
        </w:rPr>
        <w:t>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（一）坚持政治引领，强化法治建设责任意识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6"/>
          <w:lang w:eastAsia="zh-CN"/>
        </w:rPr>
      </w:pPr>
      <w:r>
        <w:rPr>
          <w:rFonts w:hint="default" w:ascii="Times New Roman" w:hAnsi="Times New Roman" w:eastAsia="仿宋_GB2312" w:cs="Times New Roman"/>
          <w:b/>
          <w:bCs/>
          <w:sz w:val="32"/>
          <w:szCs w:val="36"/>
          <w:highlight w:val="none"/>
          <w:lang w:val="en-US" w:eastAsia="zh-CN"/>
        </w:rPr>
        <w:t>1.</w:t>
      </w:r>
      <w:r>
        <w:rPr>
          <w:rFonts w:hint="eastAsia" w:ascii="Times New Roman" w:hAnsi="Times New Roman" w:eastAsia="仿宋_GB2312" w:cs="Times New Roman"/>
          <w:b/>
          <w:bCs/>
          <w:sz w:val="32"/>
          <w:szCs w:val="36"/>
          <w:highlight w:val="none"/>
          <w:lang w:val="en-US" w:eastAsia="zh-CN"/>
        </w:rPr>
        <w:t>压实法治建设主体责任</w:t>
      </w:r>
      <w:r>
        <w:rPr>
          <w:rFonts w:hint="default" w:ascii="Times New Roman" w:hAnsi="Times New Roman" w:eastAsia="仿宋_GB2312" w:cs="Times New Roman"/>
          <w:b/>
          <w:bCs/>
          <w:sz w:val="32"/>
          <w:szCs w:val="36"/>
          <w:highlight w:val="none"/>
          <w:lang w:val="en-US" w:eastAsia="zh-CN"/>
        </w:rPr>
        <w:t>。</w:t>
      </w:r>
      <w:r>
        <w:rPr>
          <w:rFonts w:hint="default" w:ascii="Times New Roman" w:hAnsi="Times New Roman" w:eastAsia="仿宋_GB2312" w:cs="Times New Roman"/>
          <w:b w:val="0"/>
          <w:bCs w:val="0"/>
          <w:sz w:val="32"/>
          <w:szCs w:val="36"/>
          <w:highlight w:val="none"/>
          <w:lang w:eastAsia="zh-CN"/>
        </w:rPr>
        <w:t>全面</w:t>
      </w:r>
      <w:r>
        <w:rPr>
          <w:rFonts w:hint="default" w:ascii="Times New Roman" w:hAnsi="Times New Roman" w:eastAsia="仿宋_GB2312" w:cs="Times New Roman"/>
          <w:b w:val="0"/>
          <w:bCs w:val="0"/>
          <w:sz w:val="32"/>
          <w:szCs w:val="36"/>
          <w:lang w:eastAsia="zh-CN"/>
        </w:rPr>
        <w:t>落实领导班子和领导干部学法、述法制度，</w:t>
      </w:r>
      <w:r>
        <w:rPr>
          <w:rFonts w:hint="default" w:ascii="Times New Roman" w:hAnsi="Times New Roman" w:eastAsia="仿宋_GB2312" w:cs="Times New Roman"/>
          <w:sz w:val="32"/>
          <w:szCs w:val="36"/>
          <w:lang w:eastAsia="zh-CN"/>
        </w:rPr>
        <w:t>主要负责人履行推进法治建设“第一责任人”职责，其他班子成员履行</w:t>
      </w:r>
      <w:r>
        <w:rPr>
          <w:rFonts w:hint="default" w:ascii="Times New Roman" w:hAnsi="Times New Roman" w:eastAsia="仿宋_GB2312" w:cs="Times New Roman"/>
          <w:sz w:val="32"/>
          <w:szCs w:val="36"/>
          <w:lang w:val="en-US" w:eastAsia="zh-CN"/>
        </w:rPr>
        <w:t>法治政府建设</w:t>
      </w:r>
      <w:r>
        <w:rPr>
          <w:rFonts w:hint="default" w:ascii="Times New Roman" w:hAnsi="Times New Roman" w:eastAsia="仿宋_GB2312" w:cs="Times New Roman"/>
          <w:sz w:val="32"/>
          <w:szCs w:val="36"/>
          <w:lang w:eastAsia="zh-CN"/>
        </w:rPr>
        <w:t>“一岗双责”，建立</w:t>
      </w:r>
      <w:r>
        <w:rPr>
          <w:rFonts w:hint="eastAsia" w:ascii="Times New Roman" w:hAnsi="Times New Roman" w:eastAsia="仿宋_GB2312" w:cs="Times New Roman"/>
          <w:sz w:val="32"/>
          <w:szCs w:val="36"/>
          <w:highlight w:val="none"/>
          <w:lang w:eastAsia="zh-CN"/>
        </w:rPr>
        <w:t>理论学习中心组</w:t>
      </w:r>
      <w:r>
        <w:rPr>
          <w:rFonts w:hint="default"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lang w:eastAsia="zh-CN"/>
        </w:rPr>
        <w:t>主任办公会、党委学法用法“三位一体”学法机制</w:t>
      </w:r>
      <w:r>
        <w:rPr>
          <w:rFonts w:hint="default" w:ascii="Times New Roman" w:hAnsi="Times New Roman" w:eastAsia="仿宋_GB2312" w:cs="Times New Roman"/>
          <w:sz w:val="32"/>
          <w:szCs w:val="36"/>
          <w:highlight w:val="none"/>
          <w:lang w:eastAsia="zh-CN"/>
        </w:rPr>
        <w:t>。重点围绕习近平法治思想、</w:t>
      </w:r>
      <w:r>
        <w:rPr>
          <w:rFonts w:hint="default" w:ascii="Times New Roman" w:hAnsi="Times New Roman" w:eastAsia="仿宋_GB2312" w:cs="Times New Roman"/>
          <w:sz w:val="32"/>
          <w:szCs w:val="36"/>
          <w:highlight w:val="none"/>
          <w:lang w:val="en-US" w:eastAsia="zh-CN"/>
        </w:rPr>
        <w:t>习近平经济思想、</w:t>
      </w:r>
      <w:r>
        <w:rPr>
          <w:rFonts w:hint="default" w:ascii="Times New Roman" w:hAnsi="Times New Roman" w:eastAsia="仿宋_GB2312" w:cs="Times New Roman"/>
          <w:sz w:val="32"/>
          <w:szCs w:val="36"/>
          <w:highlight w:val="none"/>
          <w:lang w:eastAsia="zh-CN"/>
        </w:rPr>
        <w:t>民法典、机构编制管理相关法律法规等内容组织学习，</w:t>
      </w:r>
      <w:r>
        <w:rPr>
          <w:rFonts w:hint="default" w:ascii="Times New Roman" w:hAnsi="Times New Roman" w:eastAsia="仿宋_GB2312" w:cs="Times New Roman"/>
          <w:b w:val="0"/>
          <w:bCs w:val="0"/>
          <w:sz w:val="32"/>
          <w:szCs w:val="36"/>
          <w:lang w:eastAsia="zh-CN"/>
        </w:rPr>
        <w:t>在理论学习中心组学习会上学习《论坚持全面依法治国》，</w:t>
      </w:r>
      <w:r>
        <w:rPr>
          <w:rFonts w:hint="default" w:ascii="Times New Roman" w:hAnsi="Times New Roman" w:eastAsia="仿宋_GB2312" w:cs="Times New Roman"/>
          <w:sz w:val="32"/>
          <w:szCs w:val="36"/>
          <w:highlight w:val="none"/>
          <w:lang w:eastAsia="zh-CN"/>
        </w:rPr>
        <w:t>精</w:t>
      </w:r>
      <w:r>
        <w:rPr>
          <w:rFonts w:hint="default" w:ascii="Times New Roman" w:hAnsi="Times New Roman" w:eastAsia="仿宋_GB2312" w:cs="Times New Roman"/>
          <w:sz w:val="32"/>
          <w:szCs w:val="36"/>
          <w:lang w:eastAsia="zh-CN"/>
        </w:rPr>
        <w:t>学细学</w:t>
      </w:r>
      <w:r>
        <w:rPr>
          <w:rFonts w:hint="default" w:ascii="Times New Roman" w:hAnsi="Times New Roman" w:eastAsia="仿宋_GB2312" w:cs="Times New Roman"/>
          <w:sz w:val="32"/>
          <w:szCs w:val="36"/>
          <w:lang w:val="en-US" w:eastAsia="zh-CN"/>
        </w:rPr>
        <w:t>关于国有资产监督管理和国有企业经营管理方面的</w:t>
      </w:r>
      <w:r>
        <w:rPr>
          <w:rFonts w:hint="default" w:ascii="Times New Roman" w:hAnsi="Times New Roman" w:eastAsia="仿宋_GB2312" w:cs="Times New Roman"/>
          <w:sz w:val="32"/>
          <w:szCs w:val="36"/>
          <w:lang w:eastAsia="zh-CN"/>
        </w:rPr>
        <w:t>法律法</w:t>
      </w:r>
      <w:r>
        <w:rPr>
          <w:rFonts w:hint="default" w:ascii="Times New Roman" w:hAnsi="Times New Roman" w:eastAsia="仿宋_GB2312" w:cs="Times New Roman"/>
          <w:sz w:val="32"/>
          <w:szCs w:val="36"/>
          <w:highlight w:val="none"/>
          <w:lang w:eastAsia="zh-CN"/>
        </w:rPr>
        <w:t>规，厚植领导干部</w:t>
      </w:r>
      <w:r>
        <w:rPr>
          <w:rFonts w:hint="eastAsia" w:ascii="Times New Roman" w:hAnsi="Times New Roman" w:eastAsia="仿宋_GB2312" w:cs="Times New Roman"/>
          <w:sz w:val="32"/>
          <w:szCs w:val="36"/>
          <w:highlight w:val="none"/>
          <w:lang w:eastAsia="zh-CN"/>
        </w:rPr>
        <w:t>依法行政能力水平</w:t>
      </w:r>
      <w:r>
        <w:rPr>
          <w:rFonts w:hint="default" w:ascii="Times New Roman" w:hAnsi="Times New Roman" w:eastAsia="仿宋_GB2312" w:cs="Times New Roman"/>
          <w:b w:val="0"/>
          <w:bCs w:val="0"/>
          <w:sz w:val="32"/>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highlight w:val="none"/>
          <w:lang w:val="en-US" w:eastAsia="zh-CN"/>
        </w:rPr>
      </w:pPr>
      <w:r>
        <w:rPr>
          <w:rFonts w:hint="default" w:ascii="Times New Roman" w:hAnsi="Times New Roman" w:eastAsia="仿宋_GB2312" w:cs="Times New Roman"/>
          <w:b/>
          <w:bCs/>
          <w:sz w:val="32"/>
          <w:szCs w:val="36"/>
          <w:highlight w:val="none"/>
          <w:lang w:val="en-US" w:eastAsia="zh-CN"/>
        </w:rPr>
        <w:t>2.</w:t>
      </w:r>
      <w:r>
        <w:rPr>
          <w:rFonts w:hint="eastAsia" w:ascii="Times New Roman" w:hAnsi="Times New Roman" w:eastAsia="仿宋_GB2312" w:cs="Times New Roman"/>
          <w:b/>
          <w:bCs/>
          <w:sz w:val="32"/>
          <w:szCs w:val="36"/>
          <w:highlight w:val="none"/>
          <w:lang w:val="en-US" w:eastAsia="zh-CN"/>
        </w:rPr>
        <w:t>提升</w:t>
      </w:r>
      <w:r>
        <w:rPr>
          <w:rFonts w:hint="eastAsia" w:ascii="Times New Roman" w:hAnsi="Times New Roman" w:eastAsia="仿宋_GB2312" w:cs="Times New Roman"/>
          <w:b/>
          <w:bCs/>
          <w:sz w:val="32"/>
          <w:szCs w:val="36"/>
          <w:highlight w:val="none"/>
          <w:lang w:eastAsia="zh-CN"/>
        </w:rPr>
        <w:t>干部队伍法治素养</w:t>
      </w:r>
      <w:r>
        <w:rPr>
          <w:rFonts w:hint="default" w:ascii="Times New Roman" w:hAnsi="Times New Roman" w:eastAsia="仿宋_GB2312" w:cs="Times New Roman"/>
          <w:b/>
          <w:bCs/>
          <w:sz w:val="32"/>
          <w:szCs w:val="36"/>
          <w:highlight w:val="none"/>
          <w:lang w:eastAsia="zh-CN"/>
        </w:rPr>
        <w:t>。</w:t>
      </w:r>
      <w:r>
        <w:rPr>
          <w:rFonts w:hint="default" w:ascii="Times New Roman" w:hAnsi="Times New Roman" w:eastAsia="仿宋_GB2312" w:cs="Times New Roman"/>
          <w:sz w:val="32"/>
          <w:szCs w:val="36"/>
          <w:highlight w:val="none"/>
          <w:lang w:eastAsia="zh-CN"/>
        </w:rPr>
        <w:t>通过会前学法解读</w:t>
      </w:r>
      <w:r>
        <w:rPr>
          <w:rFonts w:hint="default" w:ascii="Times New Roman" w:hAnsi="Times New Roman" w:eastAsia="仿宋_GB2312" w:cs="Times New Roman"/>
          <w:sz w:val="32"/>
          <w:szCs w:val="36"/>
          <w:highlight w:val="none"/>
          <w:lang w:val="en-US" w:eastAsia="zh-CN"/>
        </w:rPr>
        <w:t>国有企业违规经营投资责任追究实施办法、新《</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sz w:val="32"/>
          <w:szCs w:val="36"/>
          <w:highlight w:val="none"/>
          <w:lang w:val="en-US" w:eastAsia="zh-CN"/>
        </w:rPr>
        <w:t>公司法》东城区行政事业单位财务管理及风险管控指引</w:t>
      </w:r>
      <w:r>
        <w:rPr>
          <w:rFonts w:hint="eastAsia" w:ascii="Times New Roman" w:hAnsi="Times New Roman" w:eastAsia="仿宋_GB2312" w:cs="Times New Roman"/>
          <w:sz w:val="32"/>
          <w:szCs w:val="36"/>
          <w:highlight w:val="none"/>
          <w:lang w:val="en-US" w:eastAsia="zh-CN"/>
        </w:rPr>
        <w:t>、</w:t>
      </w:r>
      <w:r>
        <w:rPr>
          <w:rFonts w:hint="default" w:ascii="Times New Roman" w:hAnsi="Times New Roman" w:eastAsia="仿宋_GB2312" w:cs="Times New Roman"/>
          <w:sz w:val="32"/>
          <w:szCs w:val="36"/>
          <w:highlight w:val="none"/>
          <w:lang w:val="en-US" w:eastAsia="zh-CN"/>
        </w:rPr>
        <w:t>区管企业授权放权管理办法，会前通报《公平竞争审查条例》等，加强加深对相关法律法规的理解。</w:t>
      </w:r>
      <w:r>
        <w:rPr>
          <w:rFonts w:hint="default" w:ascii="Times New Roman" w:hAnsi="Times New Roman" w:eastAsia="仿宋_GB2312" w:cs="Times New Roman"/>
          <w:sz w:val="32"/>
          <w:szCs w:val="36"/>
          <w:lang w:val="en-US" w:eastAsia="zh-CN"/>
        </w:rPr>
        <w:t>法治建设主管领导</w:t>
      </w:r>
      <w:r>
        <w:rPr>
          <w:rFonts w:hint="default" w:ascii="Times New Roman" w:hAnsi="Times New Roman" w:eastAsia="仿宋_GB2312" w:cs="Times New Roman"/>
          <w:sz w:val="32"/>
          <w:szCs w:val="36"/>
          <w:highlight w:val="none"/>
          <w:lang w:val="en-US" w:eastAsia="zh-CN"/>
        </w:rPr>
        <w:t>发挥职能优势带头学法，参加领导干部依法行政系列专题培训、依法行政能力提升培训和庭审旁听等培训学习会。组织单位相关人员参加东城区国家工作人员2024年第三批学法考试，成绩优秀率100%。参加公平竞争审查业务培训交流会、业务竞赛，强化对《公平竞争审查条例》的理解与运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仿宋_GB2312" w:cs="Times New Roman"/>
          <w:b/>
          <w:bCs/>
          <w:sz w:val="32"/>
          <w:szCs w:val="36"/>
          <w:highlight w:val="none"/>
          <w:lang w:val="en-US" w:eastAsia="zh-CN"/>
        </w:rPr>
        <w:t>3.丰富</w:t>
      </w:r>
      <w:r>
        <w:rPr>
          <w:rFonts w:hint="eastAsia" w:ascii="Times New Roman" w:hAnsi="Times New Roman" w:eastAsia="仿宋_GB2312" w:cs="Times New Roman"/>
          <w:b/>
          <w:bCs/>
          <w:sz w:val="32"/>
          <w:szCs w:val="36"/>
          <w:highlight w:val="none"/>
          <w:lang w:val="en-US" w:eastAsia="zh-CN"/>
        </w:rPr>
        <w:t>法治学习</w:t>
      </w:r>
      <w:r>
        <w:rPr>
          <w:rFonts w:hint="default" w:ascii="Times New Roman" w:hAnsi="Times New Roman" w:eastAsia="仿宋_GB2312" w:cs="Times New Roman"/>
          <w:b/>
          <w:bCs/>
          <w:sz w:val="32"/>
          <w:szCs w:val="36"/>
          <w:highlight w:val="none"/>
          <w:lang w:val="en-US" w:eastAsia="zh-CN"/>
        </w:rPr>
        <w:t>内容形式。</w:t>
      </w:r>
      <w:r>
        <w:rPr>
          <w:rFonts w:hint="default" w:ascii="Times New Roman" w:hAnsi="Times New Roman" w:eastAsia="仿宋_GB2312" w:cs="Times New Roman"/>
          <w:sz w:val="32"/>
          <w:szCs w:val="36"/>
          <w:lang w:val="en-US" w:eastAsia="zh-CN"/>
        </w:rPr>
        <w:t>加强反腐倡廉警示教育，组织全系统处级领导干部多次参观市、区警示教育基地。</w:t>
      </w:r>
      <w:r>
        <w:rPr>
          <w:rFonts w:hint="default" w:ascii="Times New Roman" w:hAnsi="Times New Roman" w:eastAsia="仿宋_GB2312" w:cs="Times New Roman"/>
          <w:i w:val="0"/>
          <w:iCs w:val="0"/>
          <w:caps w:val="0"/>
          <w:color w:val="232930"/>
          <w:spacing w:val="0"/>
          <w:sz w:val="32"/>
          <w:szCs w:val="32"/>
          <w:shd w:val="clear" w:fill="FFFFFF"/>
        </w:rPr>
        <w:t>组织全体干部开展2024年度消防应急疏散演练</w:t>
      </w:r>
      <w:r>
        <w:rPr>
          <w:rFonts w:hint="default" w:ascii="Times New Roman" w:hAnsi="Times New Roman" w:eastAsia="仿宋_GB2312" w:cs="Times New Roman"/>
          <w:i w:val="0"/>
          <w:iCs w:val="0"/>
          <w:caps w:val="0"/>
          <w:color w:val="232930"/>
          <w:spacing w:val="0"/>
          <w:sz w:val="32"/>
          <w:szCs w:val="32"/>
          <w:shd w:val="clear" w:fill="FFFFFF"/>
          <w:lang w:eastAsia="zh-CN"/>
        </w:rPr>
        <w:t>，解读</w:t>
      </w:r>
      <w:r>
        <w:rPr>
          <w:rFonts w:hint="default" w:ascii="Times New Roman" w:hAnsi="Times New Roman" w:eastAsia="仿宋_GB2312" w:cs="Times New Roman"/>
          <w:i w:val="0"/>
          <w:iCs w:val="0"/>
          <w:caps w:val="0"/>
          <w:color w:val="232930"/>
          <w:spacing w:val="0"/>
          <w:sz w:val="32"/>
          <w:szCs w:val="32"/>
          <w:highlight w:val="none"/>
          <w:shd w:val="clear" w:fill="FFFFFF"/>
          <w:lang w:eastAsia="zh-CN"/>
        </w:rPr>
        <w:t>《</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i w:val="0"/>
          <w:iCs w:val="0"/>
          <w:caps w:val="0"/>
          <w:color w:val="232930"/>
          <w:spacing w:val="0"/>
          <w:sz w:val="32"/>
          <w:szCs w:val="32"/>
          <w:highlight w:val="none"/>
          <w:shd w:val="clear" w:fill="FFFFFF"/>
          <w:lang w:eastAsia="zh-CN"/>
        </w:rPr>
        <w:t>消防法》，</w:t>
      </w:r>
      <w:r>
        <w:rPr>
          <w:rFonts w:hint="default" w:ascii="Times New Roman" w:hAnsi="Times New Roman" w:eastAsia="仿宋_GB2312" w:cs="Times New Roman"/>
          <w:i w:val="0"/>
          <w:iCs w:val="0"/>
          <w:caps w:val="0"/>
          <w:color w:val="232930"/>
          <w:spacing w:val="0"/>
          <w:sz w:val="32"/>
          <w:szCs w:val="32"/>
          <w:highlight w:val="none"/>
          <w:shd w:val="clear" w:fill="FFFFFF"/>
        </w:rPr>
        <w:t>进一步增强机关干部公共安全意识，提升防灾避险和消防应急能力</w:t>
      </w:r>
      <w:r>
        <w:rPr>
          <w:rFonts w:hint="default" w:ascii="Times New Roman" w:hAnsi="Times New Roman" w:eastAsia="仿宋_GB2312" w:cs="Times New Roman"/>
          <w:i w:val="0"/>
          <w:iCs w:val="0"/>
          <w:caps w:val="0"/>
          <w:color w:val="232930"/>
          <w:spacing w:val="0"/>
          <w:sz w:val="32"/>
          <w:szCs w:val="32"/>
          <w:highlight w:val="none"/>
          <w:shd w:val="clear" w:fill="FFFFFF"/>
          <w:lang w:eastAsia="zh-CN"/>
        </w:rPr>
        <w:t>。</w:t>
      </w:r>
      <w:r>
        <w:rPr>
          <w:rFonts w:hint="default" w:ascii="Times New Roman" w:hAnsi="Times New Roman" w:eastAsia="仿宋_GB2312" w:cs="Times New Roman"/>
          <w:sz w:val="32"/>
          <w:szCs w:val="36"/>
          <w:highlight w:val="none"/>
          <w:lang w:eastAsia="zh-CN"/>
        </w:rPr>
        <w:t>组织专题法律培训，开展“《</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sz w:val="32"/>
          <w:szCs w:val="36"/>
          <w:highlight w:val="none"/>
          <w:lang w:eastAsia="zh-CN"/>
        </w:rPr>
        <w:t>公司法</w:t>
      </w:r>
      <w:r>
        <w:rPr>
          <w:rFonts w:hint="default" w:ascii="Times New Roman" w:hAnsi="Times New Roman" w:eastAsia="仿宋_GB2312" w:cs="Times New Roman"/>
          <w:sz w:val="32"/>
          <w:szCs w:val="36"/>
          <w:highlight w:val="none"/>
          <w:lang w:eastAsia="zh-CN"/>
        </w:rPr>
        <w:t>》新修订与深化国资国企改革专题培训”法律讲座，</w:t>
      </w:r>
      <w:r>
        <w:rPr>
          <w:rFonts w:hint="default" w:ascii="Times New Roman" w:hAnsi="Times New Roman" w:eastAsia="仿宋_GB2312" w:cs="Times New Roman"/>
          <w:sz w:val="32"/>
          <w:szCs w:val="36"/>
          <w:highlight w:val="none"/>
          <w:lang w:val="en-US" w:eastAsia="zh-CN"/>
        </w:rPr>
        <w:t>推进企业</w:t>
      </w:r>
      <w:r>
        <w:rPr>
          <w:rFonts w:hint="default" w:ascii="Times New Roman" w:hAnsi="Times New Roman" w:eastAsia="仿宋_GB2312" w:cs="Times New Roman"/>
          <w:sz w:val="32"/>
          <w:szCs w:val="36"/>
          <w:highlight w:val="none"/>
          <w:lang w:eastAsia="zh-CN"/>
        </w:rPr>
        <w:t>以贯彻落实公司法新要求为契机，在持续提升治理效能上下功夫。组织档案工作培训会，提高档案管理的科学化和规范化水平。召开区国资系统2024年网络安全和软件正版化工作培训会，解读《</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sz w:val="32"/>
          <w:szCs w:val="36"/>
          <w:highlight w:val="none"/>
          <w:lang w:eastAsia="zh-CN"/>
        </w:rPr>
        <w:t>网络安全法</w:t>
      </w:r>
      <w:r>
        <w:rPr>
          <w:rFonts w:hint="default" w:ascii="Times New Roman" w:hAnsi="Times New Roman" w:eastAsia="仿宋_GB2312" w:cs="Times New Roman"/>
          <w:sz w:val="32"/>
          <w:szCs w:val="36"/>
          <w:highlight w:val="none"/>
          <w:lang w:eastAsia="zh-CN"/>
        </w:rPr>
        <w:t>》，不断完善网络安全防护体系、加快推动软件正版化进程。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（二）</w:t>
      </w:r>
      <w:r>
        <w:rPr>
          <w:rFonts w:hint="eastAsia" w:ascii="Times New Roman" w:hAnsi="Times New Roman" w:eastAsia="楷体_GB2312" w:cs="Times New Roman"/>
          <w:sz w:val="32"/>
          <w:szCs w:val="32"/>
          <w:highlight w:val="none"/>
          <w:lang w:eastAsia="zh-CN"/>
        </w:rPr>
        <w:t>健全法治链条</w:t>
      </w:r>
      <w:r>
        <w:rPr>
          <w:rFonts w:hint="default" w:ascii="Times New Roman" w:hAnsi="Times New Roman" w:eastAsia="楷体_GB2312" w:cs="Times New Roman"/>
          <w:sz w:val="32"/>
          <w:szCs w:val="32"/>
          <w:highlight w:val="none"/>
          <w:lang w:eastAsia="zh-CN"/>
        </w:rPr>
        <w:t>，完善依法监管履职体系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highlight w:val="none"/>
          <w:lang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强化制度机制建设。</w:t>
      </w:r>
      <w:r>
        <w:rPr>
          <w:rFonts w:hint="default" w:ascii="Times New Roman" w:hAnsi="Times New Roman" w:eastAsia="仿宋_GB2312" w:cs="Times New Roman"/>
          <w:sz w:val="32"/>
          <w:szCs w:val="36"/>
        </w:rPr>
        <w:t>区国资委</w:t>
      </w:r>
      <w:r>
        <w:rPr>
          <w:rFonts w:hint="default" w:ascii="Times New Roman" w:hAnsi="Times New Roman" w:eastAsia="仿宋_GB2312" w:cs="Times New Roman"/>
          <w:sz w:val="32"/>
          <w:szCs w:val="32"/>
          <w:lang w:eastAsia="zh-CN"/>
        </w:rPr>
        <w:t>围绕新时代国资国企改革发展重点任</w:t>
      </w:r>
      <w:r>
        <w:rPr>
          <w:rFonts w:hint="default" w:ascii="Times New Roman" w:hAnsi="Times New Roman" w:eastAsia="仿宋_GB2312" w:cs="Times New Roman"/>
          <w:sz w:val="32"/>
          <w:szCs w:val="32"/>
          <w:highlight w:val="none"/>
          <w:lang w:eastAsia="zh-CN"/>
        </w:rPr>
        <w:t>务，</w:t>
      </w:r>
      <w:r>
        <w:rPr>
          <w:rFonts w:hint="default" w:ascii="Times New Roman" w:hAnsi="Times New Roman" w:eastAsia="仿宋_GB2312" w:cs="Times New Roman"/>
          <w:sz w:val="32"/>
          <w:szCs w:val="36"/>
          <w:highlight w:val="none"/>
        </w:rPr>
        <w:t>坚持立改废释并举，</w:t>
      </w:r>
      <w:r>
        <w:rPr>
          <w:rFonts w:hint="default" w:ascii="Times New Roman" w:hAnsi="Times New Roman" w:eastAsia="仿宋_GB2312" w:cs="Times New Roman"/>
          <w:sz w:val="32"/>
          <w:szCs w:val="36"/>
          <w:highlight w:val="none"/>
          <w:lang w:eastAsia="zh-CN"/>
        </w:rPr>
        <w:t>持续</w:t>
      </w:r>
      <w:r>
        <w:rPr>
          <w:rFonts w:hint="default" w:ascii="Times New Roman" w:hAnsi="Times New Roman" w:eastAsia="仿宋_GB2312" w:cs="Times New Roman"/>
          <w:sz w:val="32"/>
          <w:szCs w:val="36"/>
          <w:highlight w:val="none"/>
        </w:rPr>
        <w:t>完善国资监管制度体系，制订、修订了</w:t>
      </w:r>
      <w:r>
        <w:rPr>
          <w:rFonts w:hint="default" w:ascii="Times New Roman" w:hAnsi="Times New Roman" w:eastAsia="仿宋_GB2312" w:cs="Times New Roman"/>
          <w:sz w:val="32"/>
          <w:szCs w:val="36"/>
          <w:highlight w:val="none"/>
          <w:lang w:val="en-US" w:eastAsia="zh-CN"/>
        </w:rPr>
        <w:t>5</w:t>
      </w:r>
      <w:r>
        <w:rPr>
          <w:rFonts w:hint="default" w:ascii="Times New Roman" w:hAnsi="Times New Roman" w:eastAsia="仿宋_GB2312" w:cs="Times New Roman"/>
          <w:sz w:val="32"/>
          <w:szCs w:val="36"/>
          <w:highlight w:val="none"/>
        </w:rPr>
        <w:t>项国资监管制度，</w:t>
      </w:r>
      <w:r>
        <w:rPr>
          <w:rFonts w:hint="default" w:ascii="Times New Roman" w:hAnsi="Times New Roman" w:eastAsia="仿宋_GB2312" w:cs="Times New Roman"/>
          <w:sz w:val="32"/>
          <w:szCs w:val="36"/>
          <w:highlight w:val="none"/>
          <w:lang w:eastAsia="zh-CN"/>
        </w:rPr>
        <w:t>其中，</w:t>
      </w:r>
      <w:r>
        <w:rPr>
          <w:rFonts w:hint="default" w:ascii="Times New Roman" w:hAnsi="Times New Roman" w:eastAsia="仿宋_GB2312" w:cs="Times New Roman"/>
          <w:sz w:val="32"/>
          <w:szCs w:val="36"/>
          <w:highlight w:val="none"/>
          <w:lang w:val="en-US" w:eastAsia="zh-CN"/>
        </w:rPr>
        <w:t>国资委国有资本经营预算项目库暂行管理办法、国有企业国有资本经营预算支出执行监督管理暂行办法的出台，对国资系统使用国有资本经营预算作出规范性监督要求；区属国有企业负责人经营业绩考核办法、薪酬管理办法，为新一轮国企改革中充分发挥业绩薪酬考核指挥棒效用，做出企业考核体系与薪酬管理的顶层设计；此外，修订了规范国有企业房屋出租管理工作的实施细则</w:t>
      </w:r>
      <w:r>
        <w:rPr>
          <w:rFonts w:hint="default"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为依法行权履职提供制度保障</w:t>
      </w:r>
      <w:r>
        <w:rPr>
          <w:rFonts w:hint="default" w:ascii="Times New Roman" w:hAnsi="Times New Roman" w:eastAsia="仿宋_GB2312" w:cs="Times New Roman"/>
          <w:sz w:val="32"/>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highlight w:val="none"/>
          <w:lang w:eastAsia="zh-CN"/>
        </w:rPr>
      </w:pPr>
      <w:r>
        <w:rPr>
          <w:rFonts w:hint="default" w:ascii="Times New Roman" w:hAnsi="Times New Roman" w:eastAsia="仿宋_GB2312" w:cs="Times New Roman"/>
          <w:b/>
          <w:bCs/>
          <w:sz w:val="32"/>
          <w:szCs w:val="36"/>
          <w:highlight w:val="none"/>
          <w:lang w:val="en-US" w:eastAsia="zh-CN"/>
        </w:rPr>
        <w:t>2.</w:t>
      </w:r>
      <w:r>
        <w:rPr>
          <w:rFonts w:hint="default" w:ascii="Times New Roman" w:hAnsi="Times New Roman" w:eastAsia="仿宋_GB2312" w:cs="Times New Roman"/>
          <w:b/>
          <w:bCs/>
          <w:sz w:val="32"/>
          <w:szCs w:val="36"/>
          <w:highlight w:val="none"/>
          <w:lang w:eastAsia="zh-CN"/>
        </w:rPr>
        <w:t>妥善推进企业案件纠纷。</w:t>
      </w:r>
      <w:r>
        <w:rPr>
          <w:rFonts w:hint="eastAsia" w:ascii="Times New Roman" w:hAnsi="Times New Roman" w:eastAsia="仿宋_GB2312" w:cs="Times New Roman"/>
          <w:b w:val="0"/>
          <w:bCs w:val="0"/>
          <w:sz w:val="32"/>
          <w:szCs w:val="36"/>
          <w:highlight w:val="none"/>
          <w:lang w:eastAsia="zh-CN"/>
        </w:rPr>
        <w:t>建立重点案件纠纷协调机制，</w:t>
      </w:r>
      <w:r>
        <w:rPr>
          <w:rFonts w:hint="default" w:ascii="Times New Roman" w:hAnsi="Times New Roman" w:eastAsia="仿宋_GB2312" w:cs="Times New Roman"/>
          <w:sz w:val="32"/>
          <w:szCs w:val="36"/>
          <w:highlight w:val="none"/>
          <w:lang w:eastAsia="zh-CN"/>
        </w:rPr>
        <w:t>多次召开区属企业涉诉案件调度会，分析梳理案件成因、</w:t>
      </w:r>
      <w:r>
        <w:rPr>
          <w:rFonts w:hint="default" w:ascii="Times New Roman" w:hAnsi="Times New Roman" w:eastAsia="仿宋_GB2312" w:cs="Times New Roman"/>
          <w:sz w:val="32"/>
          <w:szCs w:val="40"/>
        </w:rPr>
        <w:t>探讨解决</w:t>
      </w:r>
      <w:r>
        <w:rPr>
          <w:rFonts w:hint="default" w:ascii="Times New Roman" w:hAnsi="Times New Roman" w:eastAsia="仿宋_GB2312" w:cs="Times New Roman"/>
          <w:sz w:val="32"/>
          <w:szCs w:val="40"/>
          <w:highlight w:val="none"/>
        </w:rPr>
        <w:t>路径</w:t>
      </w:r>
      <w:r>
        <w:rPr>
          <w:rFonts w:hint="default"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明确责任主体与需协调事项</w:t>
      </w:r>
      <w:r>
        <w:rPr>
          <w:rFonts w:hint="default"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36"/>
          <w:highlight w:val="none"/>
          <w:lang w:eastAsia="zh-CN"/>
        </w:rPr>
        <w:t>加强与上级部门</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lang w:eastAsia="zh-CN"/>
        </w:rPr>
        <w:t>相关</w:t>
      </w:r>
      <w:r>
        <w:rPr>
          <w:rFonts w:hint="eastAsia" w:ascii="Times New Roman" w:hAnsi="Times New Roman" w:eastAsia="仿宋_GB2312" w:cs="Times New Roman"/>
          <w:sz w:val="32"/>
          <w:szCs w:val="36"/>
          <w:highlight w:val="none"/>
          <w:lang w:eastAsia="zh-CN"/>
        </w:rPr>
        <w:t>单位</w:t>
      </w:r>
      <w:r>
        <w:rPr>
          <w:rFonts w:hint="default" w:ascii="Times New Roman" w:hAnsi="Times New Roman" w:eastAsia="仿宋_GB2312" w:cs="Times New Roman"/>
          <w:sz w:val="32"/>
          <w:szCs w:val="36"/>
          <w:highlight w:val="none"/>
          <w:lang w:eastAsia="zh-CN"/>
        </w:rPr>
        <w:t>沟通</w:t>
      </w:r>
      <w:r>
        <w:rPr>
          <w:rFonts w:hint="eastAsia" w:ascii="Times New Roman" w:hAnsi="Times New Roman" w:eastAsia="仿宋_GB2312" w:cs="Times New Roman"/>
          <w:sz w:val="32"/>
          <w:szCs w:val="36"/>
          <w:highlight w:val="none"/>
          <w:lang w:eastAsia="zh-CN"/>
        </w:rPr>
        <w:t>协调</w:t>
      </w:r>
      <w:r>
        <w:rPr>
          <w:rFonts w:hint="default" w:ascii="Times New Roman" w:hAnsi="Times New Roman" w:eastAsia="仿宋_GB2312" w:cs="Times New Roman"/>
          <w:sz w:val="32"/>
          <w:szCs w:val="36"/>
          <w:highlight w:val="none"/>
          <w:lang w:eastAsia="zh-CN"/>
        </w:rPr>
        <w:t>，借助专业力量，多渠道、多维度寻求有利证据与材料，协调推动原北京崇建工程公司涉诉案件</w:t>
      </w:r>
      <w:r>
        <w:rPr>
          <w:rFonts w:hint="eastAsia" w:ascii="Times New Roman" w:hAnsi="Times New Roman" w:eastAsia="仿宋_GB2312" w:cs="Times New Roman"/>
          <w:sz w:val="32"/>
          <w:szCs w:val="36"/>
          <w:highlight w:val="none"/>
          <w:lang w:eastAsia="zh-CN"/>
        </w:rPr>
        <w:t>、计算机二厂涉诉案件等</w:t>
      </w:r>
      <w:r>
        <w:rPr>
          <w:rFonts w:hint="default" w:ascii="Times New Roman" w:hAnsi="Times New Roman" w:eastAsia="仿宋_GB2312" w:cs="Times New Roman"/>
          <w:sz w:val="32"/>
          <w:szCs w:val="36"/>
          <w:highlight w:val="none"/>
          <w:lang w:val="en-US" w:eastAsia="zh-CN"/>
        </w:rPr>
        <w:t>10</w:t>
      </w:r>
      <w:r>
        <w:rPr>
          <w:rFonts w:hint="default" w:ascii="Times New Roman" w:hAnsi="Times New Roman" w:eastAsia="仿宋_GB2312" w:cs="Times New Roman"/>
          <w:sz w:val="32"/>
          <w:szCs w:val="36"/>
          <w:highlight w:val="none"/>
          <w:lang w:eastAsia="zh-CN"/>
        </w:rPr>
        <w:t>余件区属企业涉诉案件取得阶段性成效。同时，以案促管，分类梳理案件成因，召开国有企业合同管理中的法律风险防范专题研讨会，邀请东城区首席法律咨询专家团就合同签订、履行、到期或提前解除各阶段需注意的法律问题进行风险提示，</w:t>
      </w:r>
      <w:r>
        <w:rPr>
          <w:rFonts w:hint="eastAsia" w:ascii="Times New Roman" w:hAnsi="Times New Roman" w:eastAsia="仿宋_GB2312" w:cs="Times New Roman"/>
          <w:sz w:val="32"/>
          <w:szCs w:val="36"/>
          <w:highlight w:val="none"/>
          <w:lang w:eastAsia="zh-CN"/>
        </w:rPr>
        <w:t>并</w:t>
      </w:r>
      <w:r>
        <w:rPr>
          <w:rFonts w:hint="default" w:ascii="Times New Roman" w:hAnsi="Times New Roman" w:eastAsia="仿宋_GB2312" w:cs="Times New Roman"/>
          <w:sz w:val="32"/>
          <w:szCs w:val="36"/>
          <w:highlight w:val="none"/>
          <w:lang w:eastAsia="zh-CN"/>
        </w:rPr>
        <w:t>就企业所关注法律问题答疑解惑，督促企业从源头上减少新增纠纷，强化法律风险的防范与控制。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6"/>
          <w:highlight w:val="none"/>
          <w:lang w:val="en-US" w:eastAsia="zh-CN"/>
        </w:rPr>
        <w:t>3.</w:t>
      </w:r>
      <w:r>
        <w:rPr>
          <w:rFonts w:hint="default" w:ascii="Times New Roman" w:hAnsi="Times New Roman" w:eastAsia="仿宋_GB2312" w:cs="Times New Roman"/>
          <w:b/>
          <w:bCs/>
          <w:sz w:val="32"/>
          <w:szCs w:val="32"/>
          <w:highlight w:val="none"/>
          <w:lang w:eastAsia="zh-CN"/>
        </w:rPr>
        <w:t>加强审核审查。</w:t>
      </w:r>
      <w:r>
        <w:rPr>
          <w:rFonts w:hint="default" w:ascii="Times New Roman" w:hAnsi="Times New Roman" w:eastAsia="仿宋_GB2312" w:cs="Times New Roman"/>
          <w:sz w:val="32"/>
          <w:szCs w:val="36"/>
          <w:highlight w:val="none"/>
          <w:lang w:eastAsia="zh-CN"/>
        </w:rPr>
        <w:t>贯彻落实</w:t>
      </w:r>
      <w:r>
        <w:rPr>
          <w:rFonts w:hint="default" w:ascii="Times New Roman" w:hAnsi="Times New Roman" w:eastAsia="仿宋_GB2312" w:cs="Times New Roman"/>
          <w:sz w:val="32"/>
          <w:szCs w:val="36"/>
          <w:highlight w:val="none"/>
          <w:lang w:val="en-US" w:eastAsia="zh-CN"/>
        </w:rPr>
        <w:t>《公平竞争审查条例》，对所制定制度、政策</w:t>
      </w:r>
      <w:r>
        <w:rPr>
          <w:rFonts w:hint="default" w:ascii="Times New Roman" w:hAnsi="Times New Roman" w:eastAsia="仿宋_GB2312" w:cs="Times New Roman"/>
          <w:sz w:val="32"/>
          <w:szCs w:val="32"/>
          <w:highlight w:val="none"/>
          <w:lang w:eastAsia="zh-CN"/>
        </w:rPr>
        <w:t>开展公平竞争审查自查，配合区公平竞争审查工作联席会议办公室做好重大政策措施会同审查工作。</w:t>
      </w:r>
      <w:r>
        <w:rPr>
          <w:rFonts w:hint="default" w:ascii="Times New Roman" w:hAnsi="Times New Roman" w:eastAsia="仿宋_GB2312" w:cs="Times New Roman"/>
          <w:sz w:val="32"/>
          <w:szCs w:val="36"/>
          <w:highlight w:val="none"/>
        </w:rPr>
        <w:t>做好</w:t>
      </w:r>
      <w:r>
        <w:rPr>
          <w:rFonts w:hint="default" w:ascii="Times New Roman" w:hAnsi="Times New Roman" w:eastAsia="仿宋_GB2312" w:cs="Times New Roman"/>
          <w:sz w:val="32"/>
          <w:szCs w:val="36"/>
          <w:highlight w:val="none"/>
          <w:lang w:eastAsia="zh-CN"/>
        </w:rPr>
        <w:t>制度（办法）</w:t>
      </w:r>
      <w:r>
        <w:rPr>
          <w:rFonts w:hint="default" w:ascii="Times New Roman" w:hAnsi="Times New Roman" w:eastAsia="仿宋_GB2312" w:cs="Times New Roman"/>
          <w:sz w:val="32"/>
          <w:szCs w:val="36"/>
          <w:highlight w:val="none"/>
        </w:rPr>
        <w:t>文件的合法合规性审核和公平竞争审查工作，</w:t>
      </w:r>
      <w:r>
        <w:rPr>
          <w:rFonts w:hint="default" w:ascii="Times New Roman" w:hAnsi="Times New Roman" w:eastAsia="仿宋_GB2312" w:cs="Times New Roman"/>
          <w:b w:val="0"/>
          <w:bCs w:val="0"/>
          <w:sz w:val="32"/>
          <w:szCs w:val="32"/>
          <w:highlight w:val="none"/>
          <w:lang w:eastAsia="zh-CN"/>
        </w:rPr>
        <w:t>聘请律师担任机关法律顾问，在重要制度性文件制定、重要行政管理决定之前都征求法律顾问的专业意见；严格落实并持续规范代表建议、政协提案办理制度，</w:t>
      </w:r>
      <w:r>
        <w:rPr>
          <w:rFonts w:hint="default" w:ascii="Times New Roman" w:hAnsi="Times New Roman" w:eastAsia="仿宋_GB2312" w:cs="Times New Roman"/>
          <w:b w:val="0"/>
          <w:bCs w:val="0"/>
          <w:sz w:val="32"/>
          <w:szCs w:val="32"/>
          <w:highlight w:val="none"/>
          <w:lang w:val="en-US" w:eastAsia="zh-CN"/>
        </w:rPr>
        <w:t>本届会议共收到建议提案13件，包括2件主办、11件会办，其中：人大代表建议1件，政协委员提案12件，北京市级提案2件、区级提案10件。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（三）加强宣传实践，打造法治合规国资国企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highlight w:val="none"/>
          <w:lang w:eastAsia="zh-CN"/>
        </w:rPr>
      </w:pPr>
      <w:r>
        <w:rPr>
          <w:rFonts w:hint="default" w:ascii="Times New Roman" w:hAnsi="Times New Roman" w:eastAsia="仿宋_GB2312" w:cs="Times New Roman"/>
          <w:b/>
          <w:bCs/>
          <w:sz w:val="32"/>
          <w:szCs w:val="36"/>
          <w:lang w:val="en-US" w:eastAsia="zh-CN"/>
        </w:rPr>
        <w:t>1.</w:t>
      </w:r>
      <w:r>
        <w:rPr>
          <w:rFonts w:hint="default" w:ascii="Times New Roman" w:hAnsi="Times New Roman" w:eastAsia="仿宋_GB2312" w:cs="Times New Roman"/>
          <w:b/>
          <w:bCs/>
          <w:sz w:val="32"/>
          <w:szCs w:val="36"/>
          <w:lang w:eastAsia="zh-CN"/>
        </w:rPr>
        <w:t>聚焦重点工作靶向普法。</w:t>
      </w:r>
      <w:r>
        <w:rPr>
          <w:rFonts w:hint="default" w:ascii="Times New Roman" w:hAnsi="Times New Roman" w:eastAsia="仿宋_GB2312" w:cs="Times New Roman"/>
          <w:b w:val="0"/>
          <w:bCs w:val="0"/>
          <w:sz w:val="32"/>
          <w:szCs w:val="36"/>
          <w:lang w:eastAsia="zh-CN"/>
        </w:rPr>
        <w:t>围绕新一轮国</w:t>
      </w:r>
      <w:r>
        <w:rPr>
          <w:rFonts w:hint="default" w:ascii="Times New Roman" w:hAnsi="Times New Roman" w:eastAsia="仿宋_GB2312" w:cs="Times New Roman"/>
          <w:sz w:val="32"/>
          <w:szCs w:val="36"/>
          <w:lang w:eastAsia="zh-CN"/>
        </w:rPr>
        <w:t>企改革深化提升行动，加强与国资国企重点工作密切相关的法律法规宣传教育，本年度共计组织企业</w:t>
      </w:r>
      <w:r>
        <w:rPr>
          <w:rFonts w:hint="default" w:ascii="Times New Roman" w:hAnsi="Times New Roman" w:eastAsia="仿宋_GB2312" w:cs="Times New Roman"/>
          <w:sz w:val="32"/>
          <w:szCs w:val="36"/>
          <w:highlight w:val="none"/>
          <w:lang w:eastAsia="zh-CN"/>
        </w:rPr>
        <w:t>参加北京市国资委京企云帆法治讲堂系列活动2期，“两区”政策直通车专业服务专场政策解读会</w:t>
      </w:r>
      <w:r>
        <w:rPr>
          <w:rFonts w:hint="default" w:ascii="Times New Roman" w:hAnsi="Times New Roman" w:eastAsia="仿宋_GB2312" w:cs="Times New Roman"/>
          <w:sz w:val="32"/>
          <w:szCs w:val="36"/>
          <w:highlight w:val="none"/>
          <w:lang w:val="en-US" w:eastAsia="zh-CN"/>
        </w:rPr>
        <w:t>2期。</w:t>
      </w:r>
      <w:r>
        <w:rPr>
          <w:rFonts w:hint="default" w:ascii="Times New Roman" w:hAnsi="Times New Roman" w:eastAsia="仿宋_GB2312" w:cs="Times New Roman"/>
          <w:sz w:val="32"/>
          <w:szCs w:val="36"/>
          <w:highlight w:val="none"/>
          <w:lang w:eastAsia="zh-CN"/>
        </w:rPr>
        <w:t>与税务局联合开展区属国企税收政策专题培训会，针对区属企业下属单位众多、服务业态丰富的特点，重点围绕数电票推广、增值税优惠政策、房土两税、环保税等企业关心的难点，精准滴灌税收政策。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6"/>
          <w:highlight w:val="none"/>
          <w:lang w:val="en-US" w:eastAsia="zh-CN"/>
        </w:rPr>
      </w:pPr>
      <w:r>
        <w:rPr>
          <w:rFonts w:hint="default" w:ascii="Times New Roman" w:hAnsi="Times New Roman" w:eastAsia="仿宋_GB2312" w:cs="Times New Roman"/>
          <w:b/>
          <w:bCs/>
          <w:sz w:val="32"/>
          <w:szCs w:val="36"/>
          <w:highlight w:val="none"/>
          <w:lang w:val="en-US" w:eastAsia="zh-CN"/>
        </w:rPr>
        <w:t>2.</w:t>
      </w:r>
      <w:r>
        <w:rPr>
          <w:rFonts w:hint="default" w:ascii="Times New Roman" w:hAnsi="Times New Roman" w:eastAsia="仿宋_GB2312" w:cs="Times New Roman"/>
          <w:b/>
          <w:bCs/>
          <w:sz w:val="32"/>
          <w:szCs w:val="36"/>
          <w:highlight w:val="none"/>
          <w:lang w:eastAsia="zh-CN"/>
        </w:rPr>
        <w:t>开展普法宣传主题活动</w:t>
      </w:r>
      <w:r>
        <w:rPr>
          <w:rFonts w:hint="eastAsia" w:ascii="Times New Roman" w:hAnsi="Times New Roman" w:eastAsia="仿宋_GB2312" w:cs="Times New Roman"/>
          <w:b/>
          <w:bCs/>
          <w:sz w:val="32"/>
          <w:szCs w:val="36"/>
          <w:highlight w:val="none"/>
          <w:lang w:eastAsia="zh-CN"/>
        </w:rPr>
        <w:t>。</w:t>
      </w:r>
      <w:r>
        <w:rPr>
          <w:rFonts w:hint="default" w:ascii="Times New Roman" w:hAnsi="Times New Roman" w:eastAsia="仿宋_GB2312" w:cs="Times New Roman"/>
          <w:sz w:val="32"/>
          <w:szCs w:val="36"/>
          <w:highlight w:val="none"/>
          <w:lang w:eastAsia="zh-CN"/>
        </w:rPr>
        <w:t>通过安全生产宣传咨询日、公平竞争政策宣传周、宪法宣传周等重要法治宣传节点，以张贴法治宣传海报、参加知识竞答等多种形式，突出对《</w:t>
      </w:r>
      <w:r>
        <w:rPr>
          <w:rFonts w:hint="eastAsia" w:ascii="Times New Roman" w:hAnsi="Times New Roman" w:eastAsia="仿宋_GB2312" w:cs="Times New Roman"/>
          <w:color w:val="auto"/>
          <w:sz w:val="32"/>
          <w:szCs w:val="32"/>
          <w:lang w:eastAsia="zh-CN" w:bidi="ar"/>
        </w:rPr>
        <w:t>中华人民共和国</w:t>
      </w:r>
      <w:r>
        <w:rPr>
          <w:rFonts w:hint="default" w:ascii="Times New Roman" w:hAnsi="Times New Roman" w:eastAsia="仿宋_GB2312" w:cs="Times New Roman"/>
          <w:sz w:val="32"/>
          <w:szCs w:val="36"/>
          <w:highlight w:val="none"/>
          <w:lang w:eastAsia="zh-CN"/>
        </w:rPr>
        <w:t>宪法</w:t>
      </w:r>
      <w:r>
        <w:rPr>
          <w:rFonts w:hint="default" w:ascii="Times New Roman" w:hAnsi="Times New Roman" w:eastAsia="仿宋_GB2312" w:cs="Times New Roman"/>
          <w:sz w:val="32"/>
          <w:szCs w:val="36"/>
          <w:highlight w:val="none"/>
          <w:lang w:eastAsia="zh-CN"/>
        </w:rPr>
        <w:t>》《</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sz w:val="32"/>
          <w:szCs w:val="36"/>
          <w:highlight w:val="none"/>
          <w:lang w:eastAsia="zh-CN"/>
        </w:rPr>
        <w:t>民法典》《公平竞争审查条例》等法律法规的学习宣传。在</w:t>
      </w:r>
      <w:r>
        <w:rPr>
          <w:rFonts w:hint="default" w:ascii="Times New Roman" w:hAnsi="Times New Roman" w:eastAsia="仿宋_GB2312" w:cs="Times New Roman"/>
          <w:sz w:val="32"/>
          <w:szCs w:val="36"/>
          <w:highlight w:val="none"/>
          <w:lang w:val="en-US" w:eastAsia="zh-CN"/>
        </w:rPr>
        <w:t>4月26日</w:t>
      </w:r>
      <w:r>
        <w:rPr>
          <w:rFonts w:hint="default" w:ascii="Times New Roman" w:hAnsi="Times New Roman" w:eastAsia="仿宋_GB2312" w:cs="Times New Roman"/>
          <w:sz w:val="32"/>
          <w:szCs w:val="36"/>
          <w:highlight w:val="none"/>
          <w:lang w:eastAsia="zh-CN"/>
        </w:rPr>
        <w:t>世界知识产权日，借助专业力量联合开展“东城区文创文化知识产权保护普法交流活动”，促进区属老字号企业、文化企业进一步增强知识产权保护意识。在</w:t>
      </w:r>
      <w:r>
        <w:rPr>
          <w:rFonts w:hint="default" w:ascii="Times New Roman" w:hAnsi="Times New Roman" w:eastAsia="仿宋_GB2312" w:cs="Times New Roman"/>
          <w:sz w:val="32"/>
          <w:szCs w:val="36"/>
          <w:highlight w:val="none"/>
          <w:lang w:val="en-US" w:eastAsia="zh-CN"/>
        </w:rPr>
        <w:t>12月4日第十一个宪法宣传日，开展“宪法进企业 改革促发展”法治宣传活动，邀请机关法律顾问走进区属国企红桥市场20余家商户代表作宪法专题宣讲，促进干部职工进一步树立法治意识。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6"/>
          <w:highlight w:val="yellow"/>
          <w:lang w:eastAsia="zh-CN"/>
        </w:rPr>
      </w:pPr>
      <w:r>
        <w:rPr>
          <w:rFonts w:hint="default" w:ascii="Times New Roman" w:hAnsi="Times New Roman" w:eastAsia="仿宋_GB2312" w:cs="Times New Roman"/>
          <w:b/>
          <w:bCs/>
          <w:sz w:val="32"/>
          <w:szCs w:val="36"/>
          <w:highlight w:val="none"/>
          <w:lang w:val="en-US" w:eastAsia="zh-CN"/>
        </w:rPr>
        <w:t>3.营造法治化营商环境。</w:t>
      </w:r>
      <w:r>
        <w:rPr>
          <w:rFonts w:hint="default" w:ascii="Times New Roman" w:hAnsi="Times New Roman" w:eastAsia="仿宋_GB2312" w:cs="Times New Roman"/>
          <w:sz w:val="32"/>
          <w:szCs w:val="36"/>
          <w:highlight w:val="none"/>
          <w:lang w:val="en-US" w:eastAsia="zh-CN"/>
        </w:rPr>
        <w:t>组织区属八家一级企业主管法治工作领导、业务人员共计24人参加东城区法治文化公园开园暨优化法治化营商环境专项普法活动启动仪式，企业参与人员向相关单位专业人员咨询学习相关政策和知识，在享受法治化营商环境带来的便利同时，也提升广大干部职工法治观念和法律素养，增强企业内部合规管理。组织区属八家一级企业董事长参加东城区营商大会，积极学习相关政策，为区里创造良好营商环境发挥国企作用，同时积极用好紫金行动等营商政策、拓宽合作渠道，共同促进区域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w:t>
      </w:r>
      <w:r>
        <w:rPr>
          <w:rFonts w:hint="default" w:ascii="Times New Roman" w:hAnsi="Times New Roman" w:eastAsia="仿宋_GB2312" w:cs="Times New Roman"/>
          <w:sz w:val="32"/>
          <w:szCs w:val="32"/>
          <w:lang w:eastAsia="zh-CN"/>
        </w:rPr>
        <w:t>随着国企改革深化，国资监管制度体系</w:t>
      </w:r>
      <w:r>
        <w:rPr>
          <w:rFonts w:hint="default" w:ascii="Times New Roman" w:hAnsi="Times New Roman" w:eastAsia="仿宋_GB2312" w:cs="Times New Roman"/>
          <w:sz w:val="32"/>
          <w:szCs w:val="32"/>
        </w:rPr>
        <w:t>还需</w:t>
      </w:r>
      <w:r>
        <w:rPr>
          <w:rFonts w:hint="default" w:ascii="Times New Roman" w:hAnsi="Times New Roman" w:eastAsia="仿宋_GB2312" w:cs="Times New Roman"/>
          <w:sz w:val="32"/>
          <w:szCs w:val="32"/>
          <w:lang w:eastAsia="zh-CN"/>
        </w:rPr>
        <w:t>动态</w:t>
      </w:r>
      <w:r>
        <w:rPr>
          <w:rFonts w:hint="default" w:ascii="Times New Roman" w:hAnsi="Times New Roman" w:eastAsia="仿宋_GB2312" w:cs="Times New Roman"/>
          <w:sz w:val="32"/>
          <w:szCs w:val="32"/>
        </w:rPr>
        <w:t>完善，监管</w:t>
      </w:r>
      <w:r>
        <w:rPr>
          <w:rFonts w:hint="default" w:ascii="Times New Roman" w:hAnsi="Times New Roman" w:eastAsia="仿宋_GB2312" w:cs="Times New Roman"/>
          <w:sz w:val="32"/>
          <w:szCs w:val="32"/>
          <w:lang w:eastAsia="zh-CN"/>
        </w:rPr>
        <w:t>数字化</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智能化</w:t>
      </w:r>
      <w:r>
        <w:rPr>
          <w:rFonts w:hint="default" w:ascii="Times New Roman" w:hAnsi="Times New Roman" w:eastAsia="仿宋_GB2312" w:cs="Times New Roman"/>
          <w:sz w:val="32"/>
          <w:szCs w:val="32"/>
        </w:rPr>
        <w:t>手段运用需要进一步</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二是</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国资委</w:t>
      </w:r>
      <w:r>
        <w:rPr>
          <w:rFonts w:hint="default" w:ascii="Times New Roman" w:hAnsi="Times New Roman" w:eastAsia="仿宋_GB2312" w:cs="Times New Roman"/>
          <w:sz w:val="32"/>
          <w:szCs w:val="32"/>
          <w:lang w:eastAsia="zh-CN"/>
        </w:rPr>
        <w:t>依法行政和区属企业</w:t>
      </w:r>
      <w:r>
        <w:rPr>
          <w:rFonts w:hint="default" w:ascii="Times New Roman" w:hAnsi="Times New Roman" w:eastAsia="仿宋_GB2312" w:cs="Times New Roman"/>
          <w:sz w:val="32"/>
          <w:szCs w:val="32"/>
        </w:rPr>
        <w:t>依法治企的</w:t>
      </w:r>
      <w:r>
        <w:rPr>
          <w:rFonts w:hint="default" w:ascii="Times New Roman" w:hAnsi="Times New Roman" w:eastAsia="仿宋_GB2312" w:cs="Times New Roman"/>
          <w:sz w:val="32"/>
          <w:szCs w:val="32"/>
          <w:lang w:eastAsia="zh-CN"/>
        </w:rPr>
        <w:t>基础工作</w:t>
      </w:r>
      <w:r>
        <w:rPr>
          <w:rFonts w:hint="default" w:ascii="Times New Roman" w:hAnsi="Times New Roman" w:eastAsia="仿宋_GB2312" w:cs="Times New Roman"/>
          <w:sz w:val="32"/>
          <w:szCs w:val="32"/>
        </w:rPr>
        <w:t>需要不断巩固，</w:t>
      </w:r>
      <w:r>
        <w:rPr>
          <w:rFonts w:hint="default" w:ascii="Times New Roman" w:hAnsi="Times New Roman" w:eastAsia="仿宋_GB2312" w:cs="Times New Roman"/>
          <w:sz w:val="32"/>
          <w:szCs w:val="32"/>
          <w:lang w:eastAsia="zh-CN"/>
        </w:rPr>
        <w:t>统筹推进法治政府与法治国企的能力水平需进一步提高。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w:t>
      </w:r>
      <w:r>
        <w:rPr>
          <w:rFonts w:hint="default" w:ascii="Times New Roman" w:hAnsi="Times New Roman" w:eastAsia="仿宋_GB2312" w:cs="Times New Roman"/>
          <w:sz w:val="32"/>
          <w:szCs w:val="32"/>
          <w:lang w:eastAsia="zh-CN"/>
        </w:rPr>
        <w:t>法治宣传的效果有待提升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法治人才不足，法治宣传创新性不够，宣传的形式、途径和载体较为单一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eastAsia="zh-CN"/>
        </w:rPr>
      </w:pPr>
      <w:r>
        <w:rPr>
          <w:rFonts w:hint="default" w:ascii="Times New Roman" w:hAnsi="Times New Roman" w:eastAsia="仿宋_GB2312" w:cs="Times New Roman"/>
          <w:sz w:val="32"/>
          <w:szCs w:val="32"/>
        </w:rPr>
        <w:t>为保证法治政府工作扎实开展，区国资委严格落实党政主要负责人履行法治建设第一责任人职责，全面贯彻落实习近平法治思想及党的二十届三中全会精神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深刻学习领会习近平总书记全面依法治国新理念新思想新战略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将其作为科学指引根本遵循，统筹推动国资委系统法</w:t>
      </w:r>
      <w:r>
        <w:rPr>
          <w:rFonts w:hint="default"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建设和国资国企改革发展监管工作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主要领导负总责，分管领导具体负责”的要求健全了组织机构，设立了由党委书记、主任为组长、各副主任为副组长、各科室科长为成员的法治政府工作领导小组，加强指导、督促和检查，确保各项工作任务得到落实。每年年初对当年法治政府建设做出明确安排，各</w:t>
      </w:r>
      <w:r>
        <w:rPr>
          <w:rFonts w:hint="default" w:ascii="Times New Roman" w:hAnsi="Times New Roman" w:eastAsia="仿宋_GB2312" w:cs="Times New Roman"/>
          <w:sz w:val="32"/>
          <w:szCs w:val="32"/>
          <w:lang w:eastAsia="zh-CN"/>
        </w:rPr>
        <w:t>内设机构</w:t>
      </w:r>
      <w:r>
        <w:rPr>
          <w:rFonts w:hint="default" w:ascii="Times New Roman" w:hAnsi="Times New Roman" w:eastAsia="仿宋_GB2312" w:cs="Times New Roman"/>
          <w:sz w:val="32"/>
          <w:szCs w:val="32"/>
        </w:rPr>
        <w:t>把此项工作贯穿于全年业务工作的始终，严格落实责任制，依法依规做好各项审批工作，程序合法、要件齐全。在经费上给予充分支持保证，年度法律顾问工作经费列入部门预算，确保专款专用。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eastAsia="zh-CN"/>
        </w:rPr>
        <w:t>四、</w:t>
      </w:r>
      <w:r>
        <w:rPr>
          <w:rFonts w:hint="default" w:ascii="Times New Roman" w:hAnsi="Times New Roman" w:eastAsia="黑体" w:cs="Times New Roman"/>
          <w:sz w:val="32"/>
          <w:szCs w:val="36"/>
          <w:lang w:val="en-US" w:eastAsia="zh-CN"/>
        </w:rPr>
        <w:t>2025年推进法治政府建设的主要安排</w:t>
      </w:r>
    </w:p>
    <w:p>
      <w:pPr>
        <w:numPr>
          <w:ilvl w:val="0"/>
          <w:numId w:val="1"/>
        </w:num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协同法治国资国企建设</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持续完善国资</w:t>
      </w:r>
      <w:r>
        <w:rPr>
          <w:rFonts w:hint="default" w:ascii="Times New Roman" w:hAnsi="Times New Roman" w:eastAsia="仿宋_GB2312" w:cs="Times New Roman"/>
          <w:sz w:val="32"/>
          <w:szCs w:val="32"/>
          <w:lang w:eastAsia="zh-CN"/>
        </w:rPr>
        <w:t>国企法治建设的</w:t>
      </w:r>
      <w:r>
        <w:rPr>
          <w:rFonts w:hint="default" w:ascii="Times New Roman" w:hAnsi="Times New Roman" w:eastAsia="仿宋_GB2312" w:cs="Times New Roman"/>
          <w:sz w:val="32"/>
          <w:szCs w:val="32"/>
        </w:rPr>
        <w:t>制度体系，继续加强对规范性文件的合法性审查、公平竞争审查等程序，</w:t>
      </w:r>
      <w:r>
        <w:rPr>
          <w:rFonts w:hint="default" w:ascii="Times New Roman" w:hAnsi="Times New Roman" w:eastAsia="仿宋_GB2312" w:cs="Times New Roman"/>
          <w:sz w:val="32"/>
          <w:szCs w:val="32"/>
          <w:lang w:eastAsia="zh-CN"/>
        </w:rPr>
        <w:t>针对新出台的</w:t>
      </w:r>
      <w:r>
        <w:rPr>
          <w:rFonts w:hint="default" w:ascii="Times New Roman" w:hAnsi="Times New Roman" w:eastAsia="仿宋_GB2312" w:cs="Times New Roman"/>
          <w:sz w:val="32"/>
          <w:szCs w:val="36"/>
          <w:lang w:eastAsia="zh-CN"/>
        </w:rPr>
        <w:t>制度文件等做好政策解读，让企业真正做到知晓政策、弄懂政策、享受政策，确保新一轮国企改革深化提升行动的顶层设计与改革实践有序衔接</w:t>
      </w:r>
      <w:r>
        <w:rPr>
          <w:rFonts w:hint="default" w:ascii="Times New Roman" w:hAnsi="Times New Roman" w:eastAsia="仿宋_GB2312" w:cs="Times New Roman"/>
          <w:sz w:val="32"/>
          <w:szCs w:val="32"/>
        </w:rPr>
        <w:t>。</w:t>
      </w:r>
    </w:p>
    <w:p>
      <w:pPr>
        <w:numPr>
          <w:ilvl w:val="0"/>
          <w:numId w:val="1"/>
        </w:numPr>
        <w:spacing w:line="560" w:lineRule="exact"/>
        <w:ind w:left="0" w:leftChars="0"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完善国资监督</w:t>
      </w:r>
      <w:r>
        <w:rPr>
          <w:rFonts w:hint="default" w:ascii="Times New Roman" w:hAnsi="Times New Roman" w:eastAsia="楷体_GB2312" w:cs="Times New Roman"/>
          <w:sz w:val="32"/>
          <w:szCs w:val="32"/>
          <w:lang w:eastAsia="zh-CN"/>
        </w:rPr>
        <w:t>管理</w:t>
      </w:r>
      <w:r>
        <w:rPr>
          <w:rFonts w:hint="default" w:ascii="Times New Roman" w:hAnsi="Times New Roman" w:eastAsia="楷体_GB2312" w:cs="Times New Roman"/>
          <w:sz w:val="32"/>
          <w:szCs w:val="32"/>
        </w:rPr>
        <w:t>体系</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协同构建上下贯通、实时在线的数字化智能化监管体系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28"/>
          <w:lang w:val="en-US" w:eastAsia="zh-CN"/>
        </w:rPr>
        <w:t>推动监管从被动响应转向主动响应，显著</w:t>
      </w:r>
      <w:r>
        <w:rPr>
          <w:rFonts w:hint="default" w:ascii="Times New Roman" w:hAnsi="Times New Roman" w:eastAsia="仿宋_GB2312" w:cs="Times New Roman"/>
          <w:b w:val="0"/>
          <w:bCs w:val="0"/>
          <w:sz w:val="32"/>
          <w:szCs w:val="28"/>
          <w:lang w:val="en-US" w:eastAsia="zh-CN"/>
        </w:rPr>
        <w:t>增强对国有资源、国有资产和国有资本实时动态监管能力，明显提高对各类风险的识别防范能力，</w:t>
      </w:r>
      <w:r>
        <w:rPr>
          <w:rFonts w:hint="default" w:ascii="Times New Roman" w:hAnsi="Times New Roman" w:eastAsia="仿宋_GB2312" w:cs="Times New Roman"/>
          <w:b w:val="0"/>
          <w:bCs w:val="0"/>
          <w:sz w:val="32"/>
          <w:szCs w:val="28"/>
        </w:rPr>
        <w:t>做到区属企业信息客观可控、及时决策</w:t>
      </w:r>
      <w:r>
        <w:rPr>
          <w:rFonts w:hint="default" w:ascii="Times New Roman" w:hAnsi="Times New Roman" w:eastAsia="仿宋_GB2312" w:cs="Times New Roman"/>
          <w:b w:val="0"/>
          <w:bCs w:val="0"/>
          <w:sz w:val="32"/>
          <w:szCs w:val="28"/>
          <w:lang w:eastAsia="zh-CN"/>
        </w:rPr>
        <w:t>。</w:t>
      </w:r>
    </w:p>
    <w:p>
      <w:pPr>
        <w:numPr>
          <w:ilvl w:val="0"/>
          <w:numId w:val="1"/>
        </w:numPr>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提高</w:t>
      </w:r>
      <w:r>
        <w:rPr>
          <w:rFonts w:hint="default" w:ascii="Times New Roman" w:hAnsi="Times New Roman" w:eastAsia="楷体_GB2312" w:cs="Times New Roman"/>
          <w:sz w:val="32"/>
          <w:szCs w:val="32"/>
        </w:rPr>
        <w:t>企业</w:t>
      </w:r>
      <w:r>
        <w:rPr>
          <w:rFonts w:hint="default" w:ascii="Times New Roman" w:hAnsi="Times New Roman" w:eastAsia="楷体_GB2312" w:cs="Times New Roman"/>
          <w:sz w:val="32"/>
          <w:szCs w:val="32"/>
          <w:lang w:eastAsia="zh-CN"/>
        </w:rPr>
        <w:t>合法经营能力</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和完善公司法人治理结构。指导区属国企按照现代企业制度要求，健全完善议事规则，构建起权责法定、权责透明、协调运转、有效制衡的公司法人治理结构。把企业法治建设与依法履行出资人职责、依法维护出资人的合法权益相结合，实现国有资产的保值增值。</w:t>
      </w:r>
    </w:p>
    <w:p>
      <w:pPr>
        <w:numPr>
          <w:ilvl w:val="0"/>
          <w:numId w:val="1"/>
        </w:numPr>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强化</w:t>
      </w:r>
      <w:r>
        <w:rPr>
          <w:rFonts w:hint="default" w:ascii="Times New Roman" w:hAnsi="Times New Roman" w:eastAsia="楷体_GB2312" w:cs="Times New Roman"/>
          <w:sz w:val="32"/>
          <w:szCs w:val="32"/>
        </w:rPr>
        <w:t>法治</w:t>
      </w:r>
      <w:r>
        <w:rPr>
          <w:rFonts w:hint="default" w:ascii="Times New Roman" w:hAnsi="Times New Roman" w:eastAsia="楷体_GB2312" w:cs="Times New Roman"/>
          <w:sz w:val="32"/>
          <w:szCs w:val="32"/>
          <w:lang w:eastAsia="zh-CN"/>
        </w:rPr>
        <w:t>国企</w:t>
      </w:r>
      <w:r>
        <w:rPr>
          <w:rFonts w:hint="default" w:ascii="Times New Roman" w:hAnsi="Times New Roman" w:eastAsia="楷体_GB2312" w:cs="Times New Roman"/>
          <w:sz w:val="32"/>
          <w:szCs w:val="32"/>
        </w:rPr>
        <w:t>建设</w:t>
      </w:r>
      <w:r>
        <w:rPr>
          <w:rFonts w:hint="default" w:ascii="Times New Roman" w:hAnsi="Times New Roman" w:eastAsia="楷体_GB2312" w:cs="Times New Roman"/>
          <w:sz w:val="32"/>
          <w:szCs w:val="32"/>
          <w:lang w:eastAsia="zh-CN"/>
        </w:rPr>
        <w:t>氛围</w:t>
      </w:r>
    </w:p>
    <w:p>
      <w:pPr>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大力开展法治宣传教育，营造浓厚法治氛围。依托京企云帆讲堂</w:t>
      </w:r>
      <w:r>
        <w:rPr>
          <w:rFonts w:hint="default" w:ascii="Times New Roman" w:hAnsi="Times New Roman" w:eastAsia="仿宋_GB2312" w:cs="Times New Roman"/>
          <w:sz w:val="32"/>
          <w:szCs w:val="32"/>
          <w:lang w:eastAsia="zh-CN"/>
        </w:rPr>
        <w:t>、东城国资法治讲堂</w:t>
      </w:r>
      <w:r>
        <w:rPr>
          <w:rFonts w:hint="default" w:ascii="Times New Roman" w:hAnsi="Times New Roman" w:eastAsia="仿宋_GB2312" w:cs="Times New Roman"/>
          <w:sz w:val="32"/>
          <w:szCs w:val="32"/>
        </w:rPr>
        <w:t>等法治宣传平台，定期举办法治专题讲座，</w:t>
      </w:r>
      <w:bookmarkStart w:id="0" w:name="_GoBack"/>
      <w:r>
        <w:rPr>
          <w:rFonts w:hint="default" w:ascii="Times New Roman" w:hAnsi="Times New Roman" w:eastAsia="仿宋_GB2312" w:cs="Times New Roman"/>
          <w:sz w:val="32"/>
          <w:szCs w:val="32"/>
          <w:highlight w:val="none"/>
        </w:rPr>
        <w:t>对《</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sz w:val="32"/>
          <w:szCs w:val="32"/>
          <w:highlight w:val="none"/>
        </w:rPr>
        <w:t>宪法》《</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sz w:val="32"/>
          <w:szCs w:val="32"/>
          <w:highlight w:val="none"/>
        </w:rPr>
        <w:t>民法典》《</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sz w:val="32"/>
          <w:szCs w:val="32"/>
          <w:highlight w:val="none"/>
        </w:rPr>
        <w:t>公司法》</w:t>
      </w:r>
      <w:bookmarkEnd w:id="0"/>
      <w:r>
        <w:rPr>
          <w:rFonts w:hint="default" w:ascii="Times New Roman" w:hAnsi="Times New Roman" w:eastAsia="仿宋_GB2312" w:cs="Times New Roman"/>
          <w:sz w:val="32"/>
          <w:szCs w:val="32"/>
          <w:lang w:eastAsia="zh-CN"/>
        </w:rPr>
        <w:t>以及合同管理、合规管理等与企业经营实际相关的</w:t>
      </w:r>
      <w:r>
        <w:rPr>
          <w:rFonts w:hint="default" w:ascii="Times New Roman" w:hAnsi="Times New Roman" w:eastAsia="仿宋_GB2312" w:cs="Times New Roman"/>
          <w:sz w:val="32"/>
          <w:szCs w:val="32"/>
        </w:rPr>
        <w:t>法律法规专题解读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强化企业守法经营意识。</w:t>
      </w:r>
    </w:p>
    <w:p>
      <w:pPr>
        <w:numPr>
          <w:ilvl w:val="0"/>
          <w:numId w:val="0"/>
        </w:numPr>
        <w:spacing w:line="560" w:lineRule="exact"/>
        <w:ind w:firstLine="640" w:firstLineChars="200"/>
        <w:rPr>
          <w:rFonts w:hint="default" w:ascii="Times New Roman" w:hAnsi="Times New Roman" w:eastAsia="仿宋_GB2312" w:cs="Times New Roman"/>
          <w:sz w:val="32"/>
          <w:szCs w:val="32"/>
        </w:rPr>
      </w:pPr>
    </w:p>
    <w:p>
      <w:pPr>
        <w:numPr>
          <w:ilvl w:val="0"/>
          <w:numId w:val="0"/>
        </w:numPr>
        <w:spacing w:line="560" w:lineRule="exact"/>
        <w:ind w:firstLine="640" w:firstLineChars="200"/>
        <w:jc w:val="center"/>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49D927-B4DF-4BE3-902C-40BED8D973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E1A40397-4730-439E-92D3-27915BB219C9}"/>
  </w:font>
  <w:font w:name="仿宋_GB2312">
    <w:panose1 w:val="02010609030101010101"/>
    <w:charset w:val="86"/>
    <w:family w:val="modern"/>
    <w:pitch w:val="default"/>
    <w:sig w:usb0="00000001" w:usb1="080E0000" w:usb2="00000000" w:usb3="00000000" w:csb0="00040000" w:csb1="00000000"/>
    <w:embedRegular r:id="rId3" w:fontKey="{D14F248D-9495-445B-ACD4-3BB36084CB6C}"/>
  </w:font>
  <w:font w:name="楷体_GB2312">
    <w:panose1 w:val="02010609030101010101"/>
    <w:charset w:val="86"/>
    <w:family w:val="auto"/>
    <w:pitch w:val="default"/>
    <w:sig w:usb0="00000001" w:usb1="080E0000" w:usb2="00000000" w:usb3="00000000" w:csb0="00040000" w:csb1="00000000"/>
    <w:embedRegular r:id="rId4" w:fontKey="{092B8321-F88D-43E5-A2C9-DF4CE203CF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D86D5"/>
    <w:multiLevelType w:val="singleLevel"/>
    <w:tmpl w:val="053D86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NzJlNzk1NmVmNzY0OTQ5YTQ4ZTVlMjdhYjFkNDIifQ=="/>
  </w:docVars>
  <w:rsids>
    <w:rsidRoot w:val="00000000"/>
    <w:rsid w:val="00AE25C4"/>
    <w:rsid w:val="012D30C0"/>
    <w:rsid w:val="02716883"/>
    <w:rsid w:val="03D646B0"/>
    <w:rsid w:val="03DE5957"/>
    <w:rsid w:val="05564740"/>
    <w:rsid w:val="05762049"/>
    <w:rsid w:val="05B543D3"/>
    <w:rsid w:val="07612104"/>
    <w:rsid w:val="08BF6824"/>
    <w:rsid w:val="08C67F21"/>
    <w:rsid w:val="08FF5E26"/>
    <w:rsid w:val="092F4D3C"/>
    <w:rsid w:val="0A59356D"/>
    <w:rsid w:val="0C115E07"/>
    <w:rsid w:val="103E662F"/>
    <w:rsid w:val="138B31C5"/>
    <w:rsid w:val="14A05712"/>
    <w:rsid w:val="14E7405D"/>
    <w:rsid w:val="172A0F94"/>
    <w:rsid w:val="1833318D"/>
    <w:rsid w:val="19436935"/>
    <w:rsid w:val="1A7A25A5"/>
    <w:rsid w:val="1B350A3F"/>
    <w:rsid w:val="1FE048BA"/>
    <w:rsid w:val="20096E42"/>
    <w:rsid w:val="207F7315"/>
    <w:rsid w:val="21995262"/>
    <w:rsid w:val="23CF1F3D"/>
    <w:rsid w:val="241D07E5"/>
    <w:rsid w:val="248D075F"/>
    <w:rsid w:val="25EF13D7"/>
    <w:rsid w:val="2CEC62FE"/>
    <w:rsid w:val="2E3953C5"/>
    <w:rsid w:val="2EB87E12"/>
    <w:rsid w:val="2F4D7B58"/>
    <w:rsid w:val="312C1317"/>
    <w:rsid w:val="314B05E8"/>
    <w:rsid w:val="31D51294"/>
    <w:rsid w:val="327F31B5"/>
    <w:rsid w:val="32F43327"/>
    <w:rsid w:val="338E44C8"/>
    <w:rsid w:val="33D70183"/>
    <w:rsid w:val="370C74D6"/>
    <w:rsid w:val="387C76B3"/>
    <w:rsid w:val="38A1293B"/>
    <w:rsid w:val="3CF2433D"/>
    <w:rsid w:val="3F3F5497"/>
    <w:rsid w:val="401D37C7"/>
    <w:rsid w:val="409C0D3B"/>
    <w:rsid w:val="41191844"/>
    <w:rsid w:val="41F32F1D"/>
    <w:rsid w:val="4594292E"/>
    <w:rsid w:val="46FB7796"/>
    <w:rsid w:val="470B24A2"/>
    <w:rsid w:val="473F5846"/>
    <w:rsid w:val="475E4C85"/>
    <w:rsid w:val="499124B8"/>
    <w:rsid w:val="4BDD2F64"/>
    <w:rsid w:val="4CC10CFF"/>
    <w:rsid w:val="4CFD676D"/>
    <w:rsid w:val="4D4419DE"/>
    <w:rsid w:val="4EB43B81"/>
    <w:rsid w:val="50791144"/>
    <w:rsid w:val="51D62522"/>
    <w:rsid w:val="52023535"/>
    <w:rsid w:val="52D7742D"/>
    <w:rsid w:val="52DF2202"/>
    <w:rsid w:val="53334EF8"/>
    <w:rsid w:val="539045AE"/>
    <w:rsid w:val="539C7EB6"/>
    <w:rsid w:val="54055743"/>
    <w:rsid w:val="54450419"/>
    <w:rsid w:val="56134001"/>
    <w:rsid w:val="58262444"/>
    <w:rsid w:val="5A5762F0"/>
    <w:rsid w:val="5A5816E1"/>
    <w:rsid w:val="5A6C3675"/>
    <w:rsid w:val="5C2D6F81"/>
    <w:rsid w:val="5CC57B65"/>
    <w:rsid w:val="5F9E4FB6"/>
    <w:rsid w:val="5FBB3382"/>
    <w:rsid w:val="60CA6352"/>
    <w:rsid w:val="614D151F"/>
    <w:rsid w:val="615C10E6"/>
    <w:rsid w:val="616844E9"/>
    <w:rsid w:val="626F7B9D"/>
    <w:rsid w:val="62E62106"/>
    <w:rsid w:val="637B5089"/>
    <w:rsid w:val="63A3616C"/>
    <w:rsid w:val="64967EF7"/>
    <w:rsid w:val="64E03818"/>
    <w:rsid w:val="68614439"/>
    <w:rsid w:val="699C18D6"/>
    <w:rsid w:val="69C42C6C"/>
    <w:rsid w:val="6A3761DD"/>
    <w:rsid w:val="6A6A66E2"/>
    <w:rsid w:val="6AE67AC1"/>
    <w:rsid w:val="6B136B89"/>
    <w:rsid w:val="6B611E8C"/>
    <w:rsid w:val="6EA5771B"/>
    <w:rsid w:val="6F5847D8"/>
    <w:rsid w:val="6FD43738"/>
    <w:rsid w:val="7069375C"/>
    <w:rsid w:val="70914887"/>
    <w:rsid w:val="70B53888"/>
    <w:rsid w:val="73EA3566"/>
    <w:rsid w:val="74162155"/>
    <w:rsid w:val="749B2D3C"/>
    <w:rsid w:val="76C003FE"/>
    <w:rsid w:val="784C10F3"/>
    <w:rsid w:val="799C1A8D"/>
    <w:rsid w:val="7F427309"/>
    <w:rsid w:val="7F92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3706</Words>
  <Characters>3758</Characters>
  <Lines>0</Lines>
  <Paragraphs>0</Paragraphs>
  <TotalTime>0</TotalTime>
  <ScaleCrop>false</ScaleCrop>
  <LinksUpToDate>false</LinksUpToDate>
  <CharactersWithSpaces>3760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2023-12-11T09:25:00Z</dcterms:created>
  <dc:creator>Del</dc:creator>
  <cp:lastModifiedBy>lenovo</cp:lastModifiedBy>
  <cp:lastPrinted>2024-12-17T07:41:00Z</cp:lastPrinted>
  <dcterms:modified xsi:type="dcterms:W3CDTF">2025-03-27T07:42:50Z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3FD7D5A7FD92467E97C73032CDAC547B_12</vt:lpwstr>
  </property>
  <property fmtid="{D5CDD505-2E9C-101B-9397-08002B2CF9AE}" pid="4" name="KSOTemplateDocerSaveRecord">
    <vt:lpwstr>eyJoZGlkIjoiMGU3M2U2NzEwNTZmNTk2Mjk1MjBlYzY0MTM1MzM0YTUiLCJ1c2VySWQiOiI2Mzc1MDI3OTEifQ==</vt:lpwstr>
  </property>
</Properties>
</file>