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highlight w:val="none"/>
          <w:lang w:eastAsia="zh-CN"/>
        </w:rPr>
      </w:pPr>
      <w:bookmarkStart w:id="0" w:name="_GoBack"/>
      <w:bookmarkEnd w:id="0"/>
      <w:r>
        <w:rPr>
          <w:rFonts w:hint="eastAsia" w:eastAsia="方正小标宋简体" w:cs="Times New Roman"/>
          <w:sz w:val="44"/>
          <w:szCs w:val="44"/>
          <w:highlight w:val="none"/>
          <w:lang w:eastAsia="zh-CN"/>
        </w:rPr>
        <w:t>北京市东城区人民政府</w:t>
      </w:r>
      <w:r>
        <w:rPr>
          <w:rFonts w:hint="default" w:ascii="Times New Roman" w:hAnsi="Times New Roman" w:eastAsia="方正小标宋简体" w:cs="Times New Roman"/>
          <w:sz w:val="44"/>
          <w:szCs w:val="44"/>
          <w:highlight w:val="none"/>
          <w:lang w:eastAsia="zh-CN"/>
        </w:rPr>
        <w:t>龙潭街道办事处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2024年</w:t>
      </w:r>
      <w:r>
        <w:rPr>
          <w:rFonts w:hint="default" w:ascii="Times New Roman" w:hAnsi="Times New Roman" w:eastAsia="方正小标宋简体" w:cs="Times New Roman"/>
          <w:sz w:val="44"/>
          <w:szCs w:val="44"/>
          <w:highlight w:val="none"/>
          <w:lang w:eastAsia="zh-CN"/>
        </w:rPr>
        <w:t>法治政府建设年度情况</w:t>
      </w:r>
      <w:r>
        <w:rPr>
          <w:rFonts w:hint="default" w:ascii="Times New Roman" w:hAnsi="Times New Roman" w:eastAsia="方正小标宋简体" w:cs="Times New Roman"/>
          <w:sz w:val="44"/>
          <w:szCs w:val="44"/>
          <w:highlight w:val="none"/>
        </w:rPr>
        <w:t>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方正小标宋简体"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 w:cs="Times New Roman"/>
          <w:sz w:val="32"/>
          <w:szCs w:val="32"/>
          <w:highlight w:val="none"/>
          <w:lang w:eastAsia="zh-CN"/>
        </w:rPr>
      </w:pPr>
      <w:r>
        <w:rPr>
          <w:rFonts w:hint="default" w:ascii="Times New Roman" w:hAnsi="Times New Roman" w:eastAsia="仿宋_GB2312" w:cs="Times New Roman"/>
          <w:sz w:val="32"/>
          <w:szCs w:val="32"/>
        </w:rPr>
        <w:t>2024年是中华人民共和国成立75周年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是全面贯彻落实党的二十大精神的关键之年，也是贯彻实施《法治政府建设实施纲要（2021-2025年）》和《北京市法治政府建设实施意见（2021-2025年）》</w:t>
      </w:r>
      <w:r>
        <w:rPr>
          <w:rFonts w:hint="default" w:ascii="Times New Roman" w:hAnsi="Times New Roman" w:eastAsia="仿宋_GB2312" w:cs="Times New Roman"/>
          <w:sz w:val="32"/>
          <w:szCs w:val="32"/>
          <w:lang w:eastAsia="zh-CN"/>
        </w:rPr>
        <w:t>攻坚克难</w:t>
      </w:r>
      <w:r>
        <w:rPr>
          <w:rFonts w:hint="default" w:ascii="Times New Roman" w:hAnsi="Times New Roman" w:eastAsia="仿宋_GB2312" w:cs="Times New Roman"/>
          <w:sz w:val="32"/>
          <w:szCs w:val="32"/>
        </w:rPr>
        <w:t>的关键一年。</w:t>
      </w:r>
      <w:r>
        <w:rPr>
          <w:rFonts w:hint="default" w:ascii="Times New Roman" w:hAnsi="Times New Roman" w:eastAsia="仿宋_GB2312" w:cs="Times New Roman"/>
          <w:sz w:val="32"/>
          <w:szCs w:val="28"/>
          <w:highlight w:val="none"/>
          <w:lang w:val="en-US" w:eastAsia="zh-CN"/>
        </w:rPr>
        <w:t>今年以来，龙潭街道坚持以习近平新时代中国特色社会主义思想为指导，根据《</w:t>
      </w:r>
      <w:r>
        <w:rPr>
          <w:rFonts w:hint="default" w:ascii="Times New Roman" w:hAnsi="Times New Roman" w:eastAsia="仿宋_GB2312" w:cs="Times New Roman"/>
          <w:sz w:val="32"/>
          <w:szCs w:val="32"/>
          <w:lang w:eastAsia="zh-CN"/>
        </w:rPr>
        <w:t>东城区2023年推进法治政府建设工作要点及任务分解</w:t>
      </w:r>
      <w:r>
        <w:rPr>
          <w:rFonts w:hint="default" w:ascii="Times New Roman" w:hAnsi="Times New Roman" w:eastAsia="仿宋_GB2312" w:cs="Times New Roman"/>
          <w:sz w:val="32"/>
          <w:szCs w:val="28"/>
          <w:highlight w:val="none"/>
          <w:lang w:val="en-US" w:eastAsia="zh-CN"/>
        </w:rPr>
        <w:t>》要求，围绕推动高质量发展首要任务和构建新发展格局战略任务，以法治建设为轴，坚持党建引领，全面完成全年法治工作目标任务，为辖区经济社会发展提供良好的法治环境和有效的法制保障。现将全年的法治政府建设工作汇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一、2024年推进法治政府建设的主要举措和成效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（一）深学笃行习近平法治思想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龙潭街道始终坚持党工委统一领导，充分发挥党委总揽全局，协调各方的领导核心作用，坚持贯彻落实习近平法治思想，坚持将依法行政的法治理念贯彻到街道工作的各个方面、各个环节，切实加强街道党工委对法治政府建设工作的组织领导。</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28"/>
          <w:highlight w:val="none"/>
          <w:lang w:val="en-US" w:eastAsia="zh-CN"/>
        </w:rPr>
      </w:pPr>
      <w:r>
        <w:rPr>
          <w:rFonts w:hint="default" w:ascii="Times New Roman" w:hAnsi="Times New Roman" w:eastAsia="仿宋_GB2312" w:cs="Times New Roman"/>
          <w:sz w:val="32"/>
          <w:szCs w:val="32"/>
          <w:highlight w:val="none"/>
          <w:lang w:eastAsia="zh-CN"/>
        </w:rPr>
        <w:t>坚持把党的二十大关于法治政府建设相关决策部署和习近平法治思想作为街道中心组学习和主任办公会会前学法内容，把习近平法治思想贯彻落实到法治政府建设全过程和各方面。街道领导干部带头学习党的二十大精神及中央全面依法治国工作会议精神、</w:t>
      </w:r>
      <w:r>
        <w:rPr>
          <w:rFonts w:hint="default" w:ascii="Times New Roman" w:hAnsi="Times New Roman" w:eastAsia="仿宋_GB2312" w:cs="Times New Roman"/>
          <w:sz w:val="32"/>
          <w:szCs w:val="32"/>
        </w:rPr>
        <w:t>认真落实中共中央、国务院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市委</w:t>
      </w:r>
      <w:r>
        <w:rPr>
          <w:rFonts w:hint="default" w:ascii="Times New Roman" w:hAnsi="Times New Roman" w:eastAsia="仿宋_GB2312" w:cs="Times New Roman"/>
          <w:sz w:val="32"/>
          <w:szCs w:val="32"/>
          <w:lang w:eastAsia="zh-CN"/>
        </w:rPr>
        <w:t>和区委</w:t>
      </w:r>
      <w:r>
        <w:rPr>
          <w:rFonts w:hint="default" w:ascii="Times New Roman" w:hAnsi="Times New Roman" w:eastAsia="仿宋_GB2312" w:cs="Times New Roman"/>
          <w:sz w:val="32"/>
          <w:szCs w:val="32"/>
        </w:rPr>
        <w:t>关于法治政府建设的各项决策部署</w:t>
      </w:r>
      <w:r>
        <w:rPr>
          <w:rFonts w:hint="default" w:ascii="Times New Roman" w:hAnsi="Times New Roman" w:eastAsia="仿宋_GB2312" w:cs="Times New Roman"/>
          <w:sz w:val="32"/>
          <w:szCs w:val="32"/>
          <w:highlight w:val="none"/>
          <w:lang w:eastAsia="zh-CN"/>
        </w:rPr>
        <w:t>，深刻领会精神实质和内在要求，做到依法行政并自觉接受监督，带头遵守执行宪法法律，将学习贯彻习近平法治思想走深走实。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（二）提高机关干部学法用法能力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抓住领导干部这个“关键少数”，充分发挥领导干部表率作用，着力完善学、述、考、用有机统一、相互支撑的“立体化”法治能力培养体系，进一步压实法治建设第一责任人职责。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全年共组织参加东城区国家工作人员学法考试四批，27人次。建立学法用法激励机制，将学法用法情况纳入干部年度绩效考核体系，组织机关干部参加北京市干部网络学院</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提升行政执法和行政执法监督能力</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网上专题培训班，提升运用法治思维和法治方式开展工作的能力。此外，开展机关干部普法讲堂，邀请北京市司法局法律援助中心主任、北京市高级人民法院执行局法官、街道法律顾问、资深律师为机关干部、社区工作者讲解《</w:t>
      </w:r>
      <w:r>
        <w:rPr>
          <w:rFonts w:hint="eastAsia" w:eastAsia="仿宋_GB2312" w:cs="Times New Roman"/>
          <w:sz w:val="32"/>
          <w:szCs w:val="32"/>
          <w:lang w:val="en-US" w:eastAsia="zh-CN"/>
        </w:rPr>
        <w:t>中华人民共和</w:t>
      </w:r>
      <w:r>
        <w:rPr>
          <w:rFonts w:hint="eastAsia" w:ascii="Times New Roman" w:hAnsi="Times New Roman" w:eastAsia="仿宋_GB2312" w:cs="Times New Roman"/>
          <w:sz w:val="32"/>
          <w:szCs w:val="32"/>
          <w:lang w:val="en-US" w:eastAsia="zh-CN"/>
        </w:rPr>
        <w:t>国</w:t>
      </w:r>
      <w:r>
        <w:rPr>
          <w:rFonts w:hint="default" w:ascii="Times New Roman" w:hAnsi="Times New Roman" w:eastAsia="仿宋_GB2312" w:cs="Times New Roman"/>
          <w:sz w:val="32"/>
          <w:szCs w:val="32"/>
          <w:lang w:val="en-US" w:eastAsia="zh-CN"/>
        </w:rPr>
        <w:t>民法典》《</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法律援助法》《</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行政复议法》等工作中实用的法律知识，提高化解纠纷和服务群众的能力。</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（三）提升整体行政执法水平</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val="en-US" w:eastAsia="zh-CN"/>
        </w:rPr>
        <w:t>龙潭街道严格</w:t>
      </w:r>
      <w:r>
        <w:rPr>
          <w:rFonts w:hint="default" w:ascii="Times New Roman" w:hAnsi="Times New Roman" w:eastAsia="仿宋_GB2312" w:cs="Times New Roman"/>
          <w:sz w:val="32"/>
          <w:szCs w:val="32"/>
          <w:lang w:eastAsia="zh-CN"/>
        </w:rPr>
        <w:t>落实</w:t>
      </w:r>
      <w:r>
        <w:rPr>
          <w:rFonts w:hint="eastAsia" w:eastAsia="仿宋_GB2312" w:cs="Times New Roman"/>
          <w:sz w:val="32"/>
          <w:szCs w:val="32"/>
          <w:lang w:eastAsia="zh-CN"/>
        </w:rPr>
        <w:t>行政执法“三项制度”</w:t>
      </w:r>
      <w:r>
        <w:rPr>
          <w:rFonts w:hint="default" w:ascii="Times New Roman" w:hAnsi="Times New Roman" w:eastAsia="仿宋_GB2312" w:cs="Times New Roman"/>
          <w:sz w:val="32"/>
          <w:szCs w:val="32"/>
          <w:lang w:eastAsia="zh-CN"/>
        </w:rPr>
        <w:t>，规范执法行为，提高执法效能，以文明执法优化营商环境。加强执法队伍建设，重视业务培训，提高执法人员法治能力，确保行政执法行为既有力度，又有温度。</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sz w:val="32"/>
          <w:szCs w:val="32"/>
          <w:lang w:eastAsia="zh-CN"/>
        </w:rPr>
        <w:t>深化</w:t>
      </w:r>
      <w:r>
        <w:rPr>
          <w:rFonts w:hint="default" w:ascii="Times New Roman" w:hAnsi="Times New Roman" w:eastAsia="仿宋_GB2312" w:cs="Times New Roman"/>
          <w:b w:val="0"/>
          <w:bCs w:val="0"/>
          <w:sz w:val="32"/>
          <w:szCs w:val="32"/>
          <w:lang w:val="en-US" w:eastAsia="zh-CN"/>
        </w:rPr>
        <w:t>执法</w:t>
      </w:r>
      <w:r>
        <w:rPr>
          <w:rFonts w:hint="default" w:ascii="Times New Roman" w:hAnsi="Times New Roman" w:eastAsia="仿宋_GB2312" w:cs="Times New Roman"/>
          <w:b w:val="0"/>
          <w:bCs w:val="0"/>
          <w:sz w:val="32"/>
          <w:szCs w:val="32"/>
          <w:lang w:eastAsia="zh-CN"/>
        </w:rPr>
        <w:t>责任制</w:t>
      </w:r>
      <w:r>
        <w:rPr>
          <w:rFonts w:hint="default" w:ascii="Times New Roman" w:hAnsi="Times New Roman" w:eastAsia="仿宋_GB2312" w:cs="Times New Roman"/>
          <w:b w:val="0"/>
          <w:bCs w:val="0"/>
          <w:sz w:val="32"/>
          <w:szCs w:val="32"/>
          <w:lang w:val="en-US" w:eastAsia="zh-CN"/>
        </w:rPr>
        <w:t>度</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lang w:eastAsia="zh-CN"/>
        </w:rPr>
        <w:t>按照统一指挥、全面建设、立体协调的原则，龙潭街道围绕加强与各部门联系、整合执法资源、提升执法效能等方面，健全完善综合行政管理体系，为有效执法奠定坚实基础。</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（四）持续推进依法科学民主决策</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一是完善决策程序。</w:t>
      </w:r>
      <w:r>
        <w:rPr>
          <w:rFonts w:hint="default" w:ascii="Times New Roman" w:hAnsi="Times New Roman" w:eastAsia="仿宋_GB2312" w:cs="Times New Roman"/>
          <w:color w:val="000000"/>
          <w:sz w:val="32"/>
          <w:szCs w:val="32"/>
        </w:rPr>
        <w:t>按照《东城区重大行政决策程序实施细则》</w:t>
      </w:r>
      <w:r>
        <w:rPr>
          <w:rFonts w:hint="default" w:ascii="Times New Roman" w:hAnsi="Times New Roman" w:eastAsia="仿宋_GB2312" w:cs="Times New Roman"/>
          <w:color w:val="000000"/>
          <w:sz w:val="32"/>
          <w:szCs w:val="32"/>
          <w:lang w:eastAsia="zh-CN"/>
        </w:rPr>
        <w:t>要求，</w:t>
      </w:r>
      <w:r>
        <w:rPr>
          <w:rFonts w:hint="default" w:ascii="Times New Roman" w:hAnsi="Times New Roman" w:eastAsia="仿宋_GB2312" w:cs="Times New Roman"/>
          <w:color w:val="000000"/>
          <w:sz w:val="32"/>
          <w:szCs w:val="32"/>
        </w:rPr>
        <w:t>严格落实公众参与、专家论证、风险评估、合法性审查和集体决定的重大决策程序制度。</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bCs w:val="0"/>
          <w:color w:val="000000"/>
          <w:sz w:val="32"/>
          <w:szCs w:val="32"/>
          <w:lang w:val="en-US" w:eastAsia="zh-CN"/>
        </w:rPr>
        <w:t>二是</w:t>
      </w:r>
      <w:r>
        <w:rPr>
          <w:rFonts w:hint="default" w:ascii="Times New Roman" w:hAnsi="Times New Roman" w:eastAsia="仿宋_GB2312" w:cs="Times New Roman"/>
          <w:b w:val="0"/>
          <w:bCs w:val="0"/>
          <w:color w:val="000000"/>
          <w:sz w:val="32"/>
          <w:szCs w:val="32"/>
        </w:rPr>
        <w:t>强化集体决策和决策评估。街道</w:t>
      </w:r>
      <w:r>
        <w:rPr>
          <w:rFonts w:hint="default" w:ascii="Times New Roman" w:hAnsi="Times New Roman" w:eastAsia="仿宋_GB2312" w:cs="Times New Roman"/>
          <w:color w:val="000000"/>
          <w:sz w:val="32"/>
          <w:szCs w:val="32"/>
        </w:rPr>
        <w:t>重大行政决策在深入调查研究、广泛听取意见和充分论证的基础上，经</w:t>
      </w:r>
      <w:r>
        <w:rPr>
          <w:rFonts w:hint="default" w:ascii="Times New Roman" w:hAnsi="Times New Roman" w:eastAsia="仿宋_GB2312" w:cs="Times New Roman"/>
          <w:sz w:val="32"/>
          <w:szCs w:val="32"/>
        </w:rPr>
        <w:t>街道负责人</w:t>
      </w:r>
      <w:r>
        <w:rPr>
          <w:rFonts w:hint="default" w:ascii="Times New Roman" w:hAnsi="Times New Roman" w:eastAsia="仿宋_GB2312" w:cs="Times New Roman"/>
          <w:color w:val="000000"/>
          <w:sz w:val="32"/>
          <w:szCs w:val="32"/>
        </w:rPr>
        <w:t>集体讨论决定。</w:t>
      </w:r>
    </w:p>
    <w:p>
      <w:pPr>
        <w:pStyle w:val="3"/>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000000"/>
          <w:sz w:val="32"/>
          <w:szCs w:val="32"/>
          <w:lang w:val="en-US" w:eastAsia="zh-CN"/>
        </w:rPr>
        <w:t>三是</w:t>
      </w:r>
      <w:r>
        <w:rPr>
          <w:rFonts w:hint="default" w:ascii="Times New Roman" w:hAnsi="Times New Roman" w:eastAsia="仿宋_GB2312" w:cs="Times New Roman"/>
          <w:color w:val="000000"/>
          <w:sz w:val="32"/>
          <w:szCs w:val="32"/>
        </w:rPr>
        <w:t>充分发挥</w:t>
      </w:r>
      <w:r>
        <w:rPr>
          <w:rFonts w:hint="default" w:ascii="Times New Roman" w:hAnsi="Times New Roman" w:eastAsia="仿宋_GB2312" w:cs="Times New Roman"/>
          <w:color w:val="000000"/>
          <w:sz w:val="32"/>
          <w:szCs w:val="32"/>
          <w:lang w:eastAsia="zh-CN"/>
        </w:rPr>
        <w:t>法治部门职能作用。落实司法所列席主任办会制度，充分听取司法所对有关议题的意见和建议，</w:t>
      </w:r>
      <w:r>
        <w:rPr>
          <w:rFonts w:hint="default" w:ascii="Times New Roman" w:hAnsi="Times New Roman" w:eastAsia="仿宋_GB2312" w:cs="Times New Roman"/>
          <w:color w:val="000000"/>
          <w:sz w:val="32"/>
          <w:szCs w:val="32"/>
          <w:lang w:val="en-US" w:eastAsia="zh-CN"/>
        </w:rPr>
        <w:t>本年度司法所所长列席街道办事处主任会议44次，参与行政诉讼案件2件，</w:t>
      </w:r>
      <w:r>
        <w:rPr>
          <w:rFonts w:hint="default" w:ascii="Times New Roman" w:hAnsi="Times New Roman" w:eastAsia="仿宋_GB2312" w:cs="Times New Roman"/>
          <w:color w:val="000000"/>
          <w:sz w:val="32"/>
          <w:szCs w:val="32"/>
        </w:rPr>
        <w:t>法律顾问</w:t>
      </w:r>
      <w:r>
        <w:rPr>
          <w:rFonts w:hint="default" w:ascii="Times New Roman" w:hAnsi="Times New Roman" w:eastAsia="仿宋_GB2312" w:cs="Times New Roman"/>
          <w:color w:val="000000"/>
          <w:sz w:val="32"/>
          <w:szCs w:val="32"/>
          <w:lang w:val="en-US" w:eastAsia="zh-CN"/>
        </w:rPr>
        <w:t>法治审核街道各类工程、合同与文件96件。法治部门与法律顾问</w:t>
      </w:r>
      <w:r>
        <w:rPr>
          <w:rFonts w:hint="default" w:ascii="Times New Roman" w:hAnsi="Times New Roman" w:eastAsia="仿宋_GB2312" w:cs="Times New Roman"/>
          <w:color w:val="000000"/>
          <w:sz w:val="32"/>
          <w:szCs w:val="32"/>
        </w:rPr>
        <w:t>积极参与重大决策事项的法律论证、疑难涉法事务处理，为防范法律风险提供了保障。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（五）营造浓厚法治宣传氛围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cs="Times New Roman"/>
          <w:color w:val="auto"/>
        </w:rPr>
      </w:pPr>
      <w:r>
        <w:rPr>
          <w:rFonts w:hint="default" w:ascii="Times New Roman" w:hAnsi="Times New Roman" w:eastAsia="仿宋_GB2312" w:cs="Times New Roman"/>
          <w:sz w:val="32"/>
          <w:szCs w:val="32"/>
          <w:lang w:val="en-US" w:eastAsia="zh-CN"/>
        </w:rPr>
        <w:t>严格落实“八五”普法工作要求，进一步扩大普法工作影响力。一是加强基层普法队伍建设，建设一支由街道干部、社区工作者、民警、普法志愿者、法学教授、律师等组成的基层普法队伍，形成强大合力，画出最大普法同心圆，在街道一线普法工作中，发挥积极作用。二是畅通多元化普法渠道，整合新媒体资源，扩大法宣工作覆盖面。通过传统的张贴海报、发放宣传材料、法宣讲座、知识问答等方式，延伸线下法宣工作的触角。针对近年来，互联网新媒体的崛起，紧跟时代步伐，依托“两微一客”及短视频新媒体等平台开展线上普法工作，扩大法宣辐射面。本年内辖区普法教育受众累计3万余人。三是聚焦特殊群体开展普法教育。针对辖区学区密集、老龄化水平高、流动人口多等特点，专门开展青少年普法、老年人防诈宣传、外来务工人员法律援助等专题活动，累计开展讲座36场，深受居民好评。四是落实普法责任制。</w:t>
      </w:r>
      <w:r>
        <w:rPr>
          <w:rFonts w:hint="default" w:ascii="Times New Roman" w:hAnsi="Times New Roman" w:eastAsia="仿宋_GB2312" w:cs="Times New Roman"/>
          <w:kern w:val="0"/>
          <w:sz w:val="32"/>
          <w:szCs w:val="32"/>
          <w:lang w:eastAsia="zh-CN"/>
        </w:rPr>
        <w:t>按照</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谁执法谁普法</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lang w:eastAsia="zh-CN"/>
        </w:rPr>
        <w:t>原则，将普法任务严格细化分解，责任落实到人，保障普法工作有序开展</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（六）健全矛调一体化建设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落实矛盾纠纷调解中心实体化建设，建立行政调解</w:t>
      </w:r>
      <w:r>
        <w:rPr>
          <w:rFonts w:hint="default" w:ascii="Times New Roman" w:hAnsi="Times New Roman" w:eastAsia="仿宋_GB2312" w:cs="Times New Roman"/>
          <w:sz w:val="32"/>
          <w:szCs w:val="32"/>
          <w:lang w:val="en-US" w:eastAsia="zh-CN"/>
        </w:rPr>
        <w:t>与人民调解、司法调解的衔接制度，定期进行情况通报交流，妥善化解各类纠纷。进一步完善街道、社区、网格三级调解组织体系，组织公益律师和社会志愿者参与到调解工作中。以网格为中心，由点到线，由线到面，以各社区调解主任为桥梁，以网格为中心开展人民调解工作。街道为各社区聘请法律顾问，并将法律顾问引入矛盾调解工作，推动人民调解专业化、社会化、多元化发展。按照</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预防为主、依法调处、防止激化</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的工作原则，及时妥善处理各类矛盾纠纷，不断加大对社会矛盾纠纷的调处力度，防止矛盾激化，确保不出现非正常上访和重大事件，尽最大努力减少群体性事件和</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民转刑</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案件的发生，充分调动调解力量，确保把隐患消除在萌芽状态，将矛盾纠纷化解在基层。</w:t>
      </w:r>
      <w:r>
        <w:rPr>
          <w:rFonts w:hint="default" w:ascii="Times New Roman" w:hAnsi="Times New Roman" w:eastAsia="仿宋_GB2312" w:cs="Times New Roman"/>
          <w:sz w:val="32"/>
          <w:szCs w:val="32"/>
          <w:highlight w:val="none"/>
          <w:lang w:val="en-US" w:eastAsia="zh-CN"/>
        </w:rPr>
        <w:t>年内共调处矛盾纠纷案件24</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件，成功率100%。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开启政务公开新局面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梳理政务公开流程清单，对公开文件进行规范化、标准化管理，明确信息源头属性和公开格式规范，完善信息定期发布制度。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持续推进重点领域信息公开，以政务公开促落实、促规范、促服务，进一步增强政策发布、解读、推送的便民性和精准性，深化拓展政民互动，围绕全过程人民民主打造高质效政务公开。开展</w:t>
      </w:r>
      <w:r>
        <w:rPr>
          <w:rFonts w:hint="eastAsia" w:eastAsia="仿宋_GB2312" w:cs="Times New Roman"/>
          <w:sz w:val="32"/>
          <w:szCs w:val="32"/>
          <w:lang w:val="en-US" w:eastAsia="zh-CN"/>
        </w:rPr>
        <w:t>《中华人民共和国政府信息公开条例》</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中华人民共和国</w:t>
      </w:r>
      <w:r>
        <w:rPr>
          <w:rFonts w:hint="default" w:ascii="Times New Roman" w:hAnsi="Times New Roman" w:eastAsia="仿宋_GB2312" w:cs="Times New Roman"/>
          <w:sz w:val="32"/>
          <w:szCs w:val="32"/>
          <w:lang w:val="en-US" w:eastAsia="zh-CN"/>
        </w:rPr>
        <w:t>行政复议法》、《最高</w:t>
      </w:r>
      <w:r>
        <w:rPr>
          <w:rFonts w:hint="eastAsia" w:ascii="Times New Roman" w:hAnsi="Times New Roman" w:eastAsia="仿宋_GB2312" w:cs="Times New Roman"/>
          <w:sz w:val="32"/>
          <w:szCs w:val="32"/>
          <w:lang w:val="en-US" w:eastAsia="zh-CN"/>
        </w:rPr>
        <w:t>人民</w:t>
      </w:r>
      <w:r>
        <w:rPr>
          <w:rFonts w:hint="default" w:ascii="Times New Roman" w:hAnsi="Times New Roman" w:eastAsia="仿宋_GB2312" w:cs="Times New Roman"/>
          <w:sz w:val="32"/>
          <w:szCs w:val="32"/>
          <w:lang w:val="en-US" w:eastAsia="zh-CN"/>
        </w:rPr>
        <w:t>法院关于审理政府信息公开行政案件若干问题的规定》等法律法规的学习培训，明确政府信息公开的具体范围和实践操作问题，进一步规范实务操作。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lang w:val="en-US" w:eastAsia="zh-CN"/>
        </w:rPr>
        <w:t>2024</w:t>
      </w:r>
      <w:r>
        <w:rPr>
          <w:rFonts w:hint="default" w:ascii="Times New Roman" w:hAnsi="Times New Roman" w:eastAsia="黑体" w:cs="Times New Roman"/>
          <w:kern w:val="0"/>
          <w:sz w:val="32"/>
          <w:szCs w:val="32"/>
          <w:highlight w:val="none"/>
        </w:rPr>
        <w:t>年推进法治政府建设存在的不足和原因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24" w:firstLineChars="200"/>
        <w:jc w:val="left"/>
        <w:textAlignment w:val="auto"/>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2024年，我街道虽然在法治政府建设工作中取得了一定的成绩，但我们也清醒认识到工作中存在的不足和问题。</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法律顾问的潜能仍需进一步深挖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法律顾问对于街道重大行政决策、规范性文件制定等方面的参与度和支持力度还不够。仍需进一步规范法律顾问和公职律师参与街道依法治理相关事项的流程和办法，充分发挥他们的专业优势，为街道提供更优质高效的法律服务。</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法治宣传的品牌效应仍需进一步激发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highlight w:val="none"/>
          <w:lang w:val="en-US" w:eastAsia="zh-CN"/>
        </w:rPr>
      </w:pPr>
      <w:r>
        <w:rPr>
          <w:rFonts w:hint="default" w:ascii="Times New Roman" w:hAnsi="Times New Roman" w:eastAsia="仿宋_GB2312" w:cs="Times New Roman"/>
          <w:spacing w:val="-4"/>
          <w:sz w:val="32"/>
          <w:szCs w:val="32"/>
          <w:highlight w:val="none"/>
          <w:lang w:val="en-US" w:eastAsia="zh-CN"/>
        </w:rPr>
        <w:t>龙潭街道依托龙潭中湖法治公园，结合自身优势，创建法治文化阵地，还未形成强有力的品牌效应，未将其内部的各个模块，例如社区法宣、以案释法、矛盾调解等，与街道中心工作有机融合，进一步形成品牌效应，推动法治政府建设。</w:t>
      </w:r>
    </w:p>
    <w:p>
      <w:pPr>
        <w:pStyle w:val="2"/>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sz w:val="32"/>
          <w:szCs w:val="28"/>
          <w:lang w:val="en-US" w:eastAsia="zh-CN"/>
        </w:rPr>
      </w:pPr>
      <w:r>
        <w:rPr>
          <w:rFonts w:hint="default" w:ascii="Times New Roman" w:hAnsi="Times New Roman" w:eastAsia="楷体_GB2312" w:cs="Times New Roman"/>
          <w:sz w:val="32"/>
          <w:szCs w:val="28"/>
          <w:lang w:val="en-US" w:eastAsia="zh-CN"/>
        </w:rPr>
        <w:t>法治队伍建设仍需进一步加强</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24" w:firstLineChars="200"/>
        <w:jc w:val="left"/>
        <w:textAlignment w:val="auto"/>
        <w:rPr>
          <w:rFonts w:hint="default" w:ascii="Times New Roman" w:hAnsi="Times New Roman" w:eastAsia="楷体_GB2312" w:cs="Times New Roman"/>
          <w:sz w:val="32"/>
          <w:szCs w:val="28"/>
          <w:lang w:val="en-US" w:eastAsia="zh-CN"/>
        </w:rPr>
      </w:pPr>
      <w:r>
        <w:rPr>
          <w:rFonts w:hint="default" w:ascii="Times New Roman" w:hAnsi="Times New Roman" w:cs="Times New Roman"/>
          <w:spacing w:val="-4"/>
          <w:sz w:val="32"/>
          <w:szCs w:val="32"/>
          <w:highlight w:val="none"/>
          <w:lang w:val="en-US" w:eastAsia="zh-CN"/>
        </w:rPr>
        <w:t>龙潭街道法治队伍建设在专业人才储备、执法能力培养等方面还存在短板。在面对人民群众日益增长的法治服务需求时，存在着工作方式过于传统单一，缺乏创新性和灵活性。比如，在法制宣传工作中，形式和内容不够丰富生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2024年党政主要负责人履行推进法治建设第一责任人职责，加强法治政府建设的有关情况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i w:val="0"/>
          <w:caps w:val="0"/>
          <w:color w:val="000000"/>
          <w:spacing w:val="0"/>
          <w:sz w:val="32"/>
          <w:szCs w:val="32"/>
          <w:highlight w:val="none"/>
          <w:shd w:val="clear" w:color="auto" w:fill="FFFFFF"/>
          <w:lang w:eastAsia="zh-CN"/>
        </w:rPr>
      </w:pPr>
      <w:r>
        <w:rPr>
          <w:rFonts w:hint="default" w:ascii="Times New Roman" w:hAnsi="Times New Roman" w:eastAsia="仿宋_GB2312" w:cs="Times New Roman"/>
          <w:sz w:val="32"/>
          <w:szCs w:val="32"/>
          <w:highlight w:val="none"/>
          <w:lang w:val="en-US" w:eastAsia="zh-CN"/>
        </w:rPr>
        <w:t>街道党工委书记和办事处主任作为党政主要负责人，切实履行推进法治建设第一责任人职责。党工委书记充分发挥党委在法治政府建设中的领导核心作用，定期召开党工委会研究部署法治工作，将法治建设纳入街道发展总体规划和年度工作计划，确保法治建设与经济社会发展同部署、同推进、同考核。办事处主任严格依法依规履行行政职责，带头尊法学法守法用法，督促指导街道各部门依法开展工作，对重大行政决策、规范性文件制定、行政执法等重点法治工作亲自过问、亲自把关，协调解决法治建设中的重大问题，有力推动了街道法治政府建设工作扎实有序开展。</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2025年推进法治政府建设的主要安排</w:t>
      </w:r>
    </w:p>
    <w:p>
      <w:pPr>
        <w:pStyle w:val="2"/>
        <w:keepNext w:val="0"/>
        <w:keepLines w:val="0"/>
        <w:pageBreakBefore w:val="0"/>
        <w:numPr>
          <w:ilvl w:val="0"/>
          <w:numId w:val="4"/>
        </w:numPr>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pacing w:val="-4"/>
          <w:sz w:val="32"/>
          <w:szCs w:val="32"/>
          <w:lang w:val="en-US" w:eastAsia="zh-CN"/>
        </w:rPr>
      </w:pPr>
      <w:r>
        <w:rPr>
          <w:rFonts w:hint="default" w:ascii="Times New Roman" w:hAnsi="Times New Roman" w:eastAsia="楷体_GB2312" w:cs="Times New Roman"/>
          <w:sz w:val="32"/>
          <w:szCs w:val="32"/>
          <w:lang w:eastAsia="zh-CN"/>
        </w:rPr>
        <w:t>夯实</w:t>
      </w:r>
      <w:r>
        <w:rPr>
          <w:rFonts w:hint="default" w:ascii="Times New Roman" w:hAnsi="Times New Roman" w:eastAsia="楷体_GB2312" w:cs="Times New Roman"/>
          <w:sz w:val="32"/>
          <w:szCs w:val="32"/>
        </w:rPr>
        <w:t>法治政府建设基础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龙潭街道将继续以习近平法治思想为指导，深入学习贯彻党的二十大精神，进一步发挥好党政主要负责人履行推进法治建设第一责任人职责，积极发挥街道法治部门的职能作用，推进依法行政、依法治理工作。</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把学习宣传贯彻习近平法治思想作为重大政治任务、长期政治任务，深刻领会“十一个坚持”的核心要义，增强法治素养，善用法治方式，落实法治责任，抓住</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关键少数</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，推动领导干部带头学法、模范守法；注重</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执法多数</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，提升公职人员依法行政的意识和能力。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楷体_GB2312" w:cs="Times New Roman"/>
          <w:spacing w:val="-4"/>
          <w:sz w:val="32"/>
          <w:szCs w:val="32"/>
          <w:lang w:val="en-US" w:eastAsia="zh-CN"/>
        </w:rPr>
      </w:pPr>
      <w:r>
        <w:rPr>
          <w:rFonts w:hint="default" w:ascii="Times New Roman" w:hAnsi="Times New Roman" w:eastAsia="楷体_GB2312" w:cs="Times New Roman"/>
          <w:spacing w:val="-4"/>
          <w:sz w:val="32"/>
          <w:szCs w:val="32"/>
          <w:lang w:val="en-US" w:eastAsia="zh-CN"/>
        </w:rPr>
        <w:t>（二）着力提升依法行政水平</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升行政决策法治化水平。充分激发街道法律顾问和公职律师的潜力，为街道各项工作进行法治把关。发挥法治部门职能作用，加强法治人才储备，贯彻落实重大行政决策法制审核制度，提高依法决策的质量和水平。</w:t>
      </w:r>
    </w:p>
    <w:p>
      <w:pPr>
        <w:pStyle w:val="2"/>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依法依规信息公开。坚持以公开为常态、不公开为例外原则，持续推进决策公开、执行公开、管理公开、服务公开、结果公开。贯彻落实《信息公开条例》及政府信息公开工作相关规定，积极做好主动公开工作，健全街道政府信息公开工作的体制和机制，扩大主动公开信息的范围和数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提高行政执法水平。继续加强执法队伍建设，执法人员持证上岗，加强新上岗执法人员培训，实施在职执法人员法律知识培训和考试制度。继续全面推行行政执法“三项制度”。强化对行政行为的监督力度，让执法行为既有力度又有温度。</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楷体_GB2312" w:cs="Times New Roman"/>
          <w:spacing w:val="-4"/>
          <w:sz w:val="32"/>
          <w:szCs w:val="32"/>
          <w:lang w:val="en-US" w:eastAsia="zh-CN"/>
        </w:rPr>
      </w:pPr>
      <w:r>
        <w:rPr>
          <w:rFonts w:hint="default" w:ascii="Times New Roman" w:hAnsi="Times New Roman" w:eastAsia="楷体_GB2312" w:cs="Times New Roman"/>
          <w:spacing w:val="-4"/>
          <w:sz w:val="32"/>
          <w:szCs w:val="32"/>
          <w:lang w:val="en-US" w:eastAsia="zh-CN"/>
        </w:rPr>
        <w:t>（三）持续打造法治文化龙潭品牌</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要以龙潭中湖法治公园为依托，狠抓特色品牌、人才队伍、法宣阵地建设，精心打造特色鲜明、创意新颖的法治文化龙潭品牌，增强法治宣传教育的渗透力和感染力。</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24" w:firstLineChars="200"/>
        <w:jc w:val="left"/>
        <w:textAlignment w:val="auto"/>
        <w:outlineLvl w:val="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坚持以人为本，贴近实际、贴近生活、贴近群众，丰富普法宣传载体、法宣活动形式，以群众喜闻乐见的宣传方式普及法律知识。持续推进</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谁执法谁普法</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谁管理谁普法</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谁服务谁普法</w:t>
      </w:r>
      <w:r>
        <w:rPr>
          <w:rFonts w:hint="eastAsia" w:eastAsia="仿宋_GB2312" w:cs="Times New Roman"/>
          <w:spacing w:val="-4"/>
          <w:sz w:val="32"/>
          <w:szCs w:val="32"/>
          <w:lang w:val="en-US" w:eastAsia="zh-CN"/>
        </w:rPr>
        <w:t>”</w:t>
      </w:r>
      <w:r>
        <w:rPr>
          <w:rFonts w:hint="default" w:ascii="Times New Roman" w:hAnsi="Times New Roman" w:eastAsia="仿宋_GB2312" w:cs="Times New Roman"/>
          <w:spacing w:val="-4"/>
          <w:sz w:val="32"/>
          <w:szCs w:val="32"/>
          <w:lang w:val="en-US" w:eastAsia="zh-CN"/>
        </w:rPr>
        <w:t>普法责任制，持续壮大基层普法队伍，持续发挥普法志愿者积极作用，深入开展普法工作，实现法宣教育零死角，增强居民法治观念，形成人人懂法、自觉守法的良好氛围。</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（四）积极全面落实法治政府建设工作责任制</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围绕我街道 2025年度重点工作，通过不断强化班子领导的抓落实意识和率先垂范作用，确保领导责任到位、人员落实到位、工作措施到位，切实发挥组织、协调与督促作用，定期研究和部署本地区的法治政府建设工作，推动整个机关工作依法有序开展。</w:t>
      </w:r>
    </w:p>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default" w:ascii="Times New Roman" w:hAnsi="Times New Roman" w:eastAsia="仿宋_GB2312" w:cs="Times New Roman"/>
          <w:sz w:val="32"/>
          <w:szCs w:val="32"/>
          <w:lang w:eastAsia="zh-CN"/>
        </w:rPr>
      </w:pPr>
    </w:p>
    <w:sectPr>
      <w:pgSz w:w="11906" w:h="16838"/>
      <w:pgMar w:top="2098" w:right="1474" w:bottom="1984"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DFA57"/>
    <w:multiLevelType w:val="singleLevel"/>
    <w:tmpl w:val="D13DFA57"/>
    <w:lvl w:ilvl="0" w:tentative="0">
      <w:start w:val="7"/>
      <w:numFmt w:val="chineseCounting"/>
      <w:suff w:val="nothing"/>
      <w:lvlText w:val="（%1）"/>
      <w:lvlJc w:val="left"/>
      <w:rPr>
        <w:rFonts w:hint="eastAsia"/>
      </w:rPr>
    </w:lvl>
  </w:abstractNum>
  <w:abstractNum w:abstractNumId="1">
    <w:nsid w:val="4B3CB6F3"/>
    <w:multiLevelType w:val="singleLevel"/>
    <w:tmpl w:val="4B3CB6F3"/>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2">
    <w:nsid w:val="5FC0C172"/>
    <w:multiLevelType w:val="singleLevel"/>
    <w:tmpl w:val="5FC0C172"/>
    <w:lvl w:ilvl="0" w:tentative="0">
      <w:start w:val="2"/>
      <w:numFmt w:val="chineseCounting"/>
      <w:suff w:val="nothing"/>
      <w:lvlText w:val="%1、"/>
      <w:lvlJc w:val="left"/>
    </w:lvl>
  </w:abstractNum>
  <w:abstractNum w:abstractNumId="3">
    <w:nsid w:val="637ADF2A"/>
    <w:multiLevelType w:val="singleLevel"/>
    <w:tmpl w:val="637ADF2A"/>
    <w:lvl w:ilvl="0" w:tentative="0">
      <w:start w:val="1"/>
      <w:numFmt w:val="chineseCounting"/>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4MGFkYTkwNjZjODA3YTU3OGUyNDFjZDZiMjMyMWMifQ=="/>
  </w:docVars>
  <w:rsids>
    <w:rsidRoot w:val="6A2D481A"/>
    <w:rsid w:val="06E24C16"/>
    <w:rsid w:val="0A99114F"/>
    <w:rsid w:val="0FB41FFE"/>
    <w:rsid w:val="0FDD1065"/>
    <w:rsid w:val="105F38E8"/>
    <w:rsid w:val="10987051"/>
    <w:rsid w:val="11A82728"/>
    <w:rsid w:val="14B04F4C"/>
    <w:rsid w:val="15783A1B"/>
    <w:rsid w:val="1BBA1EF4"/>
    <w:rsid w:val="1F8238FE"/>
    <w:rsid w:val="268F7F88"/>
    <w:rsid w:val="278C1788"/>
    <w:rsid w:val="2BE27ADC"/>
    <w:rsid w:val="2F593AD5"/>
    <w:rsid w:val="32341030"/>
    <w:rsid w:val="377A4D9B"/>
    <w:rsid w:val="3A327784"/>
    <w:rsid w:val="3EB96BF2"/>
    <w:rsid w:val="4AF272D6"/>
    <w:rsid w:val="4B3F217F"/>
    <w:rsid w:val="4B95169A"/>
    <w:rsid w:val="4ECF52DB"/>
    <w:rsid w:val="52036CC7"/>
    <w:rsid w:val="52057FC2"/>
    <w:rsid w:val="52FE686D"/>
    <w:rsid w:val="542D3B42"/>
    <w:rsid w:val="5D261B41"/>
    <w:rsid w:val="5F1C0EBA"/>
    <w:rsid w:val="65371CBE"/>
    <w:rsid w:val="6A2D481A"/>
    <w:rsid w:val="6ACE4547"/>
    <w:rsid w:val="6B21044C"/>
    <w:rsid w:val="75484ADB"/>
    <w:rsid w:val="795B591A"/>
    <w:rsid w:val="7A4A7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624" w:firstLineChars="200"/>
    </w:pPr>
    <w:rPr>
      <w:rFonts w:eastAsia="仿宋_GB2312"/>
      <w:sz w:val="30"/>
      <w:szCs w:val="30"/>
    </w:rPr>
  </w:style>
  <w:style w:type="paragraph" w:styleId="3">
    <w:name w:val="toc 3"/>
    <w:basedOn w:val="1"/>
    <w:next w:val="1"/>
    <w:autoRedefine/>
    <w:qFormat/>
    <w:uiPriority w:val="0"/>
    <w:pPr>
      <w:ind w:left="840" w:leftChars="400"/>
    </w:p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4114</Words>
  <Characters>4167</Characters>
  <Lines>0</Lines>
  <Paragraphs>0</Paragraphs>
  <TotalTime>0</TotalTime>
  <ScaleCrop>false</ScaleCrop>
  <LinksUpToDate>false</LinksUpToDate>
  <CharactersWithSpaces>4168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2024-12-12T06:07:00Z</dcterms:created>
  <dc:creator>sifasuo</dc:creator>
  <cp:lastModifiedBy>李元隆</cp:lastModifiedBy>
  <dcterms:modified xsi:type="dcterms:W3CDTF">2025-06-04T08:23:28Z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7D7478596C5644A387EEC9569E7EFCF2</vt:lpwstr>
  </property>
  <property fmtid="{D5CDD505-2E9C-101B-9397-08002B2CF9AE}" pid="4" name="KSOTemplateDocerSaveRecord">
    <vt:lpwstr>eyJoZGlkIjoiMGU3M2U2NzEwNTZmNTk2Mjk1MjBlYzY0MTM1MzM0YTUiLCJ1c2VySWQiOiI2Mzc1MDI3OTEifQ==</vt:lpwstr>
  </property>
</Properties>
</file>