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DB011">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val="en-US" w:eastAsia="zh-CN"/>
        </w:rPr>
        <w:t>东城区科学技术和信息化局</w:t>
      </w:r>
    </w:p>
    <w:p w14:paraId="08DA2527">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2023年</w:t>
      </w:r>
      <w:r>
        <w:rPr>
          <w:rFonts w:hint="default" w:ascii="Times New Roman" w:hAnsi="Times New Roman" w:eastAsia="方正小标宋简体" w:cs="Times New Roman"/>
          <w:color w:val="auto"/>
          <w:sz w:val="44"/>
          <w:szCs w:val="44"/>
          <w:lang w:eastAsia="zh-CN"/>
        </w:rPr>
        <w:t>法治政府建设年度情况</w:t>
      </w:r>
      <w:r>
        <w:rPr>
          <w:rFonts w:hint="default" w:ascii="Times New Roman" w:hAnsi="Times New Roman" w:eastAsia="方正小标宋简体" w:cs="Times New Roman"/>
          <w:color w:val="auto"/>
          <w:sz w:val="44"/>
          <w:szCs w:val="44"/>
        </w:rPr>
        <w:t>报告</w:t>
      </w:r>
    </w:p>
    <w:p w14:paraId="635458A9">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color w:val="auto"/>
          <w:sz w:val="44"/>
          <w:szCs w:val="44"/>
        </w:rPr>
      </w:pPr>
    </w:p>
    <w:p w14:paraId="60C4BCF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一、2023年推进法治政府建设的主要举措和成效</w:t>
      </w:r>
    </w:p>
    <w:p w14:paraId="0F46852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（一）强化组织领导，提升依法履职能力</w:t>
      </w:r>
    </w:p>
    <w:p w14:paraId="6906B99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深入学习党的二十大精神和习近平法治思想。将习近平法治思想的学习宣传纳入局党组中心组理论学习以及会前学法的重点内容，常抓不懈。紧抓</w:t>
      </w:r>
      <w:r>
        <w:rPr>
          <w:rFonts w:hint="eastAsia" w:ascii="Times New Roman" w:hAnsi="Times New Roman" w:eastAsia="仿宋_GB2312" w:cs="Times New Roman"/>
          <w:color w:val="auto"/>
          <w:sz w:val="32"/>
          <w:szCs w:val="32"/>
          <w:u w:val="none"/>
          <w:lang w:eastAsia="zh-CN"/>
        </w:rPr>
        <w:t>主题教育</w:t>
      </w:r>
      <w:r>
        <w:rPr>
          <w:rFonts w:hint="default" w:ascii="Times New Roman" w:hAnsi="Times New Roman" w:eastAsia="仿宋_GB2312" w:cs="Times New Roman"/>
          <w:color w:val="auto"/>
          <w:sz w:val="32"/>
          <w:szCs w:val="32"/>
          <w:u w:val="none"/>
          <w:lang w:eastAsia="zh-CN"/>
        </w:rPr>
        <w:t>契机，领导班子带头、全局工作人员学习二十大报告、党章、习近平法治思想等内容，提升法治工作理论水平。</w:t>
      </w:r>
    </w:p>
    <w:p w14:paraId="09C0E5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加强自身能力建设。持续优化人才队伍，加强法律法规和执法业务培训，提升依法履职能力。主管法治工作领导参加“习近平法治思想专题研修班”集中学习。组织新任职科级干部、新入职公务员参加“东城区国家工作人员学法考试”，推进打造具有较高政治素养、法治素养和实践能力的工作队伍。</w:t>
      </w:r>
    </w:p>
    <w:p w14:paraId="614D77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深化专业科室建设。合理安排人员分工，围绕科技创新、产业发展等重点工作，各科室“各负其责，各司其职”，持续做好日常执法检查、执法信息公开。按照“谁执法、谁普法”的原则，加强对区内企事业单位的法律法规宣传和监督指导。</w:t>
      </w:r>
    </w:p>
    <w:p w14:paraId="29DF48A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（二）依法行使职能，优化营商环境</w:t>
      </w:r>
    </w:p>
    <w:p w14:paraId="234E651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优化营商环境。畅通政企沟通渠道，企有所呼、我有所应，帮助企业健康发展。今年以来，已联系重点企业700余户次，协调人才引进、工作居住证、房屋租赁、政策咨询、人才公租房等事项50余项。召开东城区科技信息产业发展促进大会，现场为企业兑现专项资金奖励，“真金白银”支持科技和信息企业创新发展。发布“紫金云”服务，助力企业数字化转型，首批试点的20家企业已陆续上云。</w:t>
      </w:r>
    </w:p>
    <w:p w14:paraId="280C1A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建立和完善中小企业服务体系。完成创新型中小企业和专精特新中小企业申报推荐审核工作，截至目前，东城区创新型中小企业128家，专精特新中小企业161家。成立专精特新中小企业联盟，加强优质中小企业培育工作，创新建立协调联动机制，召开优质中小企业代表座谈会、培训活动共计37次。月度报送中小微企业监测分析，组织50家中小微企业每月填报工信部平台监测分析调查问卷，推荐20家中小企业参加北京市减轻企业负担问卷调查工作，为决策和出台措施提供数据支撑。开展防范和化解拖欠中小企业款项工作，办结四项拖欠中小企业款项转办线索。举办东城区“创客北京2023”中小企业创新创业大赛初赛和复赛，广泛征集122个项目参加初赛，74个项目晋级复赛，推荐28个项目参加北京市决赛，1个项目获得市级二等奖，3个项目获得市级三等奖。</w:t>
      </w:r>
    </w:p>
    <w:p w14:paraId="76582AE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（三）落实民主决策，规范工作程序</w:t>
      </w:r>
    </w:p>
    <w:p w14:paraId="7E13C26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落实民主决策</w:t>
      </w:r>
      <w:r>
        <w:rPr>
          <w:rFonts w:hint="default" w:ascii="Times New Roman" w:hAnsi="Times New Roman" w:eastAsia="仿宋_GB2312" w:cs="Times New Roman"/>
          <w:color w:val="auto"/>
          <w:sz w:val="32"/>
          <w:szCs w:val="32"/>
          <w:lang w:eastAsia="zh-CN"/>
        </w:rPr>
        <w:t>制度</w:t>
      </w:r>
      <w:r>
        <w:rPr>
          <w:rFonts w:hint="default" w:ascii="Times New Roman" w:hAnsi="Times New Roman" w:eastAsia="仿宋_GB2312" w:cs="Times New Roman"/>
          <w:color w:val="auto"/>
          <w:sz w:val="32"/>
          <w:szCs w:val="32"/>
        </w:rPr>
        <w:t>。定期召开党组会议对重大资金、重大人事决策、重大项目等进行集体决策。</w:t>
      </w:r>
      <w:r>
        <w:rPr>
          <w:rFonts w:hint="default"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rPr>
        <w:t>召开党组会</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次，决策</w:t>
      </w:r>
      <w:r>
        <w:rPr>
          <w:rFonts w:hint="default" w:ascii="Times New Roman" w:hAnsi="Times New Roman" w:eastAsia="仿宋_GB2312" w:cs="Times New Roman"/>
          <w:color w:val="auto"/>
          <w:sz w:val="32"/>
          <w:szCs w:val="32"/>
          <w:lang w:eastAsia="zh-CN"/>
        </w:rPr>
        <w:t>包括资金使用、人事任免、政策发布等</w:t>
      </w:r>
      <w:r>
        <w:rPr>
          <w:rFonts w:hint="default" w:ascii="Times New Roman" w:hAnsi="Times New Roman" w:eastAsia="仿宋_GB2312" w:cs="Times New Roman"/>
          <w:color w:val="auto"/>
          <w:sz w:val="32"/>
          <w:szCs w:val="32"/>
        </w:rPr>
        <w:t>事项。严格遵循民主决策机制，</w:t>
      </w:r>
      <w:r>
        <w:rPr>
          <w:rFonts w:hint="default"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负责人汇报，分管领导补充意见，班子成员逐一发表意见</w:t>
      </w:r>
      <w:r>
        <w:rPr>
          <w:rFonts w:hint="default" w:ascii="Times New Roman" w:hAnsi="Times New Roman" w:eastAsia="仿宋_GB2312" w:cs="Times New Roman"/>
          <w:color w:val="auto"/>
          <w:sz w:val="32"/>
          <w:szCs w:val="32"/>
          <w:lang w:eastAsia="zh-CN"/>
        </w:rPr>
        <w:t>，做好会议</w:t>
      </w:r>
      <w:r>
        <w:rPr>
          <w:rFonts w:hint="default" w:ascii="Times New Roman" w:hAnsi="Times New Roman" w:eastAsia="仿宋_GB2312" w:cs="Times New Roman"/>
          <w:color w:val="auto"/>
          <w:sz w:val="32"/>
          <w:szCs w:val="32"/>
        </w:rPr>
        <w:t>记录</w:t>
      </w:r>
      <w:r>
        <w:rPr>
          <w:rFonts w:hint="default"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rPr>
        <w:t>形成纪要。</w:t>
      </w:r>
    </w:p>
    <w:p w14:paraId="3E5D66B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严格工作程序</w:t>
      </w:r>
      <w:r>
        <w:rPr>
          <w:rFonts w:hint="default" w:ascii="Times New Roman" w:hAnsi="Times New Roman" w:eastAsia="仿宋_GB2312" w:cs="Times New Roman"/>
          <w:color w:val="auto"/>
          <w:sz w:val="32"/>
          <w:szCs w:val="32"/>
        </w:rPr>
        <w:t>。建立法律顾问制度，</w:t>
      </w:r>
      <w:r>
        <w:rPr>
          <w:rFonts w:hint="default" w:ascii="Times New Roman" w:hAnsi="Times New Roman" w:eastAsia="仿宋_GB2312" w:cs="Times New Roman"/>
          <w:color w:val="auto"/>
          <w:sz w:val="32"/>
          <w:szCs w:val="32"/>
          <w:lang w:val="en-US" w:eastAsia="zh-CN"/>
        </w:rPr>
        <w:t>与律师</w:t>
      </w:r>
      <w:r>
        <w:rPr>
          <w:rFonts w:hint="default" w:ascii="Times New Roman" w:hAnsi="Times New Roman" w:eastAsia="仿宋_GB2312" w:cs="Times New Roman"/>
          <w:color w:val="auto"/>
          <w:sz w:val="32"/>
          <w:szCs w:val="32"/>
        </w:rPr>
        <w:t>事务所</w:t>
      </w:r>
      <w:r>
        <w:rPr>
          <w:rFonts w:hint="default" w:ascii="Times New Roman" w:hAnsi="Times New Roman" w:eastAsia="仿宋_GB2312" w:cs="Times New Roman"/>
          <w:color w:val="auto"/>
          <w:sz w:val="32"/>
          <w:szCs w:val="32"/>
          <w:lang w:eastAsia="zh-CN"/>
        </w:rPr>
        <w:t>签订服务协议，聘用专业律师</w:t>
      </w:r>
      <w:r>
        <w:rPr>
          <w:rFonts w:hint="default" w:ascii="Times New Roman" w:hAnsi="Times New Roman" w:eastAsia="仿宋_GB2312" w:cs="Times New Roman"/>
          <w:color w:val="auto"/>
          <w:sz w:val="32"/>
          <w:szCs w:val="32"/>
        </w:rPr>
        <w:t>担任法律顾问，在合同起草、</w:t>
      </w:r>
      <w:r>
        <w:rPr>
          <w:rFonts w:hint="default" w:ascii="Times New Roman" w:hAnsi="Times New Roman" w:eastAsia="仿宋_GB2312" w:cs="Times New Roman"/>
          <w:color w:val="auto"/>
          <w:sz w:val="32"/>
          <w:szCs w:val="32"/>
          <w:lang w:eastAsia="zh-CN"/>
        </w:rPr>
        <w:t>规范性文件审核、</w:t>
      </w:r>
      <w:r>
        <w:rPr>
          <w:rFonts w:hint="default" w:ascii="Times New Roman" w:hAnsi="Times New Roman" w:eastAsia="仿宋_GB2312" w:cs="Times New Roman"/>
          <w:color w:val="auto"/>
          <w:sz w:val="32"/>
          <w:szCs w:val="32"/>
        </w:rPr>
        <w:t>重大行政决策</w:t>
      </w:r>
      <w:r>
        <w:rPr>
          <w:rFonts w:hint="default" w:ascii="Times New Roman" w:hAnsi="Times New Roman" w:eastAsia="仿宋_GB2312" w:cs="Times New Roman"/>
          <w:color w:val="auto"/>
          <w:sz w:val="32"/>
          <w:szCs w:val="32"/>
          <w:lang w:eastAsia="zh-CN"/>
        </w:rPr>
        <w:t>等环节严格</w:t>
      </w:r>
      <w:r>
        <w:rPr>
          <w:rFonts w:hint="default" w:ascii="Times New Roman" w:hAnsi="Times New Roman" w:eastAsia="仿宋_GB2312" w:cs="Times New Roman"/>
          <w:color w:val="auto"/>
          <w:sz w:val="32"/>
          <w:szCs w:val="32"/>
        </w:rPr>
        <w:t>加强</w:t>
      </w:r>
      <w:r>
        <w:rPr>
          <w:rFonts w:hint="default" w:ascii="Times New Roman" w:hAnsi="Times New Roman" w:eastAsia="仿宋_GB2312" w:cs="Times New Roman"/>
          <w:color w:val="auto"/>
          <w:sz w:val="32"/>
          <w:szCs w:val="32"/>
          <w:lang w:eastAsia="zh-CN"/>
        </w:rPr>
        <w:t>文件审查，并在</w:t>
      </w:r>
      <w:r>
        <w:rPr>
          <w:rFonts w:hint="default" w:ascii="Times New Roman" w:hAnsi="Times New Roman" w:eastAsia="仿宋_GB2312" w:cs="Times New Roman"/>
          <w:color w:val="auto"/>
          <w:sz w:val="32"/>
          <w:szCs w:val="32"/>
        </w:rPr>
        <w:t>日常事务法律咨询、行政复议等方面</w:t>
      </w:r>
      <w:r>
        <w:rPr>
          <w:rFonts w:hint="default" w:ascii="Times New Roman" w:hAnsi="Times New Roman" w:eastAsia="仿宋_GB2312" w:cs="Times New Roman"/>
          <w:color w:val="auto"/>
          <w:sz w:val="32"/>
          <w:szCs w:val="32"/>
          <w:lang w:eastAsia="zh-CN"/>
        </w:rPr>
        <w:t>提供专业支撑</w:t>
      </w:r>
      <w:r>
        <w:rPr>
          <w:rFonts w:hint="default" w:ascii="Times New Roman" w:hAnsi="Times New Roman" w:eastAsia="仿宋_GB2312" w:cs="Times New Roman"/>
          <w:color w:val="auto"/>
          <w:sz w:val="32"/>
          <w:szCs w:val="32"/>
        </w:rPr>
        <w:t>。</w:t>
      </w:r>
    </w:p>
    <w:p w14:paraId="21E814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（四）聚焦服务主体，做好普法宣传 </w:t>
      </w:r>
    </w:p>
    <w:p w14:paraId="75018E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做好对服务对象的普法宣传。</w:t>
      </w:r>
      <w:r>
        <w:rPr>
          <w:rFonts w:hint="default" w:ascii="Times New Roman" w:hAnsi="Times New Roman" w:eastAsia="仿宋_GB2312" w:cs="Times New Roman"/>
          <w:color w:val="auto"/>
          <w:sz w:val="32"/>
        </w:rPr>
        <w:t>运用</w:t>
      </w:r>
      <w:r>
        <w:rPr>
          <w:rFonts w:hint="default" w:ascii="Times New Roman" w:hAnsi="Times New Roman" w:eastAsia="仿宋_GB2312" w:cs="Times New Roman"/>
          <w:color w:val="auto"/>
          <w:sz w:val="32"/>
          <w:szCs w:val="32"/>
          <w:lang w:val="en-US" w:eastAsia="zh-CN"/>
        </w:rPr>
        <w:t>“12·4”国家宪法日</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szCs w:val="32"/>
          <w:lang w:val="en-US" w:eastAsia="zh-CN"/>
        </w:rPr>
        <w:t xml:space="preserve">415 </w:t>
      </w:r>
      <w:r>
        <w:rPr>
          <w:rFonts w:hint="default" w:ascii="Times New Roman" w:hAnsi="Times New Roman" w:eastAsia="仿宋_GB2312" w:cs="Times New Roman"/>
          <w:color w:val="auto"/>
          <w:sz w:val="32"/>
        </w:rPr>
        <w:t>全民国家安全教育日、“科技周”等活动契机，积极开展“五进”活动，推动无线电宣传进商圈、科普知识进校园、技术市场优惠政</w:t>
      </w:r>
      <w:bookmarkStart w:id="0" w:name="_GoBack"/>
      <w:bookmarkEnd w:id="0"/>
      <w:r>
        <w:rPr>
          <w:rFonts w:hint="default" w:ascii="Times New Roman" w:hAnsi="Times New Roman" w:eastAsia="仿宋_GB2312" w:cs="Times New Roman"/>
          <w:color w:val="auto"/>
          <w:sz w:val="32"/>
        </w:rPr>
        <w:t>策解读进企业、信用宣传进社区（市民）、防火安全进机关。举办科技周等活动，开展科技政策宣讲会、财税讲堂等政策培训</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rPr>
        <w:t>余场，宣传解读《东城区促进中小企业创新发展的若干措施》，国家高新，财政税收，技术合同登记等惠企政策。</w:t>
      </w:r>
    </w:p>
    <w:p w14:paraId="14BAE7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强化机关内部宣传学习</w:t>
      </w:r>
      <w:r>
        <w:rPr>
          <w:rFonts w:hint="default" w:ascii="Times New Roman" w:hAnsi="Times New Roman" w:eastAsia="仿宋_GB2312" w:cs="Times New Roman"/>
          <w:color w:val="auto"/>
          <w:sz w:val="32"/>
        </w:rPr>
        <w:t>。制定《区科技和信息化局“八五”普法责任清单》，明确普法依法治理工作的任务目标和工作要求。组织全体干部深入学习中国特色社会主义法律体系，充分利用“云课堂”、“学习园地”等平台，广泛开展宣传培训，发布《民法典》《中华人民共和国反恐怖主义法》等普法学习内容</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rPr>
        <w:t>余项。充分发挥领导班子带头表率作用，每季度学法不少于</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rPr>
        <w:t>次。借助书记讲党课等</w:t>
      </w:r>
      <w:r>
        <w:rPr>
          <w:rFonts w:hint="default" w:ascii="Times New Roman" w:hAnsi="Times New Roman" w:eastAsia="仿宋_GB2312" w:cs="Times New Roman"/>
          <w:color w:val="auto"/>
          <w:sz w:val="32"/>
          <w:lang w:eastAsia="zh-CN"/>
        </w:rPr>
        <w:t>平台</w:t>
      </w:r>
      <w:r>
        <w:rPr>
          <w:rFonts w:hint="default" w:ascii="Times New Roman" w:hAnsi="Times New Roman" w:eastAsia="仿宋_GB2312" w:cs="Times New Roman"/>
          <w:color w:val="auto"/>
          <w:sz w:val="32"/>
        </w:rPr>
        <w:t>，开展全局干部职工学法教育活动，突出对《宪法》《民法典》等重点法律知识内容的学习宣贯，营造全员学法的浓厚氛围。</w:t>
      </w:r>
    </w:p>
    <w:p w14:paraId="314348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val="en-US" w:eastAsia="zh-CN"/>
        </w:rPr>
        <w:t>二、2023</w:t>
      </w:r>
      <w:r>
        <w:rPr>
          <w:rFonts w:hint="default" w:ascii="Times New Roman" w:hAnsi="Times New Roman" w:eastAsia="黑体" w:cs="Times New Roman"/>
          <w:color w:val="auto"/>
          <w:kern w:val="0"/>
          <w:sz w:val="32"/>
          <w:szCs w:val="32"/>
        </w:rPr>
        <w:t>年推进法治政府建设存在的不足和原因</w:t>
      </w:r>
    </w:p>
    <w:p w14:paraId="4A0C98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olor w:val="auto"/>
          <w:sz w:val="32"/>
          <w:lang w:val="en-US" w:eastAsia="zh-CN"/>
        </w:rPr>
      </w:pPr>
      <w:r>
        <w:rPr>
          <w:rFonts w:hint="default" w:ascii="Times New Roman" w:hAnsi="Times New Roman" w:eastAsia="仿宋_GB2312" w:cs="Times New Roman"/>
          <w:i w:val="0"/>
          <w:iCs w:val="0"/>
          <w:color w:val="auto"/>
          <w:sz w:val="32"/>
          <w:lang w:val="en-US" w:eastAsia="zh-CN"/>
        </w:rPr>
        <w:t>一是依法履职能力需要提升。工作人员法治意识仍不够强、知识结构体系不够完备，对宪法及各项法律法规的学习不够细致深入，对各项政策的了解掌握需要进一步加强。执法人员行政执法实务不多、执法经验仍然不够丰富。</w:t>
      </w:r>
    </w:p>
    <w:p w14:paraId="31F9BE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二是普法责任制落实需要进一步加强。普法工作深度不够、活动形式不够多样，</w:t>
      </w:r>
      <w:r>
        <w:rPr>
          <w:rFonts w:hint="eastAsia" w:ascii="Times New Roman" w:hAnsi="Times New Roman" w:eastAsia="仿宋_GB2312" w:cs="Times New Roman"/>
          <w:color w:val="auto"/>
          <w:sz w:val="32"/>
          <w:lang w:val="en-US" w:eastAsia="zh-CN"/>
        </w:rPr>
        <w:t>法治宣传</w:t>
      </w:r>
      <w:r>
        <w:rPr>
          <w:rFonts w:hint="default" w:ascii="Times New Roman" w:hAnsi="Times New Roman" w:eastAsia="仿宋_GB2312" w:cs="Times New Roman"/>
          <w:color w:val="auto"/>
          <w:sz w:val="32"/>
          <w:lang w:val="en-US" w:eastAsia="zh-CN"/>
        </w:rPr>
        <w:t>工作的影响力需要进一步拓展。</w:t>
      </w:r>
    </w:p>
    <w:p w14:paraId="130220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三、2023年党政主要负责人履行推进法治建设第一责任人职责，加强法治政府建设的有关情况</w:t>
      </w:r>
    </w:p>
    <w:p w14:paraId="675C12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（一）建立责任机制</w:t>
      </w:r>
    </w:p>
    <w:p w14:paraId="51179A8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kern w:val="2"/>
          <w:sz w:val="32"/>
          <w:szCs w:val="32"/>
          <w:lang w:val="en-US" w:eastAsia="zh-CN" w:bidi="ar-SA"/>
        </w:rPr>
        <w:t>根据区委全面依法治区委员会办公室工作要求，落实《法治政府建设与责任落实督查工作规定》《党政主要责任人履行法治建设第一责任人职责规定》等文件要求，明确党组书记、局长法治建设的第一责任人责任。“一把手”带头</w:t>
      </w:r>
      <w:r>
        <w:rPr>
          <w:rFonts w:hint="default" w:ascii="Times New Roman" w:hAnsi="Times New Roman" w:eastAsia="仿宋_GB2312" w:cs="Times New Roman"/>
          <w:i w:val="0"/>
          <w:caps w:val="0"/>
          <w:color w:val="auto"/>
          <w:spacing w:val="0"/>
          <w:sz w:val="32"/>
          <w:szCs w:val="32"/>
        </w:rPr>
        <w:t>学习贯彻习近平法治思想</w:t>
      </w:r>
      <w:r>
        <w:rPr>
          <w:rFonts w:hint="default" w:ascii="Times New Roman" w:hAnsi="Times New Roman" w:eastAsia="仿宋_GB2312" w:cs="Times New Roman"/>
          <w:i w:val="0"/>
          <w:caps w:val="0"/>
          <w:color w:val="auto"/>
          <w:spacing w:val="0"/>
          <w:sz w:val="32"/>
          <w:szCs w:val="32"/>
          <w:lang w:eastAsia="zh-CN"/>
        </w:rPr>
        <w:t>，推动</w:t>
      </w:r>
      <w:r>
        <w:rPr>
          <w:rFonts w:hint="default" w:ascii="Times New Roman" w:hAnsi="Times New Roman" w:eastAsia="仿宋_GB2312" w:cs="Times New Roman"/>
          <w:i w:val="0"/>
          <w:caps w:val="0"/>
          <w:color w:val="auto"/>
          <w:spacing w:val="0"/>
          <w:sz w:val="32"/>
          <w:szCs w:val="32"/>
        </w:rPr>
        <w:t>法治政府建设</w:t>
      </w:r>
      <w:r>
        <w:rPr>
          <w:rFonts w:hint="default" w:ascii="Times New Roman" w:hAnsi="Times New Roman" w:eastAsia="仿宋_GB2312" w:cs="Times New Roman"/>
          <w:i w:val="0"/>
          <w:caps w:val="0"/>
          <w:color w:val="auto"/>
          <w:spacing w:val="0"/>
          <w:sz w:val="32"/>
          <w:szCs w:val="32"/>
          <w:lang w:eastAsia="zh-CN"/>
        </w:rPr>
        <w:t>各项</w:t>
      </w:r>
      <w:r>
        <w:rPr>
          <w:rFonts w:hint="default" w:ascii="Times New Roman" w:hAnsi="Times New Roman" w:eastAsia="仿宋_GB2312" w:cs="Times New Roman"/>
          <w:i w:val="0"/>
          <w:caps w:val="0"/>
          <w:color w:val="auto"/>
          <w:spacing w:val="0"/>
          <w:sz w:val="32"/>
          <w:szCs w:val="32"/>
        </w:rPr>
        <w:t>重点任务落实，</w:t>
      </w:r>
      <w:r>
        <w:rPr>
          <w:rFonts w:hint="default" w:ascii="Times New Roman" w:hAnsi="Times New Roman" w:eastAsia="仿宋_GB2312" w:cs="Times New Roman"/>
          <w:i w:val="0"/>
          <w:caps w:val="0"/>
          <w:color w:val="auto"/>
          <w:spacing w:val="0"/>
          <w:sz w:val="32"/>
          <w:szCs w:val="32"/>
          <w:lang w:eastAsia="zh-CN"/>
        </w:rPr>
        <w:t>依法推进执法监督检查、优化营商环境等各项工作。</w:t>
      </w:r>
    </w:p>
    <w:p w14:paraId="2971AD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（二）注重党内法规的学习运用</w:t>
      </w:r>
    </w:p>
    <w:p w14:paraId="4978AD7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t>注重组织党风廉政相关规章制度学习，</w:t>
      </w:r>
      <w:r>
        <w:rPr>
          <w:rFonts w:hint="default" w:ascii="Times New Roman" w:hAnsi="Times New Roman" w:eastAsia="仿宋_GB2312" w:cs="Times New Roman"/>
          <w:i w:val="0"/>
          <w:caps w:val="0"/>
          <w:color w:val="auto"/>
          <w:spacing w:val="0"/>
          <w:kern w:val="2"/>
          <w:sz w:val="32"/>
          <w:szCs w:val="32"/>
          <w:lang w:val="en-US" w:eastAsia="zh-CN" w:bidi="ar-SA"/>
        </w:rPr>
        <w:t>充分发挥“关键少数”作用，以上率下，</w:t>
      </w:r>
      <w:r>
        <w:rPr>
          <w:rFonts w:hint="default" w:ascii="Times New Roman" w:hAnsi="Times New Roman" w:eastAsia="仿宋_GB2312" w:cs="Times New Roman"/>
          <w:i w:val="0"/>
          <w:caps w:val="0"/>
          <w:color w:val="auto"/>
          <w:spacing w:val="0"/>
          <w:sz w:val="32"/>
          <w:szCs w:val="32"/>
          <w:shd w:val="clear" w:color="auto" w:fill="FFFFFF"/>
        </w:rPr>
        <w:t>组织学习</w:t>
      </w:r>
      <w:r>
        <w:rPr>
          <w:rFonts w:hint="eastAsia" w:ascii="Times New Roman" w:hAnsi="Times New Roman" w:eastAsia="仿宋_GB2312" w:cs="Times New Roman"/>
          <w:i w:val="0"/>
          <w:caps w:val="0"/>
          <w:color w:val="auto"/>
          <w:spacing w:val="0"/>
          <w:sz w:val="32"/>
          <w:szCs w:val="32"/>
          <w:shd w:val="clear" w:color="auto" w:fill="FFFFFF"/>
          <w:lang w:eastAsia="zh-CN"/>
        </w:rPr>
        <w:t>《中国共产党章程》</w:t>
      </w:r>
      <w:r>
        <w:rPr>
          <w:rFonts w:hint="default" w:ascii="Times New Roman" w:hAnsi="Times New Roman" w:eastAsia="仿宋_GB2312" w:cs="Times New Roman"/>
          <w:i w:val="0"/>
          <w:caps w:val="0"/>
          <w:color w:val="auto"/>
          <w:spacing w:val="0"/>
          <w:sz w:val="32"/>
          <w:szCs w:val="32"/>
          <w:shd w:val="clear" w:color="auto" w:fill="FFFFFF"/>
        </w:rPr>
        <w:t>《中国共产党纪律处分条例》《中国共产党廉洁自律准则》《中国共产党</w:t>
      </w:r>
      <w:r>
        <w:rPr>
          <w:rFonts w:hint="eastAsia" w:ascii="Times New Roman" w:hAnsi="Times New Roman" w:eastAsia="仿宋_GB2312" w:cs="Times New Roman"/>
          <w:i w:val="0"/>
          <w:caps w:val="0"/>
          <w:color w:val="auto"/>
          <w:spacing w:val="0"/>
          <w:sz w:val="32"/>
          <w:szCs w:val="32"/>
          <w:shd w:val="clear" w:color="auto" w:fill="FFFFFF"/>
          <w:lang w:val="en-US" w:eastAsia="zh-CN"/>
        </w:rPr>
        <w:t>党员</w:t>
      </w:r>
      <w:r>
        <w:rPr>
          <w:rFonts w:hint="default" w:ascii="Times New Roman" w:hAnsi="Times New Roman" w:eastAsia="仿宋_GB2312" w:cs="Times New Roman"/>
          <w:i w:val="0"/>
          <w:caps w:val="0"/>
          <w:color w:val="auto"/>
          <w:spacing w:val="0"/>
          <w:sz w:val="32"/>
          <w:szCs w:val="32"/>
          <w:shd w:val="clear" w:color="auto" w:fill="FFFFFF"/>
        </w:rPr>
        <w:t>领导干部廉洁从政若干准则》等</w:t>
      </w:r>
      <w:r>
        <w:rPr>
          <w:rFonts w:hint="default" w:ascii="Times New Roman" w:hAnsi="Times New Roman" w:eastAsia="仿宋_GB2312" w:cs="Times New Roman"/>
          <w:i w:val="0"/>
          <w:caps w:val="0"/>
          <w:color w:val="auto"/>
          <w:spacing w:val="0"/>
          <w:sz w:val="32"/>
          <w:szCs w:val="32"/>
          <w:shd w:val="clear" w:color="auto" w:fill="FFFFFF"/>
          <w:lang w:eastAsia="zh-CN"/>
        </w:rPr>
        <w:t>政策法规。</w:t>
      </w:r>
      <w:r>
        <w:rPr>
          <w:rFonts w:hint="default" w:ascii="Times New Roman" w:hAnsi="Times New Roman" w:eastAsia="仿宋_GB2312" w:cs="Times New Roman"/>
          <w:i w:val="0"/>
          <w:caps w:val="0"/>
          <w:color w:val="auto"/>
          <w:spacing w:val="0"/>
          <w:sz w:val="32"/>
          <w:szCs w:val="32"/>
          <w:shd w:val="clear" w:color="auto" w:fill="FFFFFF"/>
        </w:rPr>
        <w:t>严格落实民主集中制及“三重一大”集体决策制度，</w:t>
      </w:r>
      <w:r>
        <w:rPr>
          <w:rFonts w:hint="default" w:ascii="Times New Roman" w:hAnsi="Times New Roman" w:eastAsia="仿宋_GB2312" w:cs="Times New Roman"/>
          <w:i w:val="0"/>
          <w:caps w:val="0"/>
          <w:color w:val="auto"/>
          <w:spacing w:val="0"/>
          <w:sz w:val="32"/>
          <w:szCs w:val="32"/>
          <w:shd w:val="clear" w:color="auto" w:fill="FFFFFF"/>
          <w:lang w:eastAsia="zh-CN"/>
        </w:rPr>
        <w:t>规范决策程序</w:t>
      </w:r>
      <w:r>
        <w:rPr>
          <w:rFonts w:hint="default" w:ascii="Times New Roman" w:hAnsi="Times New Roman" w:eastAsia="仿宋_GB2312" w:cs="Times New Roman"/>
          <w:i w:val="0"/>
          <w:caps w:val="0"/>
          <w:color w:val="auto"/>
          <w:spacing w:val="0"/>
          <w:sz w:val="32"/>
          <w:szCs w:val="32"/>
          <w:shd w:val="clear" w:color="auto" w:fill="FFFFFF"/>
        </w:rPr>
        <w:t>。</w:t>
      </w:r>
    </w:p>
    <w:p w14:paraId="0C135E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（三）主动接受内外监督</w:t>
      </w:r>
    </w:p>
    <w:p w14:paraId="108699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color w:val="auto"/>
          <w:kern w:val="0"/>
          <w:sz w:val="32"/>
          <w:szCs w:val="32"/>
          <w:lang w:val="en-US" w:eastAsia="zh-CN"/>
        </w:rPr>
      </w:pPr>
      <w:r>
        <w:rPr>
          <w:rFonts w:hint="default" w:ascii="Times New Roman" w:hAnsi="Times New Roman" w:eastAsia="仿宋_GB2312" w:cs="Times New Roman"/>
          <w:i w:val="0"/>
          <w:caps w:val="0"/>
          <w:color w:val="auto"/>
          <w:spacing w:val="0"/>
          <w:sz w:val="32"/>
          <w:szCs w:val="32"/>
          <w:lang w:eastAsia="zh-CN"/>
        </w:rPr>
        <w:t>推进</w:t>
      </w:r>
      <w:r>
        <w:rPr>
          <w:rFonts w:hint="default" w:ascii="Times New Roman" w:hAnsi="Times New Roman" w:eastAsia="仿宋_GB2312" w:cs="Times New Roman"/>
          <w:i w:val="0"/>
          <w:caps w:val="0"/>
          <w:color w:val="auto"/>
          <w:spacing w:val="0"/>
          <w:sz w:val="32"/>
          <w:szCs w:val="32"/>
        </w:rPr>
        <w:t>依法</w:t>
      </w:r>
      <w:r>
        <w:rPr>
          <w:rFonts w:hint="default" w:ascii="Times New Roman" w:hAnsi="Times New Roman" w:eastAsia="仿宋_GB2312" w:cs="Times New Roman"/>
          <w:i w:val="0"/>
          <w:caps w:val="0"/>
          <w:color w:val="auto"/>
          <w:spacing w:val="0"/>
          <w:sz w:val="32"/>
          <w:szCs w:val="32"/>
          <w:lang w:eastAsia="zh-CN"/>
        </w:rPr>
        <w:t>行政</w:t>
      </w:r>
      <w:r>
        <w:rPr>
          <w:rFonts w:hint="default" w:ascii="Times New Roman" w:hAnsi="Times New Roman" w:eastAsia="仿宋_GB2312" w:cs="Times New Roman"/>
          <w:i w:val="0"/>
          <w:caps w:val="0"/>
          <w:color w:val="auto"/>
          <w:spacing w:val="0"/>
          <w:sz w:val="32"/>
          <w:szCs w:val="32"/>
        </w:rPr>
        <w:t>，严格规范公正文明执法。</w:t>
      </w:r>
      <w:r>
        <w:rPr>
          <w:rFonts w:hint="default" w:ascii="Times New Roman" w:hAnsi="Times New Roman" w:eastAsia="仿宋_GB2312" w:cs="Times New Roman"/>
          <w:b w:val="0"/>
          <w:i w:val="0"/>
          <w:caps w:val="0"/>
          <w:color w:val="auto"/>
          <w:spacing w:val="0"/>
          <w:sz w:val="32"/>
          <w:szCs w:val="32"/>
        </w:rPr>
        <w:t>主动接受人大依法监督和政协民主监督。严格落实代表建议、政协提案办理制度，规范办理程序，优质高效办理议案建议提案。</w:t>
      </w:r>
      <w:r>
        <w:rPr>
          <w:rFonts w:hint="default" w:ascii="Times New Roman" w:hAnsi="Times New Roman" w:eastAsia="仿宋_GB2312" w:cs="Times New Roman"/>
          <w:i w:val="0"/>
          <w:caps w:val="0"/>
          <w:color w:val="auto"/>
          <w:spacing w:val="0"/>
          <w:sz w:val="32"/>
          <w:szCs w:val="32"/>
          <w:lang w:eastAsia="zh-CN"/>
        </w:rPr>
        <w:t>完善重大行政决策事项公开机制，确保重大行政决策程序完备、合法合规</w:t>
      </w:r>
      <w:r>
        <w:rPr>
          <w:rFonts w:hint="default" w:ascii="Times New Roman" w:hAnsi="Times New Roman" w:eastAsia="楷体_GB2312" w:cs="Times New Roman"/>
          <w:color w:val="auto"/>
          <w:kern w:val="2"/>
          <w:sz w:val="32"/>
          <w:szCs w:val="32"/>
          <w:highlight w:val="none"/>
          <w:lang w:val="en-US" w:eastAsia="zh-CN"/>
        </w:rPr>
        <w:t>。</w:t>
      </w:r>
    </w:p>
    <w:p w14:paraId="17CADC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四、2024年推进法治政府建设的主要安排</w:t>
      </w:r>
    </w:p>
    <w:p w14:paraId="00405D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rPr>
      </w:pPr>
      <w:r>
        <w:rPr>
          <w:rFonts w:hint="default" w:ascii="Times New Roman" w:hAnsi="Times New Roman" w:eastAsia="楷体_GB2312" w:cs="Times New Roman"/>
          <w:sz w:val="32"/>
          <w:lang w:eastAsia="zh-CN"/>
        </w:rPr>
        <w:t>（一）</w:t>
      </w:r>
      <w:r>
        <w:rPr>
          <w:rFonts w:hint="default" w:ascii="Times New Roman" w:hAnsi="Times New Roman" w:eastAsia="楷体_GB2312" w:cs="Times New Roman"/>
          <w:sz w:val="32"/>
        </w:rPr>
        <w:t>持续深入学习贯彻习近平法治思想</w:t>
      </w:r>
    </w:p>
    <w:p w14:paraId="0B31A2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将学习</w:t>
      </w:r>
      <w:r>
        <w:rPr>
          <w:rFonts w:hint="default" w:ascii="Times New Roman" w:hAnsi="Times New Roman" w:eastAsia="仿宋_GB2312" w:cs="Times New Roman"/>
          <w:sz w:val="32"/>
          <w:lang w:eastAsia="zh-CN"/>
        </w:rPr>
        <w:t>宣传贯彻</w:t>
      </w:r>
      <w:r>
        <w:rPr>
          <w:rFonts w:hint="default" w:ascii="Times New Roman" w:hAnsi="Times New Roman" w:eastAsia="仿宋_GB2312" w:cs="Times New Roman"/>
          <w:sz w:val="32"/>
        </w:rPr>
        <w:t>习近平法治思想作为重中之重，科学安排学习计划，常态化做好法治理论思想的学习工作，重点抓好</w:t>
      </w:r>
      <w:r>
        <w:rPr>
          <w:rFonts w:hint="eastAsia" w:ascii="Times New Roman" w:hAnsi="Times New Roman" w:eastAsia="仿宋_GB2312" w:cs="Times New Roman"/>
          <w:sz w:val="32"/>
          <w:lang w:eastAsia="zh-CN"/>
        </w:rPr>
        <w:t>理论学习中心组</w:t>
      </w:r>
      <w:r>
        <w:rPr>
          <w:rFonts w:hint="default" w:ascii="Times New Roman" w:hAnsi="Times New Roman" w:eastAsia="仿宋_GB2312" w:cs="Times New Roman"/>
          <w:sz w:val="32"/>
        </w:rPr>
        <w:t>学习、局长办公会会前学法、干部培训等关键环节，将习近平法治思想落实到普法工作的全过程、各方面。</w:t>
      </w:r>
    </w:p>
    <w:p w14:paraId="79E2685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（二）持续推进依法行政</w:t>
      </w:r>
    </w:p>
    <w:p w14:paraId="396DB05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宋体" w:cs="Times New Roman"/>
          <w:color w:val="auto"/>
          <w:sz w:val="32"/>
          <w:szCs w:val="32"/>
        </w:rPr>
      </w:pPr>
      <w:r>
        <w:rPr>
          <w:rFonts w:hint="default" w:ascii="Times New Roman" w:hAnsi="Times New Roman" w:eastAsia="仿宋_GB2312" w:cs="Times New Roman"/>
          <w:color w:val="auto"/>
          <w:kern w:val="2"/>
          <w:sz w:val="32"/>
          <w:szCs w:val="32"/>
          <w:highlight w:val="none"/>
          <w:shd w:val="clear" w:color="auto" w:fill="auto"/>
          <w:lang w:val="en-US" w:eastAsia="zh-CN" w:bidi="ar"/>
        </w:rPr>
        <w:t>落实《重大行政决策程序暂行条例》</w:t>
      </w:r>
      <w:r>
        <w:rPr>
          <w:rFonts w:hint="default" w:ascii="Times New Roman" w:hAnsi="Times New Roman" w:eastAsia="仿宋_GB2312" w:cs="Times New Roman"/>
          <w:b w:val="0"/>
          <w:bCs w:val="0"/>
          <w:i w:val="0"/>
          <w:iCs w:val="0"/>
          <w:color w:val="auto"/>
          <w:kern w:val="0"/>
          <w:sz w:val="32"/>
          <w:szCs w:val="32"/>
          <w:highlight w:val="none"/>
          <w:shd w:val="clear" w:color="auto" w:fill="FFFFFF"/>
          <w:lang w:val="en-US" w:eastAsia="zh-CN" w:bidi="ar"/>
        </w:rPr>
        <w:t>《东城区重大行政决策程序实施细则》</w:t>
      </w:r>
      <w:r>
        <w:rPr>
          <w:rFonts w:hint="default" w:ascii="Times New Roman" w:hAnsi="Times New Roman" w:eastAsia="仿宋_GB2312" w:cs="Times New Roman"/>
          <w:color w:val="auto"/>
          <w:kern w:val="2"/>
          <w:sz w:val="32"/>
          <w:szCs w:val="32"/>
          <w:highlight w:val="none"/>
          <w:shd w:val="clear" w:color="auto" w:fill="auto"/>
          <w:lang w:val="en-US" w:eastAsia="zh-CN" w:bidi="ar"/>
        </w:rPr>
        <w:t>各项程序要求，</w:t>
      </w:r>
      <w:r>
        <w:rPr>
          <w:rFonts w:hint="default" w:ascii="Times New Roman" w:hAnsi="Times New Roman" w:eastAsia="仿宋_GB2312" w:cs="Times New Roman"/>
          <w:i w:val="0"/>
          <w:caps w:val="0"/>
          <w:color w:val="auto"/>
          <w:spacing w:val="0"/>
          <w:sz w:val="32"/>
          <w:szCs w:val="32"/>
          <w:lang w:val="en-US" w:eastAsia="zh-CN"/>
        </w:rPr>
        <w:t>将法治工作与业务工作紧密结合，严格收文和会前审核把关，持续做好规范性文件合法性审核和备案监督。完善重大行政决策事项公开机制，坚决确保重大行政决策合法合规。抓好执法工作，强化执法人员理论学习和业务培训，规范执法行为，推进严格规范公正文明执法。</w:t>
      </w:r>
    </w:p>
    <w:p w14:paraId="599AE65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（三）做好普法工作</w:t>
      </w:r>
    </w:p>
    <w:p w14:paraId="23386B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cs="Times New Roman"/>
          <w:color w:val="auto"/>
        </w:rPr>
      </w:pPr>
      <w:r>
        <w:rPr>
          <w:rFonts w:hint="default" w:ascii="Times New Roman" w:hAnsi="Times New Roman" w:eastAsia="仿宋_GB2312" w:cs="Times New Roman"/>
          <w:i w:val="0"/>
          <w:caps w:val="0"/>
          <w:color w:val="auto"/>
          <w:spacing w:val="0"/>
          <w:sz w:val="32"/>
          <w:szCs w:val="32"/>
          <w:lang w:val="en-US" w:eastAsia="zh-CN"/>
        </w:rPr>
        <w:t>落实“谁执法谁普法”普法责任制，持续做好以案释法，将普法工作融入到对企服务和日常执法的全过程。丰富普法活动形式，举办不同类型培训和宣传活动，加大政策法规宣传力度。建立长效普法机制，重点围绕科学技术和信息化领域，定期发布普法信息，宣传法律法规动态。</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B576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95952">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395952">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ZTNmZDI1NmQ1ZTM4NTE5YjMxMjg1MTU3YmQxOWQifQ=="/>
  </w:docVars>
  <w:rsids>
    <w:rsidRoot w:val="00000000"/>
    <w:rsid w:val="00B24F4A"/>
    <w:rsid w:val="0AA519C7"/>
    <w:rsid w:val="146932F0"/>
    <w:rsid w:val="1A867F64"/>
    <w:rsid w:val="1AB52840"/>
    <w:rsid w:val="2DD23F91"/>
    <w:rsid w:val="32827001"/>
    <w:rsid w:val="404A608B"/>
    <w:rsid w:val="637E17DE"/>
    <w:rsid w:val="6B44593C"/>
    <w:rsid w:val="70582F70"/>
    <w:rsid w:val="717E78CE"/>
    <w:rsid w:val="74F06D6A"/>
    <w:rsid w:val="79CB3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2696</Words>
  <Characters>2742</Characters>
  <Lines>0</Lines>
  <Paragraphs>0</Paragraphs>
  <TotalTime>0</TotalTime>
  <ScaleCrop>false</ScaleCrop>
  <LinksUpToDate>false</LinksUpToDate>
  <CharactersWithSpaces>2744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名字不重要</cp:lastModifiedBy>
  <dcterms:modified xsi:type="dcterms:W3CDTF">2024-12-17T02:56:44Z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1492B433790641DC8EF3A90CC22061A2_12</vt:lpwstr>
  </property>
</Properties>
</file>