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val="0"/>
        <w:autoSpaceDN/>
        <w:bidi w:val="0"/>
        <w:spacing w:line="560" w:lineRule="exact"/>
        <w:ind w:right="0" w:rightChars="0"/>
        <w:jc w:val="center"/>
        <w:rPr>
          <w:rFonts w:hint="default" w:ascii="Times New Roman" w:hAnsi="Times New Roman" w:eastAsia="方正小标宋简体" w:cs="Times New Roman"/>
          <w:spacing w:val="0"/>
          <w:sz w:val="44"/>
          <w:szCs w:val="44"/>
          <w:highlight w:val="none"/>
          <w:lang w:val="en-US" w:eastAsia="zh-CN"/>
        </w:rPr>
      </w:pPr>
      <w:bookmarkStart w:id="6" w:name="_GoBack"/>
      <w:bookmarkEnd w:id="6"/>
      <w:r>
        <w:rPr>
          <w:rFonts w:hint="default" w:ascii="Times New Roman" w:hAnsi="Times New Roman" w:eastAsia="方正小标宋简体" w:cs="Times New Roman"/>
          <w:spacing w:val="0"/>
          <w:sz w:val="44"/>
          <w:szCs w:val="44"/>
          <w:highlight w:val="none"/>
          <w:lang w:val="en-US" w:eastAsia="zh-CN"/>
        </w:rPr>
        <w:t>北京市东城区人民政府</w:t>
      </w:r>
      <w:r>
        <w:rPr>
          <w:rFonts w:hint="default" w:ascii="Times New Roman" w:hAnsi="Times New Roman" w:eastAsia="方正小标宋简体" w:cs="Times New Roman"/>
          <w:spacing w:val="0"/>
          <w:sz w:val="44"/>
          <w:szCs w:val="44"/>
          <w:highlight w:val="none"/>
        </w:rPr>
        <w:t>交道口街道</w:t>
      </w:r>
      <w:r>
        <w:rPr>
          <w:rFonts w:hint="default" w:ascii="Times New Roman" w:hAnsi="Times New Roman" w:eastAsia="方正小标宋简体" w:cs="Times New Roman"/>
          <w:spacing w:val="0"/>
          <w:sz w:val="44"/>
          <w:szCs w:val="44"/>
          <w:highlight w:val="none"/>
          <w:lang w:val="en-US" w:eastAsia="zh-CN"/>
        </w:rPr>
        <w:t>办事处</w:t>
      </w:r>
    </w:p>
    <w:p>
      <w:pPr>
        <w:keepNext w:val="0"/>
        <w:keepLines w:val="0"/>
        <w:pageBreakBefore w:val="0"/>
        <w:widowControl w:val="0"/>
        <w:kinsoku/>
        <w:wordWrap/>
        <w:overflowPunct/>
        <w:autoSpaceDE w:val="0"/>
        <w:autoSpaceDN/>
        <w:bidi w:val="0"/>
        <w:spacing w:line="560" w:lineRule="exact"/>
        <w:ind w:right="0" w:rightChars="0"/>
        <w:jc w:val="center"/>
        <w:rPr>
          <w:rFonts w:hint="default" w:ascii="Times New Roman" w:hAnsi="Times New Roman" w:eastAsia="方正小标宋简体" w:cs="Times New Roman"/>
          <w:spacing w:val="0"/>
          <w:sz w:val="44"/>
          <w:szCs w:val="44"/>
          <w:highlight w:val="none"/>
        </w:rPr>
      </w:pPr>
      <w:r>
        <w:rPr>
          <w:rFonts w:hint="default" w:ascii="Times New Roman" w:hAnsi="Times New Roman" w:eastAsia="方正小标宋简体" w:cs="Times New Roman"/>
          <w:spacing w:val="0"/>
          <w:sz w:val="44"/>
          <w:szCs w:val="44"/>
          <w:highlight w:val="none"/>
        </w:rPr>
        <w:t>2023年法治政府建设年度情况报告</w:t>
      </w:r>
    </w:p>
    <w:p>
      <w:pPr>
        <w:keepNext w:val="0"/>
        <w:keepLines w:val="0"/>
        <w:pageBreakBefore w:val="0"/>
        <w:widowControl w:val="0"/>
        <w:kinsoku/>
        <w:wordWrap/>
        <w:overflowPunct/>
        <w:autoSpaceDE w:val="0"/>
        <w:autoSpaceDN/>
        <w:bidi w:val="0"/>
        <w:spacing w:line="560" w:lineRule="exact"/>
        <w:ind w:left="0" w:leftChars="0" w:right="0" w:rightChars="0" w:firstLine="880" w:firstLineChars="200"/>
        <w:jc w:val="left"/>
        <w:rPr>
          <w:rFonts w:hint="default" w:ascii="Times New Roman" w:hAnsi="Times New Roman" w:eastAsia="方正小标宋简体" w:cs="Times New Roman"/>
          <w:spacing w:val="0"/>
          <w:sz w:val="44"/>
          <w:szCs w:val="44"/>
          <w:highlight w:val="none"/>
        </w:rPr>
      </w:pPr>
      <w:r>
        <w:rPr>
          <w:rFonts w:hint="default" w:ascii="Times New Roman" w:hAnsi="Times New Roman" w:eastAsia="方正小标宋简体" w:cs="Times New Roman"/>
          <w:spacing w:val="0"/>
          <w:sz w:val="44"/>
          <w:szCs w:val="44"/>
          <w:highlight w:val="none"/>
        </w:rPr>
        <w:t xml:space="preserve"> </w:t>
      </w:r>
    </w:p>
    <w:p>
      <w:pPr>
        <w:keepNext w:val="0"/>
        <w:keepLines w:val="0"/>
        <w:pageBreakBefore w:val="0"/>
        <w:widowControl w:val="0"/>
        <w:kinsoku/>
        <w:wordWrap/>
        <w:overflowPunct/>
        <w:autoSpaceDE w:val="0"/>
        <w:autoSpaceDN/>
        <w:bidi w:val="0"/>
        <w:spacing w:line="560" w:lineRule="exact"/>
        <w:ind w:left="0" w:leftChars="0" w:right="0" w:rightChars="0" w:firstLine="640" w:firstLineChars="200"/>
        <w:jc w:val="left"/>
        <w:rPr>
          <w:rFonts w:hint="default" w:ascii="Times New Roman" w:hAnsi="Times New Roman" w:eastAsia="仿宋_GB2312" w:cs="Times New Roman"/>
          <w:spacing w:val="0"/>
          <w:sz w:val="32"/>
          <w:szCs w:val="32"/>
          <w:highlight w:val="none"/>
          <w:shd w:val="clear" w:color="auto" w:fill="FFFFFF"/>
        </w:rPr>
      </w:pPr>
      <w:r>
        <w:rPr>
          <w:rFonts w:hint="default" w:ascii="Times New Roman" w:hAnsi="Times New Roman" w:eastAsia="仿宋_GB2312" w:cs="Times New Roman"/>
          <w:spacing w:val="0"/>
          <w:sz w:val="32"/>
          <w:szCs w:val="32"/>
          <w:highlight w:val="none"/>
        </w:rPr>
        <w:t>2023</w:t>
      </w:r>
      <w:r>
        <w:rPr>
          <w:rFonts w:hint="default" w:ascii="Times New Roman" w:hAnsi="Times New Roman" w:eastAsia="仿宋_GB2312" w:cs="Times New Roman"/>
          <w:spacing w:val="0"/>
          <w:sz w:val="32"/>
          <w:szCs w:val="32"/>
          <w:highlight w:val="none"/>
          <w:shd w:val="clear" w:color="auto" w:fill="FFFFFF"/>
        </w:rPr>
        <w:t>年，在区委</w:t>
      </w:r>
      <w:r>
        <w:rPr>
          <w:rFonts w:hint="default" w:ascii="Times New Roman" w:hAnsi="Times New Roman" w:eastAsia="仿宋_GB2312" w:cs="Times New Roman"/>
          <w:spacing w:val="0"/>
          <w:sz w:val="32"/>
          <w:szCs w:val="32"/>
          <w:highlight w:val="none"/>
          <w:shd w:val="clear" w:color="auto" w:fill="FFFFFF"/>
          <w:lang w:eastAsia="zh-CN"/>
        </w:rPr>
        <w:t>、</w:t>
      </w:r>
      <w:r>
        <w:rPr>
          <w:rFonts w:hint="default" w:ascii="Times New Roman" w:hAnsi="Times New Roman" w:eastAsia="仿宋_GB2312" w:cs="Times New Roman"/>
          <w:spacing w:val="0"/>
          <w:sz w:val="32"/>
          <w:szCs w:val="32"/>
          <w:highlight w:val="none"/>
          <w:shd w:val="clear" w:color="auto" w:fill="FFFFFF"/>
        </w:rPr>
        <w:t>区政府的坚强领导下，交道口</w:t>
      </w:r>
      <w:r>
        <w:rPr>
          <w:rFonts w:hint="default" w:ascii="Times New Roman" w:hAnsi="Times New Roman" w:eastAsia="仿宋_GB2312" w:cs="Times New Roman"/>
          <w:spacing w:val="0"/>
          <w:sz w:val="32"/>
          <w:szCs w:val="32"/>
          <w:highlight w:val="none"/>
          <w:shd w:val="clear" w:color="auto" w:fill="FFFFFF"/>
          <w:lang w:eastAsia="zh-CN"/>
        </w:rPr>
        <w:t>街道</w:t>
      </w:r>
      <w:r>
        <w:rPr>
          <w:rFonts w:hint="default" w:ascii="Times New Roman" w:hAnsi="Times New Roman" w:eastAsia="仿宋_GB2312" w:cs="Times New Roman"/>
          <w:spacing w:val="0"/>
          <w:sz w:val="32"/>
          <w:szCs w:val="32"/>
          <w:highlight w:val="none"/>
          <w:shd w:val="clear" w:color="auto" w:fill="FFFFFF"/>
        </w:rPr>
        <w:t>坚持以习近平</w:t>
      </w:r>
      <w:r>
        <w:rPr>
          <w:rFonts w:hint="default" w:ascii="Times New Roman" w:hAnsi="Times New Roman" w:eastAsia="仿宋_GB2312" w:cs="Times New Roman"/>
          <w:spacing w:val="0"/>
          <w:sz w:val="32"/>
          <w:szCs w:val="32"/>
          <w:highlight w:val="none"/>
          <w:shd w:val="clear" w:color="auto" w:fill="FFFFFF"/>
          <w:lang w:eastAsia="zh-CN"/>
        </w:rPr>
        <w:t>法治</w:t>
      </w:r>
      <w:r>
        <w:rPr>
          <w:rFonts w:hint="default" w:ascii="Times New Roman" w:hAnsi="Times New Roman" w:eastAsia="仿宋_GB2312" w:cs="Times New Roman"/>
          <w:spacing w:val="0"/>
          <w:sz w:val="32"/>
          <w:szCs w:val="32"/>
          <w:highlight w:val="none"/>
          <w:shd w:val="clear" w:color="auto" w:fill="FFFFFF"/>
        </w:rPr>
        <w:t>思想为指导，认真贯彻落实《法治政府建设实施纲要（2021-2025年）》</w:t>
      </w:r>
      <w:r>
        <w:rPr>
          <w:rFonts w:hint="default" w:ascii="Times New Roman" w:hAnsi="Times New Roman" w:eastAsia="仿宋_GB2312" w:cs="Times New Roman"/>
          <w:spacing w:val="0"/>
          <w:sz w:val="32"/>
          <w:szCs w:val="32"/>
          <w:highlight w:val="none"/>
          <w:shd w:val="clear" w:color="auto" w:fill="FFFFFF"/>
          <w:lang w:eastAsia="zh-CN"/>
        </w:rPr>
        <w:t>及</w:t>
      </w:r>
      <w:r>
        <w:rPr>
          <w:rFonts w:hint="default" w:ascii="Times New Roman" w:hAnsi="Times New Roman" w:eastAsia="仿宋_GB2312" w:cs="Times New Roman"/>
          <w:spacing w:val="0"/>
          <w:sz w:val="32"/>
          <w:szCs w:val="32"/>
          <w:highlight w:val="none"/>
          <w:shd w:val="clear" w:color="auto" w:fill="FFFFFF"/>
        </w:rPr>
        <w:t>市、区法治政府建设有关部署要求，围绕“五个东城”的建设，坚持依法治街、依法执政、依法行政，全力推进基层政府法治建设，稳步推进“八五”普法规划的实施，不断提高法治政府建设水平。现将有关工作开展情况汇报如下：</w:t>
      </w:r>
    </w:p>
    <w:p>
      <w:pPr>
        <w:keepNext w:val="0"/>
        <w:keepLines w:val="0"/>
        <w:pageBreakBefore w:val="0"/>
        <w:widowControl w:val="0"/>
        <w:kinsoku/>
        <w:wordWrap/>
        <w:overflowPunct/>
        <w:autoSpaceDE w:val="0"/>
        <w:autoSpaceDN/>
        <w:bidi w:val="0"/>
        <w:spacing w:line="560" w:lineRule="exact"/>
        <w:ind w:right="0" w:rightChars="0" w:firstLine="640" w:firstLineChars="200"/>
        <w:rPr>
          <w:rFonts w:hint="default" w:ascii="Times New Roman" w:hAnsi="Times New Roman" w:eastAsia="黑体" w:cs="Times New Roman"/>
          <w:spacing w:val="0"/>
          <w:sz w:val="32"/>
          <w:szCs w:val="32"/>
          <w:highlight w:val="none"/>
        </w:rPr>
      </w:pPr>
      <w:r>
        <w:rPr>
          <w:rFonts w:hint="default" w:ascii="Times New Roman" w:hAnsi="Times New Roman" w:eastAsia="黑体" w:cs="Times New Roman"/>
          <w:spacing w:val="0"/>
          <w:sz w:val="32"/>
          <w:szCs w:val="32"/>
          <w:highlight w:val="none"/>
        </w:rPr>
        <w:t>一、202</w:t>
      </w:r>
      <w:r>
        <w:rPr>
          <w:rFonts w:hint="default" w:ascii="Times New Roman" w:hAnsi="Times New Roman" w:eastAsia="黑体" w:cs="Times New Roman"/>
          <w:spacing w:val="0"/>
          <w:sz w:val="32"/>
          <w:szCs w:val="32"/>
          <w:highlight w:val="none"/>
          <w:lang w:val="en-US" w:eastAsia="zh-CN"/>
        </w:rPr>
        <w:t>3</w:t>
      </w:r>
      <w:r>
        <w:rPr>
          <w:rFonts w:hint="default" w:ascii="Times New Roman" w:hAnsi="Times New Roman" w:eastAsia="黑体" w:cs="Times New Roman"/>
          <w:spacing w:val="0"/>
          <w:sz w:val="32"/>
          <w:szCs w:val="32"/>
          <w:highlight w:val="none"/>
        </w:rPr>
        <w:t>年度推进法治政府建设的主要举措和成效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pacing w:val="0"/>
          <w:sz w:val="32"/>
          <w:szCs w:val="32"/>
          <w:highlight w:val="none"/>
          <w:lang w:val="en-US" w:eastAsia="zh-CN"/>
        </w:rPr>
      </w:pPr>
      <w:r>
        <w:rPr>
          <w:rFonts w:hint="default" w:ascii="Times New Roman" w:hAnsi="Times New Roman" w:eastAsia="方正楷体_GB2312" w:cs="Times New Roman"/>
          <w:spacing w:val="0"/>
          <w:sz w:val="32"/>
          <w:szCs w:val="32"/>
          <w:highlight w:val="none"/>
          <w:shd w:val="clear" w:color="auto" w:fill="FFFFFF"/>
        </w:rPr>
        <w:t>（一）</w:t>
      </w:r>
      <w:r>
        <w:rPr>
          <w:rFonts w:hint="default" w:ascii="Times New Roman" w:hAnsi="Times New Roman" w:eastAsia="楷体_GB2312" w:cs="Times New Roman"/>
          <w:color w:val="000000"/>
          <w:spacing w:val="0"/>
          <w:sz w:val="32"/>
          <w:szCs w:val="32"/>
          <w:highlight w:val="none"/>
          <w:lang w:val="en-US" w:eastAsia="zh-CN"/>
        </w:rPr>
        <w:t>深入学习贯彻党的二十大精神和习近平法治思想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spacing w:val="0"/>
          <w:highlight w:val="none"/>
        </w:rPr>
      </w:pPr>
      <w:r>
        <w:rPr>
          <w:rFonts w:hint="default" w:ascii="Times New Roman" w:hAnsi="Times New Roman" w:eastAsia="仿宋_GB2312" w:cs="Times New Roman"/>
          <w:color w:val="000000"/>
          <w:spacing w:val="0"/>
          <w:kern w:val="0"/>
          <w:sz w:val="32"/>
          <w:szCs w:val="32"/>
          <w:highlight w:val="none"/>
          <w:lang w:val="en-US" w:eastAsia="zh-CN"/>
        </w:rPr>
        <w:t>深入学习党的二十大精神和习近平法治思想。</w:t>
      </w:r>
      <w:r>
        <w:rPr>
          <w:rFonts w:hint="default" w:ascii="Times New Roman" w:hAnsi="Times New Roman" w:eastAsia="仿宋_GB2312" w:cs="Times New Roman"/>
          <w:color w:val="000000"/>
          <w:spacing w:val="0"/>
          <w:kern w:val="0"/>
          <w:sz w:val="32"/>
          <w:szCs w:val="32"/>
          <w:highlight w:val="none"/>
        </w:rPr>
        <w:t>充分运用</w:t>
      </w:r>
      <w:r>
        <w:rPr>
          <w:rFonts w:hint="default" w:ascii="Times New Roman" w:hAnsi="Times New Roman" w:eastAsia="仿宋_GB2312" w:cs="Times New Roman"/>
          <w:spacing w:val="0"/>
          <w:sz w:val="32"/>
          <w:szCs w:val="32"/>
          <w:highlight w:val="none"/>
          <w:shd w:val="clear" w:color="auto" w:fill="FFFFFF"/>
        </w:rPr>
        <w:t>党群服务中心“红色云直播”课堂、“党史e起学”小程序、“魅力南锣”微信公众号学习专栏、微信交流群等新媒体在线学习渠道，组织辖区各基层党组织党员开展</w:t>
      </w:r>
      <w:r>
        <w:rPr>
          <w:rFonts w:hint="default" w:ascii="Times New Roman" w:hAnsi="Times New Roman" w:eastAsia="仿宋_GB2312" w:cs="Times New Roman"/>
          <w:spacing w:val="0"/>
          <w:sz w:val="32"/>
          <w:szCs w:val="32"/>
          <w:highlight w:val="none"/>
          <w:shd w:val="clear" w:color="auto" w:fill="FFFFFF"/>
          <w:lang w:eastAsia="zh-CN"/>
        </w:rPr>
        <w:t>线上、线下学习</w:t>
      </w:r>
      <w:r>
        <w:rPr>
          <w:rFonts w:hint="default" w:ascii="Times New Roman" w:hAnsi="Times New Roman" w:eastAsia="仿宋_GB2312" w:cs="Times New Roman"/>
          <w:spacing w:val="0"/>
          <w:sz w:val="32"/>
          <w:szCs w:val="32"/>
          <w:highlight w:val="none"/>
          <w:shd w:val="clear" w:color="auto" w:fill="FFFFFF"/>
        </w:rPr>
        <w:t>活动，认真学习</w:t>
      </w:r>
      <w:r>
        <w:rPr>
          <w:rFonts w:hint="default" w:ascii="Times New Roman" w:hAnsi="Times New Roman" w:eastAsia="仿宋_GB2312" w:cs="Times New Roman"/>
          <w:spacing w:val="0"/>
          <w:sz w:val="32"/>
          <w:szCs w:val="32"/>
          <w:highlight w:val="none"/>
          <w:shd w:val="clear" w:color="auto" w:fill="FFFFFF"/>
          <w:lang w:eastAsia="zh-CN"/>
        </w:rPr>
        <w:t>党的二十大精神和习近平法治思想</w:t>
      </w:r>
      <w:r>
        <w:rPr>
          <w:rFonts w:hint="default" w:ascii="Times New Roman" w:hAnsi="Times New Roman" w:eastAsia="仿宋_GB2312" w:cs="Times New Roman"/>
          <w:spacing w:val="0"/>
          <w:sz w:val="32"/>
          <w:szCs w:val="32"/>
          <w:highlight w:val="none"/>
          <w:shd w:val="clear" w:color="auto" w:fill="FFFFFF"/>
        </w:rPr>
        <w:t>。</w:t>
      </w:r>
      <w:r>
        <w:rPr>
          <w:rFonts w:hint="default" w:ascii="Times New Roman" w:hAnsi="Times New Roman" w:eastAsia="仿宋_GB2312" w:cs="Times New Roman"/>
          <w:spacing w:val="0"/>
          <w:sz w:val="32"/>
          <w:szCs w:val="32"/>
          <w:highlight w:val="none"/>
          <w:shd w:val="clear" w:color="auto" w:fill="FFFFFF"/>
          <w:lang w:eastAsia="zh-CN"/>
        </w:rPr>
        <w:t>组织</w:t>
      </w:r>
      <w:r>
        <w:rPr>
          <w:rFonts w:hint="default" w:ascii="Times New Roman" w:hAnsi="Times New Roman" w:eastAsia="仿宋_GB2312" w:cs="Times New Roman"/>
          <w:spacing w:val="0"/>
          <w:sz w:val="32"/>
          <w:szCs w:val="32"/>
          <w:highlight w:val="none"/>
          <w:shd w:val="clear" w:color="auto" w:fill="FFFFFF"/>
        </w:rPr>
        <w:t>开展“奋进新征程 建功新时代”主题系列活动，共同唱响劳动之歌，共同学习贯彻党的二十大精神。</w:t>
      </w:r>
      <w:r>
        <w:rPr>
          <w:rFonts w:hint="default" w:ascii="Times New Roman" w:hAnsi="Times New Roman" w:eastAsia="仿宋_GB2312" w:cs="Times New Roman"/>
          <w:spacing w:val="0"/>
          <w:sz w:val="32"/>
          <w:szCs w:val="32"/>
          <w:highlight w:val="none"/>
          <w:shd w:val="clear" w:color="auto" w:fill="FFFFFF"/>
          <w:lang w:eastAsia="zh-CN"/>
        </w:rPr>
        <w:t>并邀请</w:t>
      </w:r>
      <w:r>
        <w:rPr>
          <w:rFonts w:hint="default" w:ascii="Times New Roman" w:hAnsi="Times New Roman" w:eastAsia="仿宋_GB2312" w:cs="Times New Roman"/>
          <w:spacing w:val="0"/>
          <w:sz w:val="32"/>
          <w:szCs w:val="32"/>
          <w:highlight w:val="none"/>
          <w:shd w:val="clear" w:color="auto" w:fill="FFFFFF"/>
        </w:rPr>
        <w:t>北京市劳动模范</w:t>
      </w:r>
      <w:r>
        <w:rPr>
          <w:rFonts w:hint="default" w:ascii="Times New Roman" w:hAnsi="Times New Roman" w:eastAsia="仿宋_GB2312" w:cs="Times New Roman"/>
          <w:spacing w:val="0"/>
          <w:sz w:val="32"/>
          <w:szCs w:val="32"/>
          <w:highlight w:val="none"/>
          <w:shd w:val="clear" w:color="auto" w:fill="FFFFFF"/>
          <w:lang w:eastAsia="zh-CN"/>
        </w:rPr>
        <w:t>、</w:t>
      </w:r>
      <w:r>
        <w:rPr>
          <w:rFonts w:hint="default" w:ascii="Times New Roman" w:hAnsi="Times New Roman" w:eastAsia="仿宋_GB2312" w:cs="Times New Roman"/>
          <w:spacing w:val="0"/>
          <w:sz w:val="32"/>
          <w:szCs w:val="32"/>
          <w:highlight w:val="none"/>
          <w:shd w:val="clear" w:color="auto" w:fill="FFFFFF"/>
        </w:rPr>
        <w:t>全国“巾帼建功”标兵、全国优秀志愿者，结合自身成长经历和开展志愿服务活动、积极参与社区治理情况，进行学习贯彻党的二十大精神主题宣讲。</w:t>
      </w:r>
    </w:p>
    <w:p>
      <w:pPr>
        <w:keepNext w:val="0"/>
        <w:keepLines w:val="0"/>
        <w:pageBreakBefore w:val="0"/>
        <w:widowControl w:val="0"/>
        <w:kinsoku/>
        <w:wordWrap/>
        <w:overflowPunct/>
        <w:autoSpaceDN/>
        <w:bidi w:val="0"/>
        <w:spacing w:line="560" w:lineRule="exact"/>
        <w:ind w:left="0" w:leftChars="0" w:right="0" w:rightChars="0" w:firstLine="640" w:firstLineChars="200"/>
        <w:rPr>
          <w:rFonts w:hint="default" w:ascii="Times New Roman" w:hAnsi="Times New Roman" w:cs="Times New Roman"/>
          <w:spacing w:val="0"/>
          <w:highlight w:val="none"/>
        </w:rPr>
      </w:pP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持续抓实领导干部学法培训。</w:t>
      </w:r>
      <w:r>
        <w:rPr>
          <w:rFonts w:hint="default" w:ascii="Times New Roman" w:hAnsi="Times New Roman" w:eastAsia="仿宋_GB2312" w:cs="Times New Roman"/>
          <w:spacing w:val="0"/>
          <w:sz w:val="32"/>
          <w:szCs w:val="32"/>
          <w:highlight w:val="none"/>
          <w:shd w:val="clear" w:color="auto" w:fill="FFFFFF"/>
        </w:rPr>
        <w:t>全面学习贯彻有关重要讲话及文件精神</w:t>
      </w:r>
      <w:r>
        <w:rPr>
          <w:rFonts w:hint="default" w:ascii="Times New Roman" w:hAnsi="Times New Roman" w:eastAsia="仿宋_GB2312" w:cs="Times New Roman"/>
          <w:spacing w:val="0"/>
          <w:sz w:val="32"/>
          <w:szCs w:val="32"/>
          <w:highlight w:val="none"/>
          <w:shd w:val="clear" w:color="auto" w:fill="FFFFFF"/>
          <w:lang w:eastAsia="zh-CN"/>
        </w:rPr>
        <w:t>，</w:t>
      </w:r>
      <w:r>
        <w:rPr>
          <w:rFonts w:hint="default" w:ascii="Times New Roman" w:hAnsi="Times New Roman" w:eastAsia="仿宋_GB2312" w:cs="Times New Roman"/>
          <w:spacing w:val="0"/>
          <w:sz w:val="32"/>
          <w:szCs w:val="32"/>
          <w:highlight w:val="none"/>
          <w:shd w:val="clear" w:color="auto" w:fill="FFFFFF"/>
        </w:rPr>
        <w:t>建立主任办公会会前学法和</w:t>
      </w:r>
      <w:r>
        <w:rPr>
          <w:rFonts w:hint="eastAsia" w:eastAsia="仿宋_GB2312" w:cs="Times New Roman"/>
          <w:spacing w:val="0"/>
          <w:sz w:val="32"/>
          <w:szCs w:val="32"/>
          <w:highlight w:val="none"/>
          <w:shd w:val="clear" w:color="auto" w:fill="FFFFFF"/>
          <w:lang w:eastAsia="zh-CN"/>
        </w:rPr>
        <w:t>理论学习中心组</w:t>
      </w:r>
      <w:r>
        <w:rPr>
          <w:rFonts w:hint="default" w:ascii="Times New Roman" w:hAnsi="Times New Roman" w:eastAsia="仿宋_GB2312" w:cs="Times New Roman"/>
          <w:spacing w:val="0"/>
          <w:sz w:val="32"/>
          <w:szCs w:val="32"/>
          <w:highlight w:val="none"/>
          <w:shd w:val="clear" w:color="auto" w:fill="FFFFFF"/>
        </w:rPr>
        <w:t>定期学法制度，深入学习习近平法治思想，全面落实中央、北京市、东城区关于法治政府建设的决策部署，研究推动解决本地区法治政府建设有关重大问题。全年主任办公会共学法5次，</w:t>
      </w:r>
      <w:r>
        <w:rPr>
          <w:rFonts w:hint="eastAsia" w:eastAsia="仿宋_GB2312" w:cs="Times New Roman"/>
          <w:spacing w:val="0"/>
          <w:sz w:val="32"/>
          <w:szCs w:val="32"/>
          <w:highlight w:val="none"/>
          <w:shd w:val="clear" w:color="auto" w:fill="FFFFFF"/>
          <w:lang w:eastAsia="zh-CN"/>
        </w:rPr>
        <w:t>理论学习中心组</w:t>
      </w:r>
      <w:r>
        <w:rPr>
          <w:rFonts w:hint="default" w:ascii="Times New Roman" w:hAnsi="Times New Roman" w:eastAsia="仿宋_GB2312" w:cs="Times New Roman"/>
          <w:spacing w:val="0"/>
          <w:sz w:val="32"/>
          <w:szCs w:val="32"/>
          <w:highlight w:val="none"/>
          <w:shd w:val="clear" w:color="auto" w:fill="FFFFFF"/>
        </w:rPr>
        <w:t>学法2次，领导干部法治专题讲座2次，</w:t>
      </w:r>
      <w:r>
        <w:rPr>
          <w:rFonts w:hint="default" w:ascii="Times New Roman" w:hAnsi="Times New Roman" w:eastAsia="仿宋_GB2312" w:cs="Times New Roman"/>
          <w:spacing w:val="0"/>
          <w:sz w:val="32"/>
          <w:szCs w:val="32"/>
          <w:highlight w:val="none"/>
          <w:shd w:val="clear" w:color="auto" w:fill="FFFFFF"/>
          <w:lang w:eastAsia="zh-CN"/>
        </w:rPr>
        <w:t>各办公室副主任</w:t>
      </w:r>
      <w:r>
        <w:rPr>
          <w:rFonts w:hint="default" w:ascii="Times New Roman" w:hAnsi="Times New Roman" w:eastAsia="仿宋_GB2312" w:cs="Times New Roman"/>
          <w:spacing w:val="0"/>
          <w:sz w:val="32"/>
          <w:szCs w:val="32"/>
          <w:highlight w:val="none"/>
          <w:shd w:val="clear" w:color="auto" w:fill="FFFFFF"/>
        </w:rPr>
        <w:t>讲法</w:t>
      </w:r>
      <w:r>
        <w:rPr>
          <w:rFonts w:hint="default" w:ascii="Times New Roman" w:hAnsi="Times New Roman" w:eastAsia="仿宋_GB2312" w:cs="Times New Roman"/>
          <w:spacing w:val="0"/>
          <w:sz w:val="32"/>
          <w:szCs w:val="32"/>
          <w:highlight w:val="none"/>
          <w:shd w:val="clear" w:color="auto" w:fill="FFFFFF"/>
          <w:lang w:val="en-US" w:eastAsia="zh-CN"/>
        </w:rPr>
        <w:t>5</w:t>
      </w:r>
      <w:r>
        <w:rPr>
          <w:rFonts w:hint="default" w:ascii="Times New Roman" w:hAnsi="Times New Roman" w:eastAsia="仿宋_GB2312" w:cs="Times New Roman"/>
          <w:spacing w:val="0"/>
          <w:sz w:val="32"/>
          <w:szCs w:val="32"/>
          <w:highlight w:val="none"/>
          <w:shd w:val="clear" w:color="auto" w:fill="FFFFFF"/>
        </w:rPr>
        <w:t>次，内容涉及习近平法治思想、宪法、</w:t>
      </w:r>
      <w:r>
        <w:rPr>
          <w:rFonts w:hint="default" w:ascii="Times New Roman" w:hAnsi="Times New Roman" w:eastAsia="仿宋_GB2312" w:cs="Times New Roman"/>
          <w:spacing w:val="0"/>
          <w:sz w:val="32"/>
          <w:szCs w:val="32"/>
          <w:highlight w:val="none"/>
          <w:shd w:val="clear" w:color="auto" w:fill="FFFFFF"/>
          <w:lang w:eastAsia="zh-CN"/>
        </w:rPr>
        <w:t>民法典、劳动合同法、人口与计划生育法、反间谍法、统计法、北京市单位消防安全主体责任规定</w:t>
      </w:r>
      <w:r>
        <w:rPr>
          <w:rFonts w:hint="default" w:ascii="Times New Roman" w:hAnsi="Times New Roman" w:eastAsia="仿宋_GB2312" w:cs="Times New Roman"/>
          <w:spacing w:val="0"/>
          <w:sz w:val="32"/>
          <w:szCs w:val="32"/>
          <w:highlight w:val="none"/>
          <w:shd w:val="clear" w:color="auto" w:fill="FFFFFF"/>
        </w:rPr>
        <w:t>等等，领导班子成员的法律意识不断增强，依法决策的能力不断提高。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pacing w:val="0"/>
          <w:sz w:val="32"/>
          <w:szCs w:val="32"/>
          <w:highlight w:val="none"/>
          <w:lang w:val="en-US" w:eastAsia="zh-CN"/>
        </w:rPr>
      </w:pPr>
      <w:r>
        <w:rPr>
          <w:rFonts w:hint="default" w:ascii="Times New Roman" w:hAnsi="Times New Roman" w:eastAsia="楷体_GB2312" w:cs="Times New Roman"/>
          <w:color w:val="000000"/>
          <w:spacing w:val="0"/>
          <w:sz w:val="32"/>
          <w:szCs w:val="32"/>
          <w:highlight w:val="none"/>
          <w:lang w:val="en-US" w:eastAsia="zh-CN"/>
        </w:rPr>
        <w:t>（二）持续推进政府职能转变</w:t>
      </w:r>
    </w:p>
    <w:p>
      <w:pPr>
        <w:keepNext w:val="0"/>
        <w:keepLines w:val="0"/>
        <w:pageBreakBefore w:val="0"/>
        <w:widowControl w:val="0"/>
        <w:kinsoku/>
        <w:wordWrap/>
        <w:overflowPunct/>
        <w:autoSpaceDN/>
        <w:bidi w:val="0"/>
        <w:spacing w:line="560" w:lineRule="exact"/>
        <w:ind w:left="0" w:leftChars="0" w:right="0" w:rightChars="0" w:firstLine="640" w:firstLineChars="200"/>
        <w:jc w:val="left"/>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深化行政体制机制改革</w:t>
      </w:r>
      <w:r>
        <w:rPr>
          <w:rFonts w:hint="default" w:ascii="Times New Roman" w:hAnsi="Times New Roman" w:eastAsia="楷体_GB2312" w:cs="Times New Roman"/>
          <w:color w:val="000000" w:themeColor="text1"/>
          <w:spacing w:val="0"/>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不断加强制度机制建设，制定、修订完成《印章管理制度》、《合同管理制度》等七项制度，进一步提升了印章、车辆、合同、办公用品、固定资产等管理工作的严谨性、规范性、科学性，降低了各类管理风险。逐步完善重大事项请示报告制度、工作信息通报、政务信息公开、督查督办等工作机制，强化书记会、主任办公会和工委会议题申报流程和材料要求，有效提升了“三重一大”议事决策流程的严肃性、高效性。针对部门人员流动性大的情况，结合个人能力素养和岗位职责需要，合理安排工作分工，因人定岗、因岗选人，确保了科室工作顺利开展。</w:t>
      </w:r>
    </w:p>
    <w:p>
      <w:pPr>
        <w:keepNext w:val="0"/>
        <w:keepLines w:val="0"/>
        <w:pageBreakBefore w:val="0"/>
        <w:widowControl w:val="0"/>
        <w:kinsoku/>
        <w:wordWrap/>
        <w:overflowPunct/>
        <w:autoSpaceDN/>
        <w:bidi w:val="0"/>
        <w:spacing w:line="560" w:lineRule="exact"/>
        <w:ind w:left="0" w:leftChars="0" w:right="0" w:rightChars="0" w:firstLine="640" w:firstLineChars="200"/>
        <w:jc w:val="left"/>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深入推进行政审批制度改革</w:t>
      </w:r>
      <w:r>
        <w:rPr>
          <w:rFonts w:hint="default" w:ascii="Times New Roman" w:hAnsi="Times New Roman" w:eastAsia="楷体_GB2312" w:cs="Times New Roman"/>
          <w:color w:val="000000" w:themeColor="text1"/>
          <w:spacing w:val="0"/>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交道口街道坚持以服务群众为中心思想，以方便群众办事为工作导向，以</w:t>
      </w:r>
      <w:r>
        <w:rPr>
          <w:rFonts w:hint="default" w:ascii="Times New Roman" w:hAnsi="Times New Roman" w:eastAsia="仿宋_GB2312" w:cs="Times New Roman"/>
          <w:color w:val="000000" w:themeColor="text1"/>
          <w:spacing w:val="0"/>
          <w:sz w:val="32"/>
          <w:szCs w:val="32"/>
          <w:highlight w:val="none"/>
          <w:lang w:val="zh-CN"/>
          <w14:textFill>
            <w14:solidFill>
              <w14:schemeClr w14:val="tx1"/>
            </w14:solidFill>
          </w14:textFill>
        </w:rPr>
        <w:t>“需求</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引导、精准施策、主动作为”为办事原则，持续提升政务服务效能。通过支部引领、党员带动，以员工培训、岗位调整、优化工作结构等方法，深入推进政务服务事项委托受理和社区政务服务规范化建设工作。在街道、社区层面全面推行“一业一证”改革，推动跨部门多个事项集成办理，实现“一次告知、一表申请、一窗受理、一网通办、一证准营、一码联动”，全程引导、志愿服务、帮办代办、延时服务等多项便民机制，积极创新服务模式，进一步提升政务服务工作效能，让居民享受更加便捷高效的政务服务。</w:t>
      </w:r>
    </w:p>
    <w:p>
      <w:pPr>
        <w:keepNext w:val="0"/>
        <w:keepLines w:val="0"/>
        <w:pageBreakBefore w:val="0"/>
        <w:widowControl w:val="0"/>
        <w:kinsoku/>
        <w:wordWrap/>
        <w:overflowPunct/>
        <w:topLinePunct w:val="0"/>
        <w:autoSpaceDN/>
        <w:bidi w:val="0"/>
        <w:adjustRightInd/>
        <w:spacing w:line="560" w:lineRule="exact"/>
        <w:ind w:left="0" w:leftChars="0" w:right="0" w:rightChars="0" w:firstLine="640" w:firstLineChars="200"/>
        <w:jc w:val="both"/>
        <w:rPr>
          <w:rFonts w:hint="default" w:ascii="Times New Roman" w:hAnsi="Times New Roman" w:eastAsia="仿宋_GB2312" w:cs="Times New Roman"/>
          <w:spacing w:val="0"/>
          <w:sz w:val="32"/>
          <w:szCs w:val="32"/>
          <w:highlight w:val="none"/>
        </w:rPr>
      </w:pP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持续优化营商环境。</w:t>
      </w:r>
      <w:r>
        <w:rPr>
          <w:rFonts w:hint="default" w:ascii="Times New Roman" w:hAnsi="Times New Roman" w:eastAsia="仿宋_GB2312" w:cs="Times New Roman"/>
          <w:spacing w:val="0"/>
          <w:sz w:val="32"/>
          <w:szCs w:val="32"/>
          <w:highlight w:val="none"/>
        </w:rPr>
        <w:t>举办了2期“交道口·南锣会客厅”政企交流活动，深入听取企业诉求，有效加强政企沟通，使政企关系更进一步，促进辖区经济健康发展。深入做好企业服务工作，跟进本年度新增市场主体情况。创新“互联网+招商”模式，拓展线上招商。采取网络、视频、电话等线上模式开展招商洽谈，变“面对面”为“屏对屏”“线连线”。努力实现税源落地，扎实推进招商引资、惠企助企工作，助</w:t>
      </w:r>
      <w:r>
        <w:rPr>
          <w:rFonts w:hint="default" w:ascii="Times New Roman" w:hAnsi="Times New Roman" w:eastAsia="仿宋_GB2312" w:cs="Times New Roman"/>
          <w:spacing w:val="0"/>
          <w:sz w:val="32"/>
          <w:szCs w:val="32"/>
          <w:highlight w:val="none"/>
          <w:lang w:eastAsia="zh-CN"/>
        </w:rPr>
        <w:t>力</w:t>
      </w:r>
      <w:r>
        <w:rPr>
          <w:rFonts w:hint="default" w:ascii="Times New Roman" w:hAnsi="Times New Roman" w:eastAsia="仿宋_GB2312" w:cs="Times New Roman"/>
          <w:spacing w:val="0"/>
          <w:sz w:val="32"/>
          <w:szCs w:val="32"/>
          <w:highlight w:val="none"/>
        </w:rPr>
        <w:t>辖区经济稳步发展。</w:t>
      </w:r>
    </w:p>
    <w:p>
      <w:pPr>
        <w:keepNext w:val="0"/>
        <w:keepLines w:val="0"/>
        <w:pageBreakBefore w:val="0"/>
        <w:widowControl w:val="0"/>
        <w:kinsoku/>
        <w:wordWrap/>
        <w:overflowPunct/>
        <w:topLinePunct w:val="0"/>
        <w:autoSpaceDN/>
        <w:bidi w:val="0"/>
        <w:adjustRightInd/>
        <w:spacing w:line="560" w:lineRule="exact"/>
        <w:ind w:left="0" w:leftChars="0" w:right="0" w:rightChars="0" w:firstLine="640" w:firstLineChars="200"/>
        <w:jc w:val="both"/>
        <w:rPr>
          <w:rFonts w:hint="default" w:ascii="Times New Roman" w:hAnsi="Times New Roman" w:cs="Times New Roman"/>
          <w:spacing w:val="0"/>
          <w:sz w:val="32"/>
          <w:szCs w:val="32"/>
          <w:highlight w:val="none"/>
          <w:shd w:val="clear" w:color="auto" w:fill="FFFFFF"/>
        </w:rPr>
      </w:pP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不断提升首都核心区城市治理现代化水平。</w:t>
      </w:r>
      <w:r>
        <w:rPr>
          <w:rFonts w:hint="default" w:ascii="Times New Roman" w:hAnsi="Times New Roman" w:eastAsia="仿宋_GB2312" w:cs="Times New Roman"/>
          <w:spacing w:val="0"/>
          <w:kern w:val="2"/>
          <w:sz w:val="32"/>
          <w:szCs w:val="32"/>
          <w:highlight w:val="none"/>
          <w:lang w:val="en-US" w:eastAsia="zh-CN" w:bidi="ar-SA"/>
        </w:rPr>
        <w:t>街道各部门统一思想，迎难而上，对照接诉即办重点措施“十一条”，主要领导落实“五个亲自”、“一把手”负责，“一级带着一级干”的接诉即办群众工作法，对于结案材料、答复录音、剔除佐证材料等采取层层审核，对申报材料复查复审落实三级签字确认把关，杜绝出现低级错误和明显纰漏的发生。每一个案件都要做到“第一时间响应、及时研判处理、适时办结反馈”，落实科长深度办理、处级领导提级办理的要求。做到案件2个小时内快速响应，当天见面不拖延，办理过程协调有力，以最快的速度、最佳的质量解决。坚持底线思维，从严从实从细抓好高频点位治理工作。对于南锣主街多行动多举措，全方位做好服务保障工作，加强安全监管和执法力度，强化南锣鼓巷大人流管控与垃圾清运力度，严格落实值班值守制度，确保节日期间主街环境有序，降低主街诉求案发量。结合区里提出降量的方式方法，用办公电话、社区居民微信群等多方式吸附诉求，提高响应速度和解决效率，加强吸附媒介平台的宣传，做成小卡片、一封信等形式分发居民，让居民有诉求时能找到人，能解决事。对于高频诉求人，街道各部门采取安抚和办理并举，对于其诉求积极深度办理，对于举报人采取见面沟通吸附诉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pacing w:val="0"/>
          <w:sz w:val="32"/>
          <w:szCs w:val="32"/>
          <w:highlight w:val="none"/>
          <w:lang w:val="en-US" w:eastAsia="zh-CN"/>
        </w:rPr>
      </w:pPr>
      <w:r>
        <w:rPr>
          <w:rFonts w:hint="default" w:ascii="Times New Roman" w:hAnsi="Times New Roman" w:eastAsia="楷体_GB2312" w:cs="Times New Roman"/>
          <w:color w:val="000000"/>
          <w:spacing w:val="0"/>
          <w:sz w:val="32"/>
          <w:szCs w:val="32"/>
          <w:highlight w:val="none"/>
          <w:lang w:val="en-US" w:eastAsia="zh-CN"/>
        </w:rPr>
        <w:t>（三）健全依法行政制度体系</w:t>
      </w:r>
    </w:p>
    <w:p>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snapToGrid w:val="0"/>
        <w:spacing w:line="560" w:lineRule="exact"/>
        <w:ind w:left="0" w:leftChars="0" w:right="0" w:rightChars="0" w:firstLine="640" w:firstLineChars="200"/>
        <w:jc w:val="both"/>
        <w:textAlignment w:val="baseline"/>
        <w:outlineLvl w:val="0"/>
        <w:rPr>
          <w:rFonts w:hint="default" w:ascii="Times New Roman" w:hAnsi="Times New Roman" w:eastAsia="仿宋_GB2312" w:cs="Times New Roman"/>
          <w:spacing w:val="0"/>
          <w:sz w:val="32"/>
          <w:szCs w:val="32"/>
          <w:highlight w:val="none"/>
        </w:rPr>
      </w:pP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落实重大行政决策程序。</w:t>
      </w:r>
      <w:r>
        <w:rPr>
          <w:rFonts w:hint="default" w:ascii="Times New Roman" w:hAnsi="Times New Roman" w:eastAsia="仿宋_GB2312" w:cs="Times New Roman"/>
          <w:spacing w:val="0"/>
          <w:sz w:val="32"/>
          <w:szCs w:val="32"/>
          <w:highlight w:val="none"/>
        </w:rPr>
        <w:t>街道领导认真学习并严格执行《重大行政决策程序暂行条例》，建立街道重大行政执法事项领导集体会商机制，相关领导定期听取有关工作汇报，及时研究解决有关重大问题。对专业性较强的重大决策，均组织专家进行论证；对涉及群众切身利益的重大决策事项，均公开征求意见；对事关经济社会发展全局、人民群众切身利益、涉及生态环境、经济的，进行风险评估。所有重大行政决策事项均经过合法性审查并经领导集体讨论决定。</w:t>
      </w:r>
    </w:p>
    <w:p>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snapToGrid w:val="0"/>
        <w:spacing w:line="560" w:lineRule="exact"/>
        <w:ind w:left="0" w:leftChars="0" w:right="0" w:rightChars="0" w:firstLine="640" w:firstLineChars="200"/>
        <w:jc w:val="both"/>
        <w:textAlignment w:val="baseline"/>
        <w:outlineLvl w:val="0"/>
        <w:rPr>
          <w:rFonts w:hint="default" w:ascii="Times New Roman" w:hAnsi="Times New Roman" w:eastAsia="楷体_GB2312" w:cs="Times New Roman"/>
          <w:color w:val="000000"/>
          <w:spacing w:val="0"/>
          <w:sz w:val="32"/>
          <w:szCs w:val="32"/>
          <w:highlight w:val="none"/>
          <w:lang w:val="en-US" w:eastAsia="zh-CN"/>
        </w:rPr>
      </w:pPr>
      <w:r>
        <w:rPr>
          <w:rFonts w:hint="default" w:ascii="Times New Roman" w:hAnsi="Times New Roman" w:eastAsia="楷体_GB2312" w:cs="Times New Roman"/>
          <w:color w:val="000000"/>
          <w:spacing w:val="0"/>
          <w:sz w:val="32"/>
          <w:szCs w:val="32"/>
          <w:highlight w:val="none"/>
          <w:lang w:val="en-US" w:eastAsia="zh-CN"/>
        </w:rPr>
        <w:t>（四）加强行政执法规范与效能建设</w:t>
      </w:r>
    </w:p>
    <w:p>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snapToGrid w:val="0"/>
        <w:spacing w:line="560" w:lineRule="exact"/>
        <w:ind w:left="0" w:leftChars="0" w:right="0" w:rightChars="0" w:firstLine="640" w:firstLineChars="200"/>
        <w:jc w:val="both"/>
        <w:textAlignment w:val="baseline"/>
        <w:outlineLvl w:val="0"/>
        <w:rPr>
          <w:rFonts w:hint="default" w:ascii="Times New Roman" w:hAnsi="Times New Roman" w:eastAsia="仿宋_GB2312" w:cs="Times New Roman"/>
          <w:spacing w:val="0"/>
          <w:sz w:val="32"/>
          <w:szCs w:val="32"/>
          <w:highlight w:val="none"/>
          <w:lang w:eastAsia="zh-CN"/>
        </w:rPr>
      </w:pP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持续推进综合行政执法体制改革。</w:t>
      </w:r>
      <w:r>
        <w:rPr>
          <w:rFonts w:hint="default" w:ascii="Times New Roman" w:hAnsi="Times New Roman" w:eastAsia="仿宋_GB2312" w:cs="Times New Roman"/>
          <w:spacing w:val="0"/>
          <w:sz w:val="32"/>
          <w:szCs w:val="32"/>
          <w:highlight w:val="none"/>
        </w:rPr>
        <w:t>执法队以问题为导向，探索打击整治长效方案和措施。根据整治工作的不同阶段情况，动态调整人员分工、力量部署、组织排班等要素，力争形成长效治理的“南锣新模式”。全年以来，执法队共处理政通案件2502余件，网格件2079件，环保扬尘1519件。完成各类案卷523件。其中一般程序案卷222卷</w:t>
      </w: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简易程序案件301件；拆除违规户外广告牌匾标识90余块</w:t>
      </w: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检查垃圾分类1239家次，发放宣传材料1500余份，立案处罚87起。检查餐饮公服用户375家次，排查整改各类安全隐患42处。检查施工场所200余次；查处施工扬尘、泄漏</w:t>
      </w:r>
      <w:r>
        <w:rPr>
          <w:rFonts w:hint="default" w:ascii="Times New Roman" w:hAnsi="Times New Roman" w:eastAsia="仿宋_GB2312" w:cs="Times New Roman"/>
          <w:color w:val="auto"/>
          <w:spacing w:val="0"/>
          <w:sz w:val="32"/>
          <w:szCs w:val="32"/>
          <w:highlight w:val="none"/>
        </w:rPr>
        <w:t>遗撒案件9起。</w:t>
      </w:r>
      <w:r>
        <w:rPr>
          <w:rFonts w:hint="default" w:ascii="Times New Roman" w:hAnsi="Times New Roman" w:eastAsia="仿宋_GB2312" w:cs="Times New Roman"/>
          <w:color w:val="auto"/>
          <w:spacing w:val="0"/>
          <w:sz w:val="32"/>
          <w:szCs w:val="32"/>
          <w:highlight w:val="none"/>
          <w:lang w:eastAsia="zh-CN"/>
        </w:rPr>
        <w:t>对</w:t>
      </w:r>
      <w:r>
        <w:rPr>
          <w:rFonts w:hint="default" w:ascii="Times New Roman" w:hAnsi="Times New Roman" w:eastAsia="仿宋_GB2312" w:cs="Times New Roman"/>
          <w:color w:val="auto"/>
          <w:spacing w:val="0"/>
          <w:sz w:val="32"/>
          <w:szCs w:val="32"/>
          <w:highlight w:val="none"/>
          <w:lang w:val="en-US" w:eastAsia="zh-CN"/>
        </w:rPr>
        <w:t>轻微违法行为免罚13起，涉及燃气间堆放杂物、店外经营、乱堆物料、违规设置、摆放广告牌匾等，均已现场责令改正。</w:t>
      </w:r>
      <w:r>
        <w:rPr>
          <w:rFonts w:hint="default" w:ascii="Times New Roman" w:hAnsi="Times New Roman" w:eastAsia="仿宋_GB2312" w:cs="Times New Roman"/>
          <w:color w:val="auto"/>
          <w:spacing w:val="0"/>
          <w:sz w:val="32"/>
          <w:szCs w:val="32"/>
          <w:highlight w:val="none"/>
        </w:rPr>
        <w:t>累计出动执法力量2300人次，开展联合执法、专项打击158余次，盯守重点点位495处，查处无照游商342起，暂扣非法经营车辆</w:t>
      </w:r>
      <w:r>
        <w:rPr>
          <w:rFonts w:hint="default" w:ascii="Times New Roman" w:hAnsi="Times New Roman" w:eastAsia="仿宋_GB2312" w:cs="Times New Roman"/>
          <w:spacing w:val="0"/>
          <w:sz w:val="32"/>
          <w:szCs w:val="32"/>
          <w:highlight w:val="none"/>
        </w:rPr>
        <w:t>黑三轮20余辆。目前南锣鼓巷游商和黑三轮举报件大幅下降，得到市区街领导认可</w:t>
      </w:r>
      <w:r>
        <w:rPr>
          <w:rFonts w:hint="default" w:ascii="Times New Roman" w:hAnsi="Times New Roman" w:eastAsia="仿宋_GB2312" w:cs="Times New Roman"/>
          <w:spacing w:val="0"/>
          <w:sz w:val="32"/>
          <w:szCs w:val="32"/>
          <w:highlight w:val="none"/>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snapToGrid w:val="0"/>
        <w:spacing w:line="560" w:lineRule="exact"/>
        <w:ind w:left="0" w:leftChars="0" w:right="0" w:rightChars="0" w:firstLine="640" w:firstLineChars="200"/>
        <w:jc w:val="both"/>
        <w:textAlignment w:val="baseline"/>
        <w:outlineLvl w:val="0"/>
        <w:rPr>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深入推进严格规范公正文明执法。</w:t>
      </w:r>
      <w:r>
        <w:rPr>
          <w:rFonts w:hint="default" w:ascii="Times New Roman" w:hAnsi="Times New Roman" w:eastAsia="仿宋_GB2312" w:cs="Times New Roman"/>
          <w:spacing w:val="0"/>
          <w:sz w:val="32"/>
          <w:szCs w:val="32"/>
          <w:highlight w:val="none"/>
          <w:shd w:val="clear" w:color="auto" w:fill="FFFFFF"/>
        </w:rPr>
        <w:t>加大行政处罚案件审查工作力度。行政执法职权下放</w:t>
      </w:r>
      <w:r>
        <w:rPr>
          <w:rFonts w:hint="default" w:ascii="Times New Roman" w:hAnsi="Times New Roman" w:eastAsia="仿宋_GB2312" w:cs="Times New Roman"/>
          <w:spacing w:val="0"/>
          <w:sz w:val="32"/>
          <w:szCs w:val="32"/>
          <w:highlight w:val="none"/>
          <w:shd w:val="clear" w:color="auto" w:fill="FFFFFF"/>
          <w:lang w:eastAsia="zh-CN"/>
        </w:rPr>
        <w:t>以</w:t>
      </w:r>
      <w:r>
        <w:rPr>
          <w:rFonts w:hint="default" w:ascii="Times New Roman" w:hAnsi="Times New Roman" w:eastAsia="仿宋_GB2312" w:cs="Times New Roman"/>
          <w:spacing w:val="0"/>
          <w:sz w:val="32"/>
          <w:szCs w:val="32"/>
          <w:highlight w:val="none"/>
          <w:shd w:val="clear" w:color="auto" w:fill="FFFFFF"/>
        </w:rPr>
        <w:t>来，按照区司法局、区城管执法局要求，街道成立法制审核小组，制定相关工作制度，完善行政执法公示基本信息和动态信息，起草了街道《行政执法责任》《文明执法行为规范》《行政执法人员及辅助人员日常管理办法》《行政执法公示办法》等多个制度，逐步细化完善了综合执法工作各项机制。加强重大行政处罚合法性审查。法制审核小组实行每周一例会制度，对一般程序行政处罚案件和重大、复杂案件进行审查，集体讨论决定</w:t>
      </w:r>
      <w:r>
        <w:rPr>
          <w:rFonts w:hint="default" w:ascii="Times New Roman" w:hAnsi="Times New Roman" w:eastAsia="仿宋_GB2312" w:cs="Times New Roman"/>
          <w:spacing w:val="0"/>
          <w:sz w:val="32"/>
          <w:szCs w:val="32"/>
          <w:highlight w:val="none"/>
          <w:shd w:val="clear" w:color="auto" w:fill="FFFFFF"/>
          <w:lang w:eastAsia="zh-CN"/>
        </w:rPr>
        <w:t>，有效促进</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执法力度不减，执法效率提高。2023年共开展执法案卷评查4次，</w:t>
      </w:r>
      <w:r>
        <w:rPr>
          <w:rFonts w:hint="default" w:ascii="Times New Roman" w:hAnsi="Times New Roman" w:eastAsia="仿宋_GB2312" w:cs="Times New Roman"/>
          <w:color w:val="auto"/>
          <w:kern w:val="2"/>
          <w:sz w:val="32"/>
          <w:szCs w:val="32"/>
          <w:lang w:val="en-US" w:eastAsia="zh-CN" w:bidi="ar-SA"/>
        </w:rPr>
        <w:t>办理行政诉讼案件4件，其中两件当事人撤诉，一件败诉，一件开庭未判决。</w:t>
      </w:r>
    </w:p>
    <w:p>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snapToGrid w:val="0"/>
        <w:spacing w:line="560" w:lineRule="exact"/>
        <w:ind w:left="0" w:leftChars="0" w:right="0" w:rightChars="0" w:firstLine="640" w:firstLineChars="200"/>
        <w:jc w:val="both"/>
        <w:textAlignment w:val="baseline"/>
        <w:outlineLvl w:val="0"/>
        <w:rPr>
          <w:rFonts w:hint="default" w:ascii="Times New Roman" w:hAnsi="Times New Roman" w:eastAsia="楷体_GB2312" w:cs="Times New Roman"/>
          <w:color w:val="auto"/>
          <w:spacing w:val="0"/>
          <w:sz w:val="32"/>
          <w:szCs w:val="32"/>
          <w:highlight w:val="none"/>
          <w:lang w:val="en-US" w:eastAsia="zh-CN"/>
        </w:rPr>
      </w:pPr>
      <w:r>
        <w:rPr>
          <w:rFonts w:hint="default" w:ascii="Times New Roman" w:hAnsi="Times New Roman" w:eastAsia="楷体_GB2312" w:cs="Times New Roman"/>
          <w:color w:val="auto"/>
          <w:spacing w:val="0"/>
          <w:sz w:val="32"/>
          <w:szCs w:val="32"/>
          <w:highlight w:val="none"/>
          <w:lang w:val="en-US" w:eastAsia="zh-CN"/>
        </w:rPr>
        <w:t>（五）完善突发事件应对制度机制</w:t>
      </w:r>
    </w:p>
    <w:p>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snapToGrid w:val="0"/>
        <w:spacing w:line="560" w:lineRule="exact"/>
        <w:ind w:left="0" w:leftChars="0" w:right="0" w:rightChars="0" w:firstLine="640" w:firstLineChars="200"/>
        <w:jc w:val="both"/>
        <w:textAlignment w:val="baseline"/>
        <w:outlineLvl w:val="0"/>
        <w:rPr>
          <w:rFonts w:hint="default" w:ascii="Times New Roman" w:hAnsi="Times New Roman" w:eastAsia="仿宋_GB2312" w:cs="Times New Roman"/>
          <w:bCs/>
          <w:spacing w:val="0"/>
          <w:sz w:val="32"/>
          <w:szCs w:val="32"/>
          <w:highlight w:val="none"/>
          <w:lang w:val="en-US" w:eastAsia="zh-CN"/>
        </w:rPr>
      </w:pP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健全应急管理制度体系。</w:t>
      </w:r>
      <w:r>
        <w:rPr>
          <w:rFonts w:hint="default" w:ascii="Times New Roman" w:hAnsi="Times New Roman" w:eastAsia="仿宋_GB2312" w:cs="Times New Roman"/>
          <w:spacing w:val="0"/>
          <w:sz w:val="32"/>
          <w:szCs w:val="32"/>
          <w:highlight w:val="none"/>
          <w:shd w:val="clear" w:color="auto" w:fill="FFFFFF"/>
          <w:lang w:val="en-US" w:eastAsia="zh-CN"/>
        </w:rPr>
        <w:t>按照</w:t>
      </w:r>
      <w:r>
        <w:rPr>
          <w:rFonts w:hint="default" w:ascii="Times New Roman" w:hAnsi="Times New Roman" w:eastAsia="仿宋_GB2312" w:cs="Times New Roman"/>
          <w:spacing w:val="0"/>
          <w:sz w:val="32"/>
          <w:szCs w:val="32"/>
          <w:highlight w:val="none"/>
          <w:shd w:val="clear" w:color="auto" w:fill="FFFFFF"/>
        </w:rPr>
        <w:t>《2022-2023年东城区应急预案体系建设行动计划》</w:t>
      </w:r>
      <w:r>
        <w:rPr>
          <w:rFonts w:hint="default" w:ascii="Times New Roman" w:hAnsi="Times New Roman" w:eastAsia="仿宋_GB2312" w:cs="Times New Roman"/>
          <w:spacing w:val="0"/>
          <w:sz w:val="32"/>
          <w:szCs w:val="32"/>
          <w:highlight w:val="none"/>
          <w:shd w:val="clear" w:color="auto" w:fill="FFFFFF"/>
          <w:lang w:eastAsia="zh-CN"/>
        </w:rPr>
        <w:t>和</w:t>
      </w:r>
      <w:r>
        <w:rPr>
          <w:rFonts w:hint="default" w:ascii="Times New Roman" w:hAnsi="Times New Roman" w:eastAsia="仿宋_GB2312" w:cs="Times New Roman"/>
          <w:spacing w:val="0"/>
          <w:sz w:val="32"/>
          <w:szCs w:val="32"/>
          <w:highlight w:val="none"/>
          <w:shd w:val="clear" w:color="auto" w:fill="FFFFFF"/>
        </w:rPr>
        <w:t>《东城区突发事件总体应急预案》</w:t>
      </w:r>
      <w:r>
        <w:rPr>
          <w:rFonts w:hint="default" w:ascii="Times New Roman" w:hAnsi="Times New Roman" w:eastAsia="仿宋_GB2312" w:cs="Times New Roman"/>
          <w:spacing w:val="0"/>
          <w:sz w:val="32"/>
          <w:szCs w:val="32"/>
          <w:highlight w:val="none"/>
          <w:shd w:val="clear" w:color="auto" w:fill="FFFFFF"/>
          <w:lang w:eastAsia="zh-CN"/>
        </w:rPr>
        <w:t>等文件的要求，完善交道口街道突发事件应急预案（</w:t>
      </w:r>
      <w:r>
        <w:rPr>
          <w:rFonts w:hint="default" w:ascii="Times New Roman" w:hAnsi="Times New Roman" w:eastAsia="仿宋_GB2312" w:cs="Times New Roman"/>
          <w:spacing w:val="0"/>
          <w:sz w:val="32"/>
          <w:szCs w:val="32"/>
          <w:highlight w:val="none"/>
          <w:shd w:val="clear" w:color="auto" w:fill="FFFFFF"/>
          <w:lang w:val="en-US" w:eastAsia="zh-CN"/>
        </w:rPr>
        <w:t>2023修订</w:t>
      </w:r>
      <w:r>
        <w:rPr>
          <w:rFonts w:hint="default" w:ascii="Times New Roman" w:hAnsi="Times New Roman" w:eastAsia="仿宋_GB2312" w:cs="Times New Roman"/>
          <w:spacing w:val="0"/>
          <w:sz w:val="32"/>
          <w:szCs w:val="32"/>
          <w:highlight w:val="none"/>
          <w:shd w:val="clear" w:color="auto" w:fill="FFFFFF"/>
          <w:lang w:eastAsia="zh-CN"/>
        </w:rPr>
        <w:t>）。</w:t>
      </w:r>
      <w:r>
        <w:rPr>
          <w:rFonts w:hint="default" w:ascii="Times New Roman" w:hAnsi="Times New Roman" w:eastAsia="仿宋_GB2312" w:cs="Times New Roman"/>
          <w:spacing w:val="0"/>
          <w:sz w:val="32"/>
          <w:szCs w:val="32"/>
          <w:highlight w:val="none"/>
          <w:shd w:val="clear" w:color="auto" w:fill="FFFFFF"/>
        </w:rPr>
        <w:t>在街道工委、办事处的领导下，成立由分管领导主抓，由</w:t>
      </w:r>
      <w:r>
        <w:rPr>
          <w:rFonts w:hint="default" w:ascii="Times New Roman" w:hAnsi="Times New Roman" w:eastAsia="仿宋_GB2312" w:cs="Times New Roman"/>
          <w:spacing w:val="0"/>
          <w:sz w:val="32"/>
          <w:szCs w:val="32"/>
          <w:highlight w:val="none"/>
          <w:shd w:val="clear" w:color="auto" w:fill="FFFFFF"/>
          <w:lang w:eastAsia="zh-CN"/>
        </w:rPr>
        <w:t>综合保障办公室</w:t>
      </w:r>
      <w:r>
        <w:rPr>
          <w:rFonts w:hint="default" w:ascii="Times New Roman" w:hAnsi="Times New Roman" w:eastAsia="仿宋_GB2312" w:cs="Times New Roman"/>
          <w:spacing w:val="0"/>
          <w:sz w:val="32"/>
          <w:szCs w:val="32"/>
          <w:highlight w:val="none"/>
          <w:shd w:val="clear" w:color="auto" w:fill="FFFFFF"/>
        </w:rPr>
        <w:t>、</w:t>
      </w:r>
      <w:r>
        <w:rPr>
          <w:rFonts w:hint="default" w:ascii="Times New Roman" w:hAnsi="Times New Roman" w:eastAsia="仿宋_GB2312" w:cs="Times New Roman"/>
          <w:spacing w:val="0"/>
          <w:sz w:val="32"/>
          <w:szCs w:val="32"/>
          <w:highlight w:val="none"/>
          <w:shd w:val="clear" w:color="auto" w:fill="FFFFFF"/>
          <w:lang w:eastAsia="zh-CN"/>
        </w:rPr>
        <w:t>平安建设办公室</w:t>
      </w:r>
      <w:r>
        <w:rPr>
          <w:rFonts w:hint="default" w:ascii="Times New Roman" w:hAnsi="Times New Roman" w:eastAsia="仿宋_GB2312" w:cs="Times New Roman"/>
          <w:spacing w:val="0"/>
          <w:sz w:val="32"/>
          <w:szCs w:val="32"/>
          <w:highlight w:val="none"/>
          <w:shd w:val="clear" w:color="auto" w:fill="FFFFFF"/>
        </w:rPr>
        <w:t>、城市管理</w:t>
      </w:r>
      <w:r>
        <w:rPr>
          <w:rFonts w:hint="default" w:ascii="Times New Roman" w:hAnsi="Times New Roman" w:eastAsia="仿宋_GB2312" w:cs="Times New Roman"/>
          <w:spacing w:val="0"/>
          <w:sz w:val="32"/>
          <w:szCs w:val="32"/>
          <w:highlight w:val="none"/>
          <w:shd w:val="clear" w:color="auto" w:fill="FFFFFF"/>
          <w:lang w:eastAsia="zh-CN"/>
        </w:rPr>
        <w:t>办公室</w:t>
      </w:r>
      <w:r>
        <w:rPr>
          <w:rFonts w:hint="default" w:ascii="Times New Roman" w:hAnsi="Times New Roman" w:eastAsia="仿宋_GB2312" w:cs="Times New Roman"/>
          <w:spacing w:val="0"/>
          <w:sz w:val="32"/>
          <w:szCs w:val="32"/>
          <w:highlight w:val="none"/>
          <w:shd w:val="clear" w:color="auto" w:fill="FFFFFF"/>
        </w:rPr>
        <w:t>和相关部门组成</w:t>
      </w:r>
      <w:r>
        <w:rPr>
          <w:rFonts w:hint="default" w:ascii="Times New Roman" w:hAnsi="Times New Roman" w:eastAsia="仿宋_GB2312" w:cs="Times New Roman"/>
          <w:spacing w:val="0"/>
          <w:sz w:val="32"/>
          <w:szCs w:val="32"/>
          <w:highlight w:val="none"/>
          <w:shd w:val="clear" w:color="auto" w:fill="FFFFFF"/>
          <w:lang w:eastAsia="zh-CN"/>
        </w:rPr>
        <w:t>的</w:t>
      </w:r>
      <w:r>
        <w:rPr>
          <w:rFonts w:hint="default" w:ascii="Times New Roman" w:hAnsi="Times New Roman" w:eastAsia="仿宋_GB2312" w:cs="Times New Roman"/>
          <w:spacing w:val="0"/>
          <w:sz w:val="32"/>
          <w:szCs w:val="32"/>
          <w:highlight w:val="none"/>
          <w:shd w:val="clear" w:color="auto" w:fill="FFFFFF"/>
        </w:rPr>
        <w:t>突发公共事件工作小组</w:t>
      </w:r>
      <w:r>
        <w:rPr>
          <w:rFonts w:hint="default" w:ascii="Times New Roman" w:hAnsi="Times New Roman" w:eastAsia="仿宋_GB2312" w:cs="Times New Roman"/>
          <w:spacing w:val="0"/>
          <w:sz w:val="32"/>
          <w:szCs w:val="32"/>
          <w:highlight w:val="none"/>
          <w:shd w:val="clear" w:color="auto" w:fill="FFFFFF"/>
          <w:lang w:eastAsia="zh-CN"/>
        </w:rPr>
        <w:t>，</w:t>
      </w:r>
      <w:r>
        <w:rPr>
          <w:rFonts w:hint="default" w:ascii="Times New Roman" w:hAnsi="Times New Roman" w:eastAsia="仿宋_GB2312" w:cs="Times New Roman"/>
          <w:spacing w:val="0"/>
          <w:sz w:val="32"/>
          <w:szCs w:val="32"/>
          <w:highlight w:val="none"/>
          <w:shd w:val="clear" w:color="auto" w:fill="FFFFFF"/>
        </w:rPr>
        <w:t>全面负责街道突发公共事件的处置工作</w:t>
      </w:r>
      <w:r>
        <w:rPr>
          <w:rFonts w:hint="default" w:ascii="Times New Roman" w:hAnsi="Times New Roman" w:eastAsia="仿宋_GB2312" w:cs="Times New Roman"/>
          <w:spacing w:val="0"/>
          <w:sz w:val="32"/>
          <w:szCs w:val="32"/>
          <w:highlight w:val="none"/>
          <w:shd w:val="clear" w:color="auto" w:fill="FFFFFF"/>
          <w:lang w:eastAsia="zh-CN"/>
        </w:rPr>
        <w:t>，并完善各专项预案，如《</w:t>
      </w:r>
      <w:r>
        <w:rPr>
          <w:rFonts w:hint="default" w:ascii="Times New Roman" w:hAnsi="Times New Roman" w:eastAsia="仿宋_GB2312" w:cs="Times New Roman"/>
          <w:spacing w:val="0"/>
          <w:sz w:val="32"/>
          <w:szCs w:val="32"/>
          <w:highlight w:val="none"/>
          <w:shd w:val="clear" w:color="auto" w:fill="FFFFFF"/>
          <w:lang w:val="en-US" w:eastAsia="zh-CN"/>
        </w:rPr>
        <w:t>2023年</w:t>
      </w:r>
      <w:r>
        <w:rPr>
          <w:rFonts w:hint="default" w:ascii="Times New Roman" w:hAnsi="Times New Roman" w:eastAsia="仿宋_GB2312" w:cs="Times New Roman"/>
          <w:spacing w:val="0"/>
          <w:sz w:val="32"/>
          <w:szCs w:val="32"/>
          <w:highlight w:val="none"/>
          <w:shd w:val="clear" w:color="auto" w:fill="FFFFFF"/>
          <w:lang w:eastAsia="zh-CN"/>
        </w:rPr>
        <w:t>交道口街道防汛预案》、《2023年“十一”南锣鼓巷大人流疏导预案》等，同时指导并督促各社区完成社区级突发事件应急预案的修订并与街道级相衔接。</w:t>
      </w:r>
      <w:r>
        <w:rPr>
          <w:rFonts w:hint="default" w:ascii="Times New Roman" w:hAnsi="Times New Roman" w:eastAsia="仿宋_GB2312" w:cs="Times New Roman"/>
          <w:bCs/>
          <w:spacing w:val="0"/>
          <w:sz w:val="32"/>
          <w:szCs w:val="32"/>
          <w:highlight w:val="none"/>
          <w:lang w:val="en-US" w:eastAsia="zh-CN"/>
        </w:rPr>
        <w:t>在应急力量建设方面：各社区更新灭火器3000余具；为80岁以上老人发放“四件套”430余套并培训使用；为武警二支队和中直机关配发51个烟感报警器；为10名灾害信息员配发防灾应急包，同时完成“全市灾害信息员网上培训”并取得证书；参与区级人防志愿者骨干集中培训，完成规定演练科目，不断完善应急志愿队伍建设，保持队伍人员的数量，开展搭建帐篷等防灾演练，提高动手实操能力。</w:t>
      </w:r>
    </w:p>
    <w:p>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snapToGrid w:val="0"/>
        <w:spacing w:line="560" w:lineRule="exact"/>
        <w:ind w:left="0" w:leftChars="0" w:right="0" w:rightChars="0" w:firstLine="640" w:firstLineChars="200"/>
        <w:jc w:val="both"/>
        <w:textAlignment w:val="baseline"/>
        <w:outlineLvl w:val="0"/>
        <w:rPr>
          <w:rFonts w:hint="default" w:ascii="Times New Roman" w:hAnsi="Times New Roman" w:eastAsia="仿宋_GB2312" w:cs="Times New Roman"/>
          <w:bCs/>
          <w:spacing w:val="0"/>
          <w:sz w:val="32"/>
          <w:szCs w:val="32"/>
          <w:highlight w:val="none"/>
          <w:lang w:val="en-US" w:eastAsia="zh-CN"/>
        </w:rPr>
      </w:pP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全力提升应急处突能力。</w:t>
      </w:r>
      <w:r>
        <w:rPr>
          <w:rFonts w:hint="default" w:ascii="Times New Roman" w:hAnsi="Times New Roman" w:eastAsia="仿宋_GB2312" w:cs="Times New Roman"/>
          <w:bCs/>
          <w:spacing w:val="0"/>
          <w:sz w:val="32"/>
          <w:szCs w:val="32"/>
          <w:highlight w:val="none"/>
          <w:lang w:val="en-US" w:eastAsia="zh-CN"/>
        </w:rPr>
        <w:t>一是以案示警开展针对性的消防安全检查和防火宣传，并开展应急处置演练工作。对社区、网格工作人员、居民志愿者以及物业管理单位安保人员“一警六员”进行实操实训，切实提升街道消防应急处置能力。二是针对辖区多为平房院落，火灾隐患较为复杂的特点，定期开展杂物清理、张贴“三清三关”通知，入户宣传教育和演练工作。</w:t>
      </w:r>
      <w:r>
        <w:rPr>
          <w:rFonts w:hint="default" w:ascii="Times New Roman" w:hAnsi="Times New Roman" w:eastAsia="仿宋_GB2312" w:cs="Times New Roman"/>
          <w:spacing w:val="0"/>
          <w:sz w:val="32"/>
          <w:highlight w:val="none"/>
          <w:lang w:val="en-US" w:eastAsia="zh-CN"/>
        </w:rPr>
        <w:t>组织居民积极参与家庭防火、自救逃生集中消防培训活动50余场，开展初期火灾扑救，人员疏散应急</w:t>
      </w:r>
      <w:r>
        <w:rPr>
          <w:rFonts w:hint="default" w:ascii="Times New Roman" w:hAnsi="Times New Roman" w:eastAsia="仿宋_GB2312" w:cs="Times New Roman"/>
          <w:bCs/>
          <w:spacing w:val="0"/>
          <w:sz w:val="32"/>
          <w:szCs w:val="32"/>
          <w:highlight w:val="none"/>
          <w:lang w:val="en-US" w:eastAsia="zh-CN"/>
        </w:rPr>
        <w:t>演练25余场。三是针对南锣鼓巷商业街游客人流量大的特点，开展暴恐伤人、舆情处突、火情处置、大人流疏导等应急演练工作。根据南锣鼓巷客流量大的特点，联合派出所、南锣商会、消防、社区、安保和物业公司等开展了应急处突演练，同时建立50余人的安保队伍，全面提升应对突发事件处置能力。</w:t>
      </w:r>
    </w:p>
    <w:p>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snapToGrid w:val="0"/>
        <w:spacing w:line="560" w:lineRule="exact"/>
        <w:ind w:left="0" w:leftChars="0" w:right="0" w:rightChars="0" w:firstLine="640" w:firstLineChars="200"/>
        <w:jc w:val="both"/>
        <w:textAlignment w:val="baseline"/>
        <w:outlineLvl w:val="0"/>
        <w:rPr>
          <w:rFonts w:hint="default" w:ascii="Times New Roman" w:hAnsi="Times New Roman" w:eastAsia="楷体_GB2312" w:cs="Times New Roman"/>
          <w:color w:val="000000"/>
          <w:spacing w:val="0"/>
          <w:sz w:val="32"/>
          <w:szCs w:val="32"/>
          <w:highlight w:val="none"/>
          <w:lang w:val="en-US" w:eastAsia="zh-CN"/>
        </w:rPr>
      </w:pPr>
      <w:r>
        <w:rPr>
          <w:rFonts w:hint="default" w:ascii="Times New Roman" w:hAnsi="Times New Roman" w:eastAsia="楷体_GB2312" w:cs="Times New Roman"/>
          <w:color w:val="000000"/>
          <w:spacing w:val="0"/>
          <w:sz w:val="32"/>
          <w:szCs w:val="32"/>
          <w:highlight w:val="none"/>
          <w:lang w:val="en-US" w:eastAsia="zh-CN"/>
        </w:rPr>
        <w:t>（六）强化内外监督工作合力</w:t>
      </w:r>
    </w:p>
    <w:p>
      <w:pPr>
        <w:keepNext w:val="0"/>
        <w:keepLines w:val="0"/>
        <w:pageBreakBefore w:val="0"/>
        <w:widowControl w:val="0"/>
        <w:pBdr>
          <w:bottom w:val="single" w:color="FFFFFF" w:sz="4" w:space="31"/>
        </w:pBdr>
        <w:kinsoku/>
        <w:wordWrap/>
        <w:overflowPunct/>
        <w:topLinePunct/>
        <w:autoSpaceDE w:val="0"/>
        <w:autoSpaceDN/>
        <w:bidi w:val="0"/>
        <w:adjustRightInd w:val="0"/>
        <w:spacing w:line="560" w:lineRule="exact"/>
        <w:ind w:left="0" w:leftChars="0" w:right="0" w:rightChars="0" w:firstLine="640" w:firstLineChars="200"/>
        <w:rPr>
          <w:rFonts w:hint="default" w:ascii="Times New Roman" w:hAnsi="Times New Roman" w:eastAsia="仿宋_GB2312" w:cs="Times New Roman"/>
          <w:spacing w:val="0"/>
          <w:sz w:val="32"/>
          <w:szCs w:val="32"/>
          <w:highlight w:val="none"/>
        </w:rPr>
      </w:pP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主动接受人大依法监督和政协民主监督。</w:t>
      </w:r>
      <w:r>
        <w:rPr>
          <w:rFonts w:hint="default" w:ascii="Times New Roman" w:hAnsi="Times New Roman" w:eastAsia="仿宋_GB2312" w:cs="Times New Roman"/>
          <w:spacing w:val="0"/>
          <w:sz w:val="32"/>
          <w:szCs w:val="32"/>
          <w:highlight w:val="none"/>
          <w:lang w:eastAsia="zh-CN"/>
        </w:rPr>
        <w:t>街道</w:t>
      </w:r>
      <w:r>
        <w:rPr>
          <w:rFonts w:hint="default" w:ascii="Times New Roman" w:hAnsi="Times New Roman" w:eastAsia="仿宋_GB2312" w:cs="Times New Roman"/>
          <w:spacing w:val="0"/>
          <w:sz w:val="32"/>
          <w:szCs w:val="32"/>
          <w:highlight w:val="none"/>
        </w:rPr>
        <w:t>出席区十七届三次人代会，审议“一府两院”及区人大等工作报告提出30条意见和建议；围绕代表大会提交的5条建议做好“办前走访、办中协商、办后见面”的督办工作，通过协调督办满意率100%；代表深入“代表之家”和“代表联络站”围绕群众热点难点问题，接待8场次，选民150人次，收集意见27条，并按照意见办理流程回复率100%。参加区人大常委会主任会议成员接待代表座谈会7场次，重点围绕“十四五”规划、核心区停车难、养老联合体建设、提高区属医院治疗水平等方面，反映问题16件。</w:t>
      </w:r>
    </w:p>
    <w:p>
      <w:pPr>
        <w:keepNext w:val="0"/>
        <w:keepLines w:val="0"/>
        <w:pageBreakBefore w:val="0"/>
        <w:widowControl w:val="0"/>
        <w:pBdr>
          <w:bottom w:val="single" w:color="FFFFFF" w:sz="4" w:space="31"/>
        </w:pBdr>
        <w:kinsoku/>
        <w:wordWrap/>
        <w:overflowPunct/>
        <w:topLinePunct/>
        <w:autoSpaceDE w:val="0"/>
        <w:autoSpaceDN/>
        <w:bidi w:val="0"/>
        <w:adjustRightInd w:val="0"/>
        <w:spacing w:line="560" w:lineRule="exact"/>
        <w:ind w:left="0" w:leftChars="0" w:right="0" w:rightChars="0" w:firstLine="640" w:firstLineChars="200"/>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加强财政监督。本年度完成了河北段周边环境整治项目绩效评价、中央就业补助资金绩效评价、党建服务中心绩效评价等评价考核。2024年部门预算特定目标类项目申报顺利结束。中轴线申遗环境整治情况专项审计调查</w:t>
      </w:r>
      <w:r>
        <w:rPr>
          <w:rFonts w:hint="default" w:ascii="Times New Roman" w:hAnsi="Times New Roman" w:eastAsia="仿宋_GB2312" w:cs="Times New Roman"/>
          <w:bCs/>
          <w:color w:val="000000" w:themeColor="text1"/>
          <w:spacing w:val="0"/>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重点民生资金专项整治等工作也顺利推进，严格对财务的相关监督</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w:t>
      </w:r>
    </w:p>
    <w:p>
      <w:pPr>
        <w:keepNext w:val="0"/>
        <w:keepLines w:val="0"/>
        <w:pageBreakBefore w:val="0"/>
        <w:widowControl w:val="0"/>
        <w:pBdr>
          <w:bottom w:val="single" w:color="FFFFFF" w:sz="4" w:space="31"/>
        </w:pBdr>
        <w:kinsoku/>
        <w:wordWrap/>
        <w:overflowPunct/>
        <w:topLinePunct/>
        <w:autoSpaceDE w:val="0"/>
        <w:autoSpaceDN/>
        <w:bidi w:val="0"/>
        <w:adjustRightInd w:val="0"/>
        <w:spacing w:line="560" w:lineRule="exact"/>
        <w:ind w:left="0" w:leftChars="0" w:right="0" w:rightChars="0" w:firstLine="640" w:firstLineChars="200"/>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深化政府信息公开和政务公开。</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交道口街道坚持以服务群众为中心思想，以方便群众办事为工作导向，以</w:t>
      </w:r>
      <w:r>
        <w:rPr>
          <w:rFonts w:hint="default" w:ascii="Times New Roman" w:hAnsi="Times New Roman" w:eastAsia="仿宋_GB2312" w:cs="Times New Roman"/>
          <w:color w:val="000000" w:themeColor="text1"/>
          <w:spacing w:val="0"/>
          <w:sz w:val="32"/>
          <w:szCs w:val="32"/>
          <w:highlight w:val="none"/>
          <w:lang w:val="zh-CN" w:eastAsia="zh-CN"/>
          <w14:textFill>
            <w14:solidFill>
              <w14:schemeClr w14:val="tx1"/>
            </w14:solidFill>
          </w14:textFill>
        </w:rPr>
        <w:t>“需求</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引导、精准施策、主动作为”为办事原则，持续提升政务服务效能。通过支部引领、党员带动，以员工培训、岗位调整、优化工作结构等方法，深入推进</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政务服务事项委托受理</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和社区政务服务规范化建设工作。在街道、社区层面推行全程引导、志愿服务、帮办代办、延时服务等多项便民机制，积极创新服务模式，</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进一步提升政务服务工作效能，</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让居民享受更加便捷高效的政务服务。</w:t>
      </w:r>
    </w:p>
    <w:p>
      <w:pPr>
        <w:keepNext w:val="0"/>
        <w:keepLines w:val="0"/>
        <w:pageBreakBefore w:val="0"/>
        <w:widowControl w:val="0"/>
        <w:pBdr>
          <w:bottom w:val="single" w:color="FFFFFF" w:sz="4" w:space="31"/>
        </w:pBdr>
        <w:kinsoku/>
        <w:wordWrap/>
        <w:overflowPunct/>
        <w:topLinePunct/>
        <w:autoSpaceDE w:val="0"/>
        <w:autoSpaceDN/>
        <w:bidi w:val="0"/>
        <w:adjustRightInd w:val="0"/>
        <w:spacing w:line="560" w:lineRule="exact"/>
        <w:ind w:left="0" w:leftChars="0" w:right="0" w:rightChars="0" w:firstLine="640" w:firstLineChars="200"/>
        <w:rPr>
          <w:rFonts w:hint="default" w:ascii="Times New Roman" w:hAnsi="Times New Roman" w:eastAsia="仿宋_GB2312" w:cs="Times New Roman"/>
          <w:spacing w:val="0"/>
          <w:sz w:val="32"/>
          <w:szCs w:val="32"/>
          <w:highlight w:val="none"/>
        </w:rPr>
      </w:pP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自觉接受司法和纪检监察监督。</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交道口街道坚决支</w:t>
      </w:r>
      <w:r>
        <w:rPr>
          <w:rFonts w:hint="default" w:ascii="Times New Roman" w:hAnsi="Times New Roman" w:eastAsia="仿宋_GB2312" w:cs="Times New Roman"/>
          <w:bCs/>
          <w:color w:val="auto"/>
          <w:spacing w:val="0"/>
          <w:sz w:val="32"/>
          <w:szCs w:val="32"/>
          <w:highlight w:val="none"/>
        </w:rPr>
        <w:t>持法院依法受理和审理行政案件，</w:t>
      </w:r>
      <w:r>
        <w:rPr>
          <w:rFonts w:hint="default" w:ascii="Times New Roman" w:hAnsi="Times New Roman" w:eastAsia="仿宋_GB2312" w:cs="Times New Roman"/>
          <w:b w:val="0"/>
          <w:bCs w:val="0"/>
          <w:i w:val="0"/>
          <w:iCs w:val="0"/>
          <w:color w:val="auto"/>
          <w:spacing w:val="0"/>
          <w:kern w:val="0"/>
          <w:sz w:val="32"/>
          <w:szCs w:val="32"/>
          <w:highlight w:val="none"/>
          <w:shd w:val="clear" w:color="auto" w:fill="FFFFFF"/>
          <w:lang w:val="en-US" w:eastAsia="zh-CN" w:bidi="ar"/>
        </w:rPr>
        <w:t>严格执行防止“领导干部干预司法三项规定”，积极落实</w:t>
      </w:r>
      <w:r>
        <w:rPr>
          <w:rFonts w:hint="default" w:ascii="Times New Roman" w:hAnsi="Times New Roman" w:eastAsia="仿宋_GB2312" w:cs="Times New Roman"/>
          <w:color w:val="auto"/>
          <w:spacing w:val="0"/>
          <w:kern w:val="2"/>
          <w:sz w:val="32"/>
          <w:szCs w:val="32"/>
          <w:highlight w:val="none"/>
          <w:shd w:val="clear" w:color="auto" w:fill="auto"/>
          <w:lang w:val="en-US" w:eastAsia="zh-CN" w:bidi="ar"/>
        </w:rPr>
        <w:t>行政机关负责人出庭应诉制度</w:t>
      </w:r>
      <w:r>
        <w:rPr>
          <w:rFonts w:hint="default" w:ascii="Times New Roman" w:hAnsi="Times New Roman" w:eastAsia="仿宋_GB2312" w:cs="Times New Roman"/>
          <w:bCs/>
          <w:color w:val="auto"/>
          <w:spacing w:val="0"/>
          <w:sz w:val="32"/>
          <w:szCs w:val="32"/>
          <w:highlight w:val="none"/>
          <w:lang w:eastAsia="zh-CN"/>
        </w:rPr>
        <w:t>，</w:t>
      </w:r>
      <w:r>
        <w:rPr>
          <w:rFonts w:hint="default" w:ascii="Times New Roman" w:hAnsi="Times New Roman" w:eastAsia="仿宋_GB2312" w:cs="Times New Roman"/>
          <w:bCs/>
          <w:color w:val="auto"/>
          <w:spacing w:val="0"/>
          <w:sz w:val="32"/>
          <w:szCs w:val="32"/>
          <w:highlight w:val="none"/>
        </w:rPr>
        <w:t>尊重并执行法院生效裁判，</w:t>
      </w:r>
      <w:r>
        <w:rPr>
          <w:rFonts w:hint="default" w:ascii="Times New Roman" w:hAnsi="Times New Roman" w:eastAsia="仿宋_GB2312" w:cs="Times New Roman"/>
          <w:bCs/>
          <w:color w:val="auto"/>
          <w:spacing w:val="0"/>
          <w:sz w:val="32"/>
          <w:szCs w:val="32"/>
          <w:highlight w:val="none"/>
          <w:lang w:eastAsia="zh-CN"/>
        </w:rPr>
        <w:t>配合法院做好细管胡同</w:t>
      </w:r>
      <w:r>
        <w:rPr>
          <w:rFonts w:hint="default" w:ascii="Times New Roman" w:hAnsi="Times New Roman" w:eastAsia="仿宋_GB2312" w:cs="Times New Roman"/>
          <w:bCs/>
          <w:color w:val="auto"/>
          <w:spacing w:val="0"/>
          <w:sz w:val="32"/>
          <w:szCs w:val="32"/>
          <w:highlight w:val="none"/>
          <w:lang w:val="en-US" w:eastAsia="zh-CN"/>
        </w:rPr>
        <w:t>26号，福祥胡同29号，菊儿胡同105号强制执行工作，</w:t>
      </w:r>
      <w:r>
        <w:rPr>
          <w:rFonts w:hint="default" w:ascii="Times New Roman" w:hAnsi="Times New Roman" w:eastAsia="仿宋_GB2312" w:cs="Times New Roman"/>
          <w:bCs/>
          <w:color w:val="auto"/>
          <w:spacing w:val="0"/>
          <w:sz w:val="32"/>
          <w:szCs w:val="32"/>
          <w:highlight w:val="none"/>
        </w:rPr>
        <w:t>认真落实检察建议，支持和配合检察机关开展行政诉讼监督和行政公益诉讼</w:t>
      </w:r>
      <w:r>
        <w:rPr>
          <w:rFonts w:hint="default" w:ascii="Times New Roman" w:hAnsi="Times New Roman" w:eastAsia="仿宋_GB2312" w:cs="Times New Roman"/>
          <w:bCs/>
          <w:color w:val="auto"/>
          <w:spacing w:val="0"/>
          <w:sz w:val="32"/>
          <w:szCs w:val="32"/>
          <w:highlight w:val="none"/>
          <w:lang w:eastAsia="zh-CN"/>
        </w:rPr>
        <w:t>，</w:t>
      </w:r>
      <w:r>
        <w:rPr>
          <w:rFonts w:hint="default" w:ascii="Times New Roman" w:hAnsi="Times New Roman" w:eastAsia="仿宋_GB2312" w:cs="Times New Roman"/>
          <w:bCs/>
          <w:color w:val="auto"/>
          <w:sz w:val="32"/>
          <w:szCs w:val="32"/>
          <w:highlight w:val="none"/>
          <w:lang w:eastAsia="zh-CN"/>
        </w:rPr>
        <w:t>共回复整改意见书</w:t>
      </w:r>
      <w:r>
        <w:rPr>
          <w:rFonts w:hint="default" w:ascii="Times New Roman" w:hAnsi="Times New Roman" w:eastAsia="仿宋_GB2312" w:cs="Times New Roman"/>
          <w:bCs/>
          <w:color w:val="auto"/>
          <w:sz w:val="32"/>
          <w:szCs w:val="32"/>
          <w:highlight w:val="none"/>
          <w:lang w:val="en-US" w:eastAsia="zh-CN"/>
        </w:rPr>
        <w:t>4份</w:t>
      </w:r>
      <w:r>
        <w:rPr>
          <w:rFonts w:hint="default" w:ascii="Times New Roman" w:hAnsi="Times New Roman" w:eastAsia="仿宋_GB2312" w:cs="Times New Roman"/>
          <w:bCs/>
          <w:color w:val="auto"/>
          <w:spacing w:val="0"/>
          <w:sz w:val="32"/>
          <w:szCs w:val="32"/>
          <w:highlight w:val="none"/>
          <w:lang w:val="en-US" w:eastAsia="zh-CN"/>
        </w:rPr>
        <w:t>。</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围绕全面落实中央、市、区决策部署和工作要求，对中央、市、区重大决策部署落实情况开展专项监督，对核心区高质量发展、“接诉即办”等区、街中心工作开展全程监督。</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做实做细“接诉即办”专项监督，持续整治群众身边腐败和作风问题，落实“每月一题”部署；对“双否”案件和挂账案件中可能存在的不作为乱作为情况，进一步强化跟进检查、执纪问责。</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开展基层专项调研，对增强社区纪检工</w:t>
      </w:r>
      <w:r>
        <w:rPr>
          <w:rFonts w:hint="default" w:ascii="Times New Roman" w:hAnsi="Times New Roman" w:eastAsia="仿宋_GB2312" w:cs="Times New Roman"/>
          <w:spacing w:val="0"/>
          <w:sz w:val="32"/>
          <w:szCs w:val="32"/>
          <w:highlight w:val="none"/>
        </w:rPr>
        <w:t>作效能，助力接诉即办工作提升等课题进行调查研究。</w:t>
      </w:r>
    </w:p>
    <w:p>
      <w:pPr>
        <w:keepNext w:val="0"/>
        <w:keepLines w:val="0"/>
        <w:pageBreakBefore w:val="0"/>
        <w:widowControl w:val="0"/>
        <w:pBdr>
          <w:bottom w:val="single" w:color="FFFFFF" w:sz="4" w:space="31"/>
        </w:pBdr>
        <w:kinsoku/>
        <w:wordWrap/>
        <w:overflowPunct/>
        <w:topLinePunct/>
        <w:autoSpaceDE w:val="0"/>
        <w:autoSpaceDN/>
        <w:bidi w:val="0"/>
        <w:adjustRightInd w:val="0"/>
        <w:snapToGrid/>
        <w:spacing w:line="560" w:lineRule="exact"/>
        <w:ind w:left="0" w:leftChars="0" w:right="0" w:rightChars="0" w:firstLine="640" w:firstLineChars="200"/>
        <w:textAlignment w:val="auto"/>
        <w:rPr>
          <w:rFonts w:hint="default" w:ascii="Times New Roman" w:hAnsi="Times New Roman" w:eastAsia="楷体_GB2312" w:cs="Times New Roman"/>
          <w:color w:val="000000"/>
          <w:spacing w:val="0"/>
          <w:sz w:val="32"/>
          <w:szCs w:val="32"/>
          <w:highlight w:val="none"/>
          <w:lang w:val="en-US" w:eastAsia="zh-CN"/>
        </w:rPr>
      </w:pPr>
      <w:r>
        <w:rPr>
          <w:rFonts w:hint="default" w:ascii="Times New Roman" w:hAnsi="Times New Roman" w:eastAsia="楷体_GB2312" w:cs="Times New Roman"/>
          <w:color w:val="000000"/>
          <w:spacing w:val="0"/>
          <w:sz w:val="32"/>
          <w:szCs w:val="32"/>
          <w:highlight w:val="none"/>
          <w:lang w:val="en-US" w:eastAsia="zh-CN"/>
        </w:rPr>
        <w:t>（七）健全矛盾纠纷行政预防化解体系</w:t>
      </w:r>
    </w:p>
    <w:p>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val="0"/>
        <w:spacing w:line="560" w:lineRule="exact"/>
        <w:ind w:left="0" w:leftChars="0" w:right="0" w:rightChars="0" w:firstLine="640" w:firstLineChars="200"/>
        <w:rPr>
          <w:rFonts w:hint="default" w:ascii="Times New Roman" w:hAnsi="Times New Roman" w:eastAsia="仿宋_GB2312" w:cs="Times New Roman"/>
          <w:spacing w:val="0"/>
          <w:sz w:val="32"/>
          <w:szCs w:val="32"/>
          <w:highlight w:val="none"/>
          <w:shd w:val="clear" w:color="auto" w:fill="FFFFFF"/>
          <w:lang w:eastAsia="zh-CN"/>
        </w:rPr>
      </w:pP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发挥行政复议作为行政争议化解主渠道作用。</w:t>
      </w:r>
      <w:r>
        <w:rPr>
          <w:rFonts w:hint="default" w:ascii="Times New Roman" w:hAnsi="Times New Roman" w:eastAsia="仿宋_GB2312" w:cs="Times New Roman"/>
          <w:spacing w:val="0"/>
          <w:sz w:val="32"/>
          <w:szCs w:val="32"/>
          <w:highlight w:val="none"/>
          <w:shd w:val="clear" w:color="auto" w:fill="FFFFFF"/>
        </w:rPr>
        <w:t>贯彻“谁主管，谁应诉；谁主办，谁出庭”原则，作出具体行政行为的涉案科室经办人员共同负责行政复议、行政诉讼案件调查和应对，反向排查工作各环节存在的法律风险</w:t>
      </w:r>
      <w:r>
        <w:rPr>
          <w:rFonts w:hint="default" w:ascii="Times New Roman" w:hAnsi="Times New Roman" w:eastAsia="仿宋_GB2312" w:cs="Times New Roman"/>
          <w:spacing w:val="0"/>
          <w:sz w:val="32"/>
          <w:szCs w:val="32"/>
          <w:highlight w:val="none"/>
          <w:shd w:val="clear" w:color="auto" w:fill="FFFFFF"/>
          <w:lang w:eastAsia="zh-CN"/>
        </w:rPr>
        <w:t>。今年办事处副主任出庭参加行政应诉工作</w:t>
      </w:r>
      <w:r>
        <w:rPr>
          <w:rFonts w:hint="default" w:ascii="Times New Roman" w:hAnsi="Times New Roman" w:eastAsia="仿宋_GB2312" w:cs="Times New Roman"/>
          <w:spacing w:val="0"/>
          <w:sz w:val="32"/>
          <w:szCs w:val="32"/>
          <w:highlight w:val="none"/>
          <w:shd w:val="clear" w:color="auto" w:fill="FFFFFF"/>
          <w:lang w:val="en-US" w:eastAsia="zh-CN"/>
        </w:rPr>
        <w:t>1件。</w:t>
      </w:r>
    </w:p>
    <w:p>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val="0"/>
        <w:spacing w:line="560" w:lineRule="exact"/>
        <w:ind w:left="0" w:leftChars="0" w:right="0" w:rightChars="0" w:firstLine="640" w:firstLineChars="200"/>
        <w:rPr>
          <w:rFonts w:hint="default" w:ascii="Times New Roman" w:hAnsi="Times New Roman" w:eastAsia="仿宋_GB2312" w:cs="Times New Roman"/>
          <w:spacing w:val="0"/>
          <w:sz w:val="32"/>
          <w:szCs w:val="32"/>
          <w:highlight w:val="none"/>
        </w:rPr>
      </w:pP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依法做好信访工作。</w:t>
      </w:r>
      <w:r>
        <w:rPr>
          <w:rFonts w:hint="default" w:ascii="Times New Roman" w:hAnsi="Times New Roman" w:eastAsia="仿宋_GB2312" w:cs="Times New Roman"/>
          <w:spacing w:val="0"/>
          <w:sz w:val="32"/>
          <w:szCs w:val="32"/>
          <w:highlight w:val="none"/>
        </w:rPr>
        <w:t>2023年处理信访平台来访件122件，网信件38件，接待群众244批，共278人次，其中处级领导接待74批，共91人次；受理矛盾纠纷总数为105件，其中，通过做思想工作、心理疏导、困难帮扶、自行和解等化解数为67件，收到表彰锦旗1</w:t>
      </w:r>
      <w:r>
        <w:rPr>
          <w:rFonts w:hint="default" w:ascii="Times New Roman" w:hAnsi="Times New Roman" w:eastAsia="仿宋_GB2312" w:cs="Times New Roman"/>
          <w:spacing w:val="0"/>
          <w:sz w:val="32"/>
          <w:szCs w:val="32"/>
          <w:highlight w:val="none"/>
          <w:lang w:eastAsia="zh-CN"/>
        </w:rPr>
        <w:t>面</w:t>
      </w:r>
      <w:r>
        <w:rPr>
          <w:rFonts w:hint="default" w:ascii="Times New Roman" w:hAnsi="Times New Roman" w:eastAsia="仿宋_GB2312" w:cs="Times New Roman"/>
          <w:spacing w:val="0"/>
          <w:sz w:val="32"/>
          <w:szCs w:val="32"/>
          <w:highlight w:val="none"/>
        </w:rPr>
        <w:t>。真正落实解决群众“急难愁盼”的要求，提高辖区群众的满意度、幸福感。</w:t>
      </w:r>
    </w:p>
    <w:p>
      <w:pPr>
        <w:keepNext w:val="0"/>
        <w:keepLines w:val="0"/>
        <w:pageBreakBefore w:val="0"/>
        <w:widowControl w:val="0"/>
        <w:pBdr>
          <w:bottom w:val="single" w:color="FFFFFF" w:sz="4" w:space="31"/>
        </w:pBdr>
        <w:kinsoku/>
        <w:wordWrap/>
        <w:overflowPunct/>
        <w:topLinePunct/>
        <w:autoSpaceDE w:val="0"/>
        <w:autoSpaceDN/>
        <w:bidi w:val="0"/>
        <w:adjustRightInd w:val="0"/>
        <w:spacing w:line="560" w:lineRule="exact"/>
        <w:ind w:left="0" w:leftChars="0" w:right="0" w:rightChars="0" w:firstLine="640" w:firstLineChars="200"/>
        <w:rPr>
          <w:rFonts w:hint="default" w:ascii="Times New Roman" w:hAnsi="Times New Roman" w:eastAsia="仿宋_GB2312" w:cs="Times New Roman"/>
          <w:spacing w:val="0"/>
          <w:kern w:val="0"/>
          <w:sz w:val="32"/>
          <w:szCs w:val="32"/>
          <w:highlight w:val="none"/>
          <w:shd w:val="clear" w:color="auto" w:fill="FFFFFF"/>
        </w:rPr>
      </w:pP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深化行政调解工作。</w:t>
      </w:r>
      <w:r>
        <w:rPr>
          <w:rFonts w:hint="default" w:ascii="Times New Roman" w:hAnsi="Times New Roman" w:eastAsia="仿宋_GB2312" w:cs="Times New Roman"/>
          <w:spacing w:val="0"/>
          <w:sz w:val="32"/>
          <w:szCs w:val="32"/>
          <w:highlight w:val="none"/>
        </w:rPr>
        <w:t>强化调解队伍建设，加大矛盾调处力度。一是对社区调委会的调整充实。针对三个社区调委会主任及时进行了人员调整，充实了年轻、富有一定法律知识的调委会成员。二是组织开展工作培训。调委会调整后，及时组织开展业务工作培训，自行和接受市、区司法局等部门培训共4次，培训100余人次。三是加大矛盾调处力度。</w:t>
      </w:r>
      <w:r>
        <w:rPr>
          <w:rFonts w:hint="default" w:ascii="Times New Roman" w:hAnsi="Times New Roman" w:eastAsia="仿宋_GB2312" w:cs="Times New Roman"/>
          <w:color w:val="000000"/>
          <w:spacing w:val="0"/>
          <w:sz w:val="32"/>
          <w:szCs w:val="32"/>
          <w:highlight w:val="none"/>
          <w:shd w:val="clear" w:color="auto" w:fill="FFFFFF"/>
        </w:rPr>
        <w:t>坚持“源头控制、防控结合、多元化解”，建立常态化矛盾纠纷排查制度，确保“小纠纷不出楼门院、大纠纷不出社区、疑难复杂纠纷不出街道”，日常矛盾纠纷就地化解。</w:t>
      </w:r>
      <w:r>
        <w:rPr>
          <w:rFonts w:hint="default" w:ascii="Times New Roman" w:hAnsi="Times New Roman" w:eastAsia="仿宋_GB2312" w:cs="Times New Roman"/>
          <w:spacing w:val="0"/>
          <w:sz w:val="32"/>
          <w:szCs w:val="32"/>
          <w:highlight w:val="none"/>
        </w:rPr>
        <w:t>街道及社区调委会共计开展矛盾纠纷排查</w:t>
      </w:r>
      <w:r>
        <w:rPr>
          <w:rFonts w:hint="default" w:ascii="Times New Roman" w:hAnsi="Times New Roman" w:eastAsia="仿宋_GB2312" w:cs="Times New Roman"/>
          <w:spacing w:val="0"/>
          <w:sz w:val="32"/>
          <w:szCs w:val="32"/>
          <w:highlight w:val="none"/>
          <w:lang w:val="en-US" w:eastAsia="zh-CN"/>
        </w:rPr>
        <w:t>145</w:t>
      </w:r>
      <w:r>
        <w:rPr>
          <w:rFonts w:hint="default" w:ascii="Times New Roman" w:hAnsi="Times New Roman" w:eastAsia="仿宋_GB2312" w:cs="Times New Roman"/>
          <w:spacing w:val="0"/>
          <w:sz w:val="32"/>
          <w:szCs w:val="32"/>
          <w:highlight w:val="none"/>
        </w:rPr>
        <w:t>次，调处各类矛盾纠纷</w:t>
      </w:r>
      <w:r>
        <w:rPr>
          <w:rFonts w:hint="default" w:ascii="Times New Roman" w:hAnsi="Times New Roman" w:eastAsia="仿宋_GB2312" w:cs="Times New Roman"/>
          <w:spacing w:val="0"/>
          <w:sz w:val="32"/>
          <w:szCs w:val="32"/>
          <w:highlight w:val="none"/>
          <w:lang w:val="en-US" w:eastAsia="zh-CN"/>
        </w:rPr>
        <w:t>109</w:t>
      </w:r>
      <w:r>
        <w:rPr>
          <w:rFonts w:hint="default" w:ascii="Times New Roman" w:hAnsi="Times New Roman" w:eastAsia="仿宋_GB2312" w:cs="Times New Roman"/>
          <w:spacing w:val="0"/>
          <w:sz w:val="32"/>
          <w:szCs w:val="32"/>
          <w:highlight w:val="none"/>
        </w:rPr>
        <w:t>件，调解成功率100%，为维护辖区社会和谐稳定贡献了自己的力量</w:t>
      </w:r>
      <w:r>
        <w:rPr>
          <w:rFonts w:hint="default" w:ascii="Times New Roman" w:hAnsi="Times New Roman" w:eastAsia="仿宋_GB2312" w:cs="Times New Roman"/>
          <w:spacing w:val="0"/>
          <w:sz w:val="32"/>
          <w:szCs w:val="32"/>
          <w:highlight w:val="none"/>
          <w:lang w:eastAsia="zh-CN"/>
        </w:rPr>
        <w:t>。</w:t>
      </w:r>
    </w:p>
    <w:p>
      <w:pPr>
        <w:keepNext w:val="0"/>
        <w:keepLines w:val="0"/>
        <w:pageBreakBefore w:val="0"/>
        <w:widowControl w:val="0"/>
        <w:pBdr>
          <w:bottom w:val="single" w:color="FFFFFF" w:sz="4" w:space="31"/>
        </w:pBdr>
        <w:kinsoku/>
        <w:wordWrap/>
        <w:overflowPunct/>
        <w:topLinePunct/>
        <w:autoSpaceDE w:val="0"/>
        <w:autoSpaceDN/>
        <w:bidi w:val="0"/>
        <w:adjustRightInd w:val="0"/>
        <w:spacing w:line="560" w:lineRule="exact"/>
        <w:ind w:left="0" w:leftChars="0" w:right="0" w:rightChars="0" w:firstLine="640" w:firstLineChars="200"/>
        <w:rPr>
          <w:rFonts w:hint="default" w:ascii="Times New Roman" w:hAnsi="Times New Roman" w:eastAsia="仿宋_GB2312" w:cs="Times New Roman"/>
          <w:spacing w:val="0"/>
          <w:sz w:val="32"/>
          <w:szCs w:val="32"/>
          <w:highlight w:val="none"/>
        </w:rPr>
      </w:pP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加强公共法律服务供给。</w:t>
      </w:r>
      <w:r>
        <w:rPr>
          <w:rFonts w:hint="default" w:ascii="Times New Roman" w:hAnsi="Times New Roman" w:eastAsia="仿宋_GB2312" w:cs="Times New Roman"/>
          <w:spacing w:val="0"/>
          <w:sz w:val="32"/>
          <w:szCs w:val="32"/>
          <w:highlight w:val="none"/>
        </w:rPr>
        <w:t>构建公共服务体系，拓宽法律援助渠道。一是坚持应援</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尽援。简化法律援助审批手续，扩大法律援助覆盖面，对低保人员、80周岁以上老年人、残疾人、未成年人、农民工等申请法律援助免予经济状况审查；二是为社区</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居民</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出具相关证明，</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协助其</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申请法律援助</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，使当事人</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及患病儿子</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获得</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扶养费</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每月</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4000元</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三是为社区无家可归人员积极协调社区公益律师进行法律援助</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并为其申请低保，最终得以</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在</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敬老院养老。</w:t>
      </w:r>
    </w:p>
    <w:p>
      <w:pPr>
        <w:keepNext w:val="0"/>
        <w:keepLines w:val="0"/>
        <w:pageBreakBefore w:val="0"/>
        <w:widowControl w:val="0"/>
        <w:pBdr>
          <w:bottom w:val="single" w:color="FFFFFF" w:sz="4" w:space="31"/>
        </w:pBdr>
        <w:kinsoku/>
        <w:wordWrap/>
        <w:overflowPunct/>
        <w:topLinePunct/>
        <w:autoSpaceDE w:val="0"/>
        <w:autoSpaceDN/>
        <w:bidi w:val="0"/>
        <w:adjustRightInd w:val="0"/>
        <w:spacing w:line="560" w:lineRule="exact"/>
        <w:ind w:left="0" w:leftChars="0" w:right="0" w:rightChars="0" w:firstLine="640" w:firstLineChars="200"/>
        <w:rPr>
          <w:rFonts w:hint="default" w:ascii="Times New Roman" w:hAnsi="Times New Roman" w:eastAsia="楷体_GB2312" w:cs="Times New Roman"/>
          <w:color w:val="000000"/>
          <w:spacing w:val="0"/>
          <w:sz w:val="32"/>
          <w:szCs w:val="32"/>
          <w:highlight w:val="none"/>
          <w:lang w:val="en-US" w:eastAsia="zh-CN"/>
        </w:rPr>
      </w:pPr>
      <w:r>
        <w:rPr>
          <w:rFonts w:hint="default" w:ascii="Times New Roman" w:hAnsi="Times New Roman" w:eastAsia="楷体_GB2312" w:cs="Times New Roman"/>
          <w:color w:val="000000"/>
          <w:spacing w:val="0"/>
          <w:sz w:val="32"/>
          <w:szCs w:val="32"/>
          <w:highlight w:val="none"/>
          <w:lang w:val="en-US" w:eastAsia="zh-CN"/>
        </w:rPr>
        <w:t>（八）加强对法治政府建设的统筹协调</w:t>
      </w:r>
    </w:p>
    <w:p>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val="0"/>
        <w:spacing w:line="560" w:lineRule="exact"/>
        <w:ind w:left="0" w:leftChars="0" w:right="0" w:rightChars="0" w:firstLine="640" w:firstLineChars="200"/>
        <w:rPr>
          <w:rFonts w:hint="default" w:ascii="Times New Roman" w:hAnsi="Times New Roman" w:eastAsia="仿宋_GB2312" w:cs="Times New Roman"/>
          <w:i w:val="0"/>
          <w:caps w:val="0"/>
          <w:color w:val="222222"/>
          <w:spacing w:val="0"/>
          <w:sz w:val="32"/>
          <w:szCs w:val="32"/>
          <w:highlight w:val="none"/>
          <w:shd w:val="clear" w:fill="FFFFFF"/>
          <w:lang w:val="en-US" w:eastAsia="zh-CN"/>
        </w:rPr>
      </w:pPr>
      <w:r>
        <w:rPr>
          <w:rFonts w:hint="default" w:ascii="Times New Roman" w:hAnsi="Times New Roman" w:eastAsia="仿宋_GB2312" w:cs="Times New Roman"/>
          <w:spacing w:val="0"/>
          <w:kern w:val="2"/>
          <w:sz w:val="32"/>
          <w:szCs w:val="32"/>
          <w:highlight w:val="none"/>
        </w:rPr>
        <w:t>着力提升基层依法行政能力。</w:t>
      </w:r>
      <w:r>
        <w:rPr>
          <w:rFonts w:hint="default" w:ascii="Times New Roman" w:hAnsi="Times New Roman" w:eastAsia="仿宋_GB2312" w:cs="Times New Roman"/>
          <w:spacing w:val="0"/>
          <w:kern w:val="2"/>
          <w:sz w:val="32"/>
          <w:szCs w:val="32"/>
          <w:highlight w:val="none"/>
          <w:lang w:val="en-US" w:eastAsia="zh-CN" w:bidi="ar-SA"/>
        </w:rPr>
        <w:t>组织14名新提职领导干部和入职人员参加学法用法考试，着力提升工作人员法治素养和依法行政能力，深入推进法治实践，不断提高社会治理法治化水平。</w:t>
      </w:r>
      <w:r>
        <w:rPr>
          <w:rFonts w:hint="default" w:ascii="Times New Roman" w:hAnsi="Times New Roman" w:eastAsia="仿宋_GB2312" w:cs="Times New Roman"/>
          <w:i w:val="0"/>
          <w:caps w:val="0"/>
          <w:color w:val="222222"/>
          <w:spacing w:val="0"/>
          <w:sz w:val="32"/>
          <w:szCs w:val="32"/>
          <w:highlight w:val="none"/>
          <w:shd w:val="clear" w:fill="FFFFFF"/>
          <w:lang w:eastAsia="zh-CN"/>
        </w:rPr>
        <w:t>开展“学法用法 依法行政”法律知识竞赛活动，</w:t>
      </w:r>
      <w:r>
        <w:rPr>
          <w:rFonts w:hint="default" w:ascii="Times New Roman" w:hAnsi="Times New Roman" w:eastAsia="仿宋_GB2312" w:cs="Times New Roman"/>
          <w:i w:val="0"/>
          <w:caps w:val="0"/>
          <w:color w:val="222222"/>
          <w:spacing w:val="0"/>
          <w:sz w:val="32"/>
          <w:szCs w:val="32"/>
          <w:highlight w:val="none"/>
          <w:shd w:val="clear" w:fill="FFFFFF"/>
          <w:lang w:val="en-US" w:eastAsia="zh-CN"/>
        </w:rPr>
        <w:t>使交道口街道</w:t>
      </w:r>
      <w:r>
        <w:rPr>
          <w:rFonts w:hint="default" w:ascii="Times New Roman" w:hAnsi="Times New Roman" w:eastAsia="仿宋_GB2312" w:cs="Times New Roman"/>
          <w:i w:val="0"/>
          <w:caps w:val="0"/>
          <w:color w:val="222222"/>
          <w:spacing w:val="0"/>
          <w:sz w:val="32"/>
          <w:szCs w:val="32"/>
          <w:highlight w:val="none"/>
          <w:shd w:val="clear" w:fill="FFFFFF"/>
          <w:lang w:eastAsia="zh-CN"/>
        </w:rPr>
        <w:t>机关事业单位人员</w:t>
      </w:r>
      <w:r>
        <w:rPr>
          <w:rFonts w:hint="default" w:ascii="Times New Roman" w:hAnsi="Times New Roman" w:eastAsia="仿宋_GB2312" w:cs="Times New Roman"/>
          <w:i w:val="0"/>
          <w:caps w:val="0"/>
          <w:color w:val="222222"/>
          <w:spacing w:val="0"/>
          <w:sz w:val="32"/>
          <w:szCs w:val="32"/>
          <w:highlight w:val="none"/>
          <w:shd w:val="clear" w:fill="FFFFFF"/>
          <w:lang w:val="en-US" w:eastAsia="zh-CN"/>
        </w:rPr>
        <w:t>牢固树立依法行政的工作理念，着力提高法治意识、夯实法治基础，提升法治素养、锤炼法治能力，坚持不懈推动执法规范化建设，进一步打造法治政府建设。</w:t>
      </w:r>
    </w:p>
    <w:p>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val="0"/>
        <w:spacing w:line="560" w:lineRule="exact"/>
        <w:ind w:left="0" w:leftChars="0" w:right="0" w:rightChars="0" w:firstLine="640" w:firstLineChars="200"/>
        <w:rPr>
          <w:rFonts w:hint="default" w:ascii="Times New Roman" w:hAnsi="Times New Roman" w:eastAsia="仿宋_GB2312" w:cs="Times New Roman"/>
          <w:i w:val="0"/>
          <w:caps w:val="0"/>
          <w:color w:val="222222"/>
          <w:spacing w:val="0"/>
          <w:sz w:val="32"/>
          <w:szCs w:val="32"/>
          <w:highlight w:val="none"/>
          <w:shd w:val="clear" w:fill="FFFFFF"/>
          <w:lang w:val="en-US" w:eastAsia="zh-CN"/>
        </w:rPr>
      </w:pPr>
      <w:r>
        <w:rPr>
          <w:rFonts w:hint="default" w:ascii="Times New Roman" w:hAnsi="Times New Roman" w:eastAsia="仿宋_GB2312" w:cs="Times New Roman"/>
          <w:spacing w:val="0"/>
          <w:kern w:val="2"/>
          <w:sz w:val="32"/>
          <w:szCs w:val="32"/>
          <w:highlight w:val="none"/>
        </w:rPr>
        <w:t>持续加强司法所建设。</w:t>
      </w:r>
      <w:r>
        <w:rPr>
          <w:rFonts w:hint="default" w:ascii="Times New Roman" w:hAnsi="Times New Roman" w:eastAsia="仿宋_GB2312" w:cs="Times New Roman"/>
          <w:i w:val="0"/>
          <w:caps w:val="0"/>
          <w:color w:val="222222"/>
          <w:spacing w:val="0"/>
          <w:sz w:val="32"/>
          <w:szCs w:val="32"/>
          <w:highlight w:val="none"/>
          <w:shd w:val="clear" w:fill="FFFFFF"/>
          <w:lang w:val="en-US" w:eastAsia="zh-CN"/>
        </w:rPr>
        <w:t>交道口街道本年度招录1名有法律专业背景和具有国家统一法律执业资格证的人员，专人专岗负责法治工作。组织开展各种业务培训，对年轻工作人员进行“传帮带”，提高司法队伍自身素质、业务知识和实际操作能力，做到人人敢于担当、履职尽责，着力提升工作人员法治素养和依法行政能力，深入推进法治实践，不断提高社会治理法治化水平。</w:t>
      </w:r>
    </w:p>
    <w:p>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val="0"/>
        <w:spacing w:line="560" w:lineRule="exact"/>
        <w:ind w:left="0" w:leftChars="0" w:right="0" w:rightChars="0" w:firstLine="640" w:firstLineChars="200"/>
        <w:rPr>
          <w:rFonts w:hint="default" w:ascii="Times New Roman" w:hAnsi="Times New Roman" w:eastAsia="黑体" w:cs="Times New Roman"/>
          <w:spacing w:val="0"/>
          <w:kern w:val="0"/>
          <w:sz w:val="32"/>
          <w:szCs w:val="32"/>
          <w:highlight w:val="none"/>
        </w:rPr>
      </w:pPr>
      <w:r>
        <w:rPr>
          <w:rFonts w:hint="default" w:ascii="Times New Roman" w:hAnsi="Times New Roman" w:eastAsia="黑体" w:cs="Times New Roman"/>
          <w:spacing w:val="0"/>
          <w:kern w:val="0"/>
          <w:sz w:val="32"/>
          <w:szCs w:val="32"/>
          <w:highlight w:val="none"/>
        </w:rPr>
        <w:t>二、202</w:t>
      </w:r>
      <w:r>
        <w:rPr>
          <w:rFonts w:hint="default" w:ascii="Times New Roman" w:hAnsi="Times New Roman" w:eastAsia="黑体" w:cs="Times New Roman"/>
          <w:spacing w:val="0"/>
          <w:kern w:val="0"/>
          <w:sz w:val="32"/>
          <w:szCs w:val="32"/>
          <w:highlight w:val="none"/>
          <w:lang w:val="en-US" w:eastAsia="zh-CN"/>
        </w:rPr>
        <w:t>3</w:t>
      </w:r>
      <w:r>
        <w:rPr>
          <w:rFonts w:hint="default" w:ascii="Times New Roman" w:hAnsi="Times New Roman" w:eastAsia="黑体" w:cs="Times New Roman"/>
          <w:spacing w:val="0"/>
          <w:kern w:val="0"/>
          <w:sz w:val="32"/>
          <w:szCs w:val="32"/>
          <w:highlight w:val="none"/>
        </w:rPr>
        <w:t>年度推进</w:t>
      </w:r>
      <w:bookmarkStart w:id="0" w:name="OLE_LINK14"/>
      <w:bookmarkStart w:id="1" w:name="OLE_LINK13"/>
      <w:r>
        <w:rPr>
          <w:rFonts w:hint="default" w:ascii="Times New Roman" w:hAnsi="Times New Roman" w:eastAsia="黑体" w:cs="Times New Roman"/>
          <w:spacing w:val="0"/>
          <w:kern w:val="0"/>
          <w:sz w:val="32"/>
          <w:szCs w:val="32"/>
          <w:highlight w:val="none"/>
        </w:rPr>
        <w:t>法治政府建设存在的不足和原因</w:t>
      </w:r>
      <w:bookmarkEnd w:id="0"/>
      <w:bookmarkEnd w:id="1"/>
    </w:p>
    <w:p>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val="0"/>
        <w:spacing w:line="560" w:lineRule="exact"/>
        <w:ind w:left="0" w:leftChars="0" w:right="0" w:rightChars="0" w:firstLine="640" w:firstLineChars="200"/>
        <w:rPr>
          <w:rFonts w:hint="default" w:ascii="Times New Roman" w:hAnsi="Times New Roman" w:eastAsia="方正楷体_GB2312" w:cs="Times New Roman"/>
          <w:i w:val="0"/>
          <w:caps w:val="0"/>
          <w:color w:val="222222"/>
          <w:spacing w:val="0"/>
          <w:sz w:val="32"/>
          <w:szCs w:val="32"/>
          <w:highlight w:val="none"/>
          <w:shd w:val="clear" w:fill="FFFFFF"/>
          <w:lang w:val="en-US" w:eastAsia="zh-CN"/>
        </w:rPr>
      </w:pPr>
      <w:r>
        <w:rPr>
          <w:rFonts w:hint="default" w:ascii="Times New Roman" w:hAnsi="Times New Roman" w:eastAsia="楷体_GB2312" w:cs="Times New Roman"/>
          <w:color w:val="000000"/>
          <w:spacing w:val="0"/>
          <w:sz w:val="32"/>
          <w:szCs w:val="32"/>
          <w:highlight w:val="none"/>
          <w:lang w:val="en-US" w:eastAsia="zh-CN"/>
        </w:rPr>
        <w:t>（一）行政执法水平有待进一步提高</w:t>
      </w:r>
    </w:p>
    <w:p>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val="0"/>
        <w:spacing w:line="560" w:lineRule="exact"/>
        <w:ind w:left="0" w:leftChars="0" w:right="0" w:rightChars="0" w:firstLine="640" w:firstLineChars="200"/>
        <w:rPr>
          <w:rFonts w:hint="default" w:ascii="Times New Roman" w:hAnsi="Times New Roman" w:eastAsia="仿宋_GB2312" w:cs="Times New Roman"/>
          <w:i w:val="0"/>
          <w:caps w:val="0"/>
          <w:color w:val="222222"/>
          <w:spacing w:val="0"/>
          <w:sz w:val="32"/>
          <w:szCs w:val="32"/>
          <w:highlight w:val="none"/>
          <w:shd w:val="clear" w:fill="FFFFFF"/>
          <w:lang w:val="en-US" w:eastAsia="zh-CN"/>
        </w:rPr>
      </w:pPr>
      <w:r>
        <w:rPr>
          <w:rFonts w:hint="default" w:ascii="Times New Roman" w:hAnsi="Times New Roman" w:eastAsia="仿宋_GB2312" w:cs="Times New Roman"/>
          <w:i w:val="0"/>
          <w:caps w:val="0"/>
          <w:color w:val="222222"/>
          <w:spacing w:val="0"/>
          <w:sz w:val="32"/>
          <w:szCs w:val="32"/>
          <w:highlight w:val="none"/>
          <w:shd w:val="clear" w:fill="FFFFFF"/>
          <w:lang w:val="en-US" w:eastAsia="zh-CN"/>
        </w:rPr>
        <w:t>机构改革后，大量执法权限下放，街道在“放得下、接得住、管得好”方面存在较大压力，相关专业人才的储备不够，从事相关工作的人员对法律法规及政策文件理解不够透彻，年轻执法队员没有经过系统的培训，对工作流程不够熟悉，在执法办案经验、水平和能力方面差距较大，需要进一步加强专项培训。</w:t>
      </w:r>
    </w:p>
    <w:p>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val="0"/>
        <w:spacing w:line="560" w:lineRule="exact"/>
        <w:ind w:left="0" w:leftChars="0" w:right="0" w:rightChars="0" w:firstLine="640" w:firstLineChars="200"/>
        <w:rPr>
          <w:rFonts w:hint="default" w:ascii="Times New Roman" w:hAnsi="Times New Roman" w:eastAsia="楷体_GB2312" w:cs="Times New Roman"/>
          <w:color w:val="000000"/>
          <w:spacing w:val="0"/>
          <w:sz w:val="32"/>
          <w:szCs w:val="32"/>
          <w:highlight w:val="none"/>
          <w:lang w:val="en-US" w:eastAsia="zh-CN"/>
        </w:rPr>
      </w:pPr>
      <w:r>
        <w:rPr>
          <w:rFonts w:hint="default" w:ascii="Times New Roman" w:hAnsi="Times New Roman" w:eastAsia="楷体_GB2312" w:cs="Times New Roman"/>
          <w:color w:val="000000"/>
          <w:spacing w:val="0"/>
          <w:sz w:val="32"/>
          <w:szCs w:val="32"/>
          <w:highlight w:val="none"/>
          <w:lang w:val="en-US" w:eastAsia="zh-CN"/>
        </w:rPr>
        <w:t>（二）依法行政重要性的宣传力度有待进一步加强</w:t>
      </w:r>
    </w:p>
    <w:p>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val="0"/>
        <w:spacing w:line="560" w:lineRule="exact"/>
        <w:ind w:left="0" w:leftChars="0" w:right="0" w:rightChars="0" w:firstLine="640" w:firstLineChars="200"/>
        <w:rPr>
          <w:rFonts w:hint="default" w:ascii="Times New Roman" w:hAnsi="Times New Roman" w:eastAsia="仿宋_GB2312" w:cs="Times New Roman"/>
          <w:i w:val="0"/>
          <w:caps w:val="0"/>
          <w:color w:val="222222"/>
          <w:spacing w:val="0"/>
          <w:sz w:val="32"/>
          <w:szCs w:val="32"/>
          <w:highlight w:val="none"/>
          <w:shd w:val="clear" w:fill="FFFFFF"/>
          <w:lang w:val="en-US" w:eastAsia="zh-CN"/>
        </w:rPr>
      </w:pPr>
      <w:r>
        <w:rPr>
          <w:rFonts w:hint="default" w:ascii="Times New Roman" w:hAnsi="Times New Roman" w:eastAsia="仿宋_GB2312" w:cs="Times New Roman"/>
          <w:i w:val="0"/>
          <w:caps w:val="0"/>
          <w:color w:val="222222"/>
          <w:spacing w:val="0"/>
          <w:sz w:val="32"/>
          <w:szCs w:val="32"/>
          <w:highlight w:val="none"/>
          <w:shd w:val="clear" w:fill="FFFFFF"/>
          <w:lang w:val="en-US" w:eastAsia="zh-CN"/>
        </w:rPr>
        <w:t>个别干部职工对法治政府建设的重要性和必要性认识不足，依法行政意识不强，运用法治思维方法解决矛盾问题的能力和水平有待提高，依法行政、法治意识及全局意识还需要进一步提升。</w:t>
      </w:r>
    </w:p>
    <w:p>
      <w:pPr>
        <w:keepNext w:val="0"/>
        <w:keepLines w:val="0"/>
        <w:pageBreakBefore w:val="0"/>
        <w:widowControl w:val="0"/>
        <w:numPr>
          <w:ilvl w:val="0"/>
          <w:numId w:val="1"/>
        </w:numPr>
        <w:pBdr>
          <w:bottom w:val="single" w:color="FFFFFF" w:sz="4" w:space="31"/>
        </w:pBdr>
        <w:kinsoku/>
        <w:wordWrap/>
        <w:overflowPunct/>
        <w:topLinePunct/>
        <w:autoSpaceDE w:val="0"/>
        <w:autoSpaceDN/>
        <w:bidi w:val="0"/>
        <w:adjustRightInd w:val="0"/>
        <w:spacing w:line="560" w:lineRule="exact"/>
        <w:ind w:left="0" w:leftChars="0" w:right="0" w:rightChars="0" w:firstLine="640" w:firstLineChars="200"/>
        <w:rPr>
          <w:rFonts w:hint="default" w:ascii="Times New Roman" w:hAnsi="Times New Roman" w:eastAsia="仿宋_GB2312" w:cs="Times New Roman"/>
          <w:i w:val="0"/>
          <w:caps w:val="0"/>
          <w:color w:val="222222"/>
          <w:spacing w:val="0"/>
          <w:sz w:val="32"/>
          <w:szCs w:val="32"/>
          <w:highlight w:val="none"/>
          <w:shd w:val="clear" w:fill="FFFFFF"/>
          <w:lang w:val="en-US" w:eastAsia="zh-CN"/>
        </w:rPr>
      </w:pPr>
      <w:r>
        <w:rPr>
          <w:rFonts w:hint="default" w:ascii="Times New Roman" w:hAnsi="Times New Roman" w:eastAsia="楷体_GB2312" w:cs="Times New Roman"/>
          <w:color w:val="000000"/>
          <w:spacing w:val="0"/>
          <w:sz w:val="32"/>
          <w:szCs w:val="32"/>
          <w:highlight w:val="none"/>
          <w:lang w:val="en-US" w:eastAsia="zh-CN"/>
        </w:rPr>
        <w:t>法治宣传力度有待加强</w:t>
      </w:r>
    </w:p>
    <w:p>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val="0"/>
        <w:snapToGrid/>
        <w:spacing w:line="560" w:lineRule="exact"/>
        <w:ind w:right="0" w:rightChars="0" w:firstLine="640" w:firstLineChars="200"/>
        <w:textAlignment w:val="auto"/>
        <w:rPr>
          <w:rFonts w:hint="default" w:ascii="Times New Roman" w:hAnsi="Times New Roman" w:eastAsia="仿宋_GB2312" w:cs="Times New Roman"/>
          <w:i w:val="0"/>
          <w:caps w:val="0"/>
          <w:color w:val="222222"/>
          <w:spacing w:val="0"/>
          <w:sz w:val="32"/>
          <w:szCs w:val="32"/>
          <w:highlight w:val="none"/>
          <w:shd w:val="clear" w:fill="FFFFFF"/>
          <w:lang w:val="en-US" w:eastAsia="zh-CN"/>
        </w:rPr>
      </w:pPr>
      <w:r>
        <w:rPr>
          <w:rFonts w:hint="default" w:ascii="Times New Roman" w:hAnsi="Times New Roman" w:eastAsia="仿宋_GB2312" w:cs="Times New Roman"/>
          <w:i w:val="0"/>
          <w:caps w:val="0"/>
          <w:color w:val="222222"/>
          <w:spacing w:val="0"/>
          <w:sz w:val="32"/>
          <w:szCs w:val="32"/>
          <w:highlight w:val="none"/>
          <w:shd w:val="clear" w:fill="FFFFFF"/>
          <w:lang w:val="en-US" w:eastAsia="zh-CN"/>
        </w:rPr>
        <w:t>法治宣传教育的形式还不够丰富，日常法治宣传的形式比较单一，群众乐意接受、喜闻乐见的普法方式不多，普法内容趣味性不足，法治宣传面不够广，缺乏吸引力和感染力，创新比较少，普法针对性不够，在采用贴近群众生活、喜闻乐见的宣传形式上需进一步提升。</w:t>
      </w:r>
    </w:p>
    <w:p>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val="0"/>
        <w:spacing w:line="560" w:lineRule="exact"/>
        <w:ind w:right="0" w:rightChars="0" w:firstLine="640" w:firstLineChars="200"/>
        <w:rPr>
          <w:rFonts w:hint="default" w:ascii="Times New Roman" w:hAnsi="Times New Roman" w:eastAsia="黑体" w:cs="Times New Roman"/>
          <w:spacing w:val="0"/>
          <w:kern w:val="0"/>
          <w:sz w:val="32"/>
          <w:szCs w:val="32"/>
          <w:highlight w:val="none"/>
        </w:rPr>
      </w:pPr>
      <w:r>
        <w:rPr>
          <w:rFonts w:hint="default" w:ascii="Times New Roman" w:hAnsi="Times New Roman" w:eastAsia="黑体" w:cs="Times New Roman"/>
          <w:spacing w:val="0"/>
          <w:kern w:val="0"/>
          <w:sz w:val="32"/>
          <w:szCs w:val="32"/>
          <w:highlight w:val="none"/>
        </w:rPr>
        <w:t>三、</w:t>
      </w:r>
      <w:bookmarkStart w:id="2" w:name="OLE_LINK15"/>
      <w:bookmarkStart w:id="3" w:name="OLE_LINK16"/>
      <w:r>
        <w:rPr>
          <w:rFonts w:hint="default" w:ascii="Times New Roman" w:hAnsi="Times New Roman" w:eastAsia="黑体" w:cs="Times New Roman"/>
          <w:spacing w:val="0"/>
          <w:kern w:val="0"/>
          <w:sz w:val="32"/>
          <w:szCs w:val="32"/>
          <w:highlight w:val="none"/>
        </w:rPr>
        <w:t>202</w:t>
      </w:r>
      <w:r>
        <w:rPr>
          <w:rFonts w:hint="default" w:ascii="Times New Roman" w:hAnsi="Times New Roman" w:eastAsia="黑体" w:cs="Times New Roman"/>
          <w:spacing w:val="0"/>
          <w:kern w:val="0"/>
          <w:sz w:val="32"/>
          <w:szCs w:val="32"/>
          <w:highlight w:val="none"/>
          <w:lang w:val="en-US" w:eastAsia="zh-CN"/>
        </w:rPr>
        <w:t>3</w:t>
      </w:r>
      <w:r>
        <w:rPr>
          <w:rFonts w:hint="default" w:ascii="Times New Roman" w:hAnsi="Times New Roman" w:eastAsia="黑体" w:cs="Times New Roman"/>
          <w:spacing w:val="0"/>
          <w:kern w:val="0"/>
          <w:sz w:val="32"/>
          <w:szCs w:val="32"/>
          <w:highlight w:val="none"/>
        </w:rPr>
        <w:t>年度党政主要负责人履行推进法治建设第一责任人职责，加强法治政府建设的有关情况</w:t>
      </w:r>
      <w:bookmarkEnd w:id="2"/>
      <w:bookmarkEnd w:id="3"/>
    </w:p>
    <w:p>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val="0"/>
        <w:spacing w:line="560" w:lineRule="exact"/>
        <w:ind w:left="0" w:leftChars="0" w:right="0" w:rightChars="0" w:firstLine="640" w:firstLineChars="200"/>
        <w:rPr>
          <w:rFonts w:hint="default" w:ascii="Times New Roman" w:hAnsi="Times New Roman" w:eastAsia="楷体_GB2312" w:cs="Times New Roman"/>
          <w:color w:val="000000"/>
          <w:spacing w:val="0"/>
          <w:sz w:val="32"/>
          <w:szCs w:val="32"/>
          <w:highlight w:val="none"/>
          <w:lang w:val="en-US" w:eastAsia="zh-CN"/>
        </w:rPr>
      </w:pPr>
      <w:r>
        <w:rPr>
          <w:rFonts w:hint="default" w:ascii="Times New Roman" w:hAnsi="Times New Roman" w:eastAsia="楷体_GB2312" w:cs="Times New Roman"/>
          <w:color w:val="000000"/>
          <w:spacing w:val="0"/>
          <w:sz w:val="32"/>
          <w:szCs w:val="32"/>
          <w:highlight w:val="none"/>
          <w:lang w:val="en-US" w:eastAsia="zh-CN"/>
        </w:rPr>
        <w:t>（一）以习近平新时代中国特色社会主义思想为指导，全面贯彻党的二十大精神，深入学习贯彻习近平法治思想</w:t>
      </w:r>
    </w:p>
    <w:p>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val="0"/>
        <w:spacing w:line="560" w:lineRule="exact"/>
        <w:ind w:left="0" w:leftChars="0" w:right="0" w:rightChars="0" w:firstLine="640" w:firstLineChars="200"/>
        <w:rPr>
          <w:rFonts w:hint="default" w:ascii="Times New Roman" w:hAnsi="Times New Roman" w:eastAsia="仿宋_GB2312" w:cs="Times New Roman"/>
          <w:color w:val="000000"/>
          <w:spacing w:val="0"/>
          <w:sz w:val="32"/>
          <w:szCs w:val="32"/>
          <w:highlight w:val="none"/>
          <w:shd w:val="clear" w:color="auto" w:fill="FFFFFF"/>
        </w:rPr>
      </w:pPr>
      <w:r>
        <w:rPr>
          <w:rFonts w:hint="default" w:ascii="Times New Roman" w:hAnsi="Times New Roman" w:eastAsia="仿宋_GB2312" w:cs="Times New Roman"/>
          <w:color w:val="000000"/>
          <w:spacing w:val="0"/>
          <w:sz w:val="32"/>
          <w:szCs w:val="32"/>
          <w:highlight w:val="none"/>
          <w:shd w:val="clear" w:color="auto" w:fill="FFFFFF"/>
          <w:lang w:val="en-US" w:eastAsia="zh-CN"/>
        </w:rPr>
        <w:t>交道口</w:t>
      </w:r>
      <w:r>
        <w:rPr>
          <w:rFonts w:hint="default" w:ascii="Times New Roman" w:hAnsi="Times New Roman" w:eastAsia="仿宋_GB2312" w:cs="Times New Roman"/>
          <w:color w:val="000000"/>
          <w:spacing w:val="0"/>
          <w:sz w:val="32"/>
          <w:szCs w:val="32"/>
          <w:highlight w:val="none"/>
          <w:shd w:val="clear" w:color="auto" w:fill="FFFFFF"/>
        </w:rPr>
        <w:t>街道健全完善法治建设领导体制，切实发挥法治政府建设领导小组和办公室职能作用，推动党政主要负责同志扛起法治建设第一责任人职责，加强对法治建设的统筹谋划、组织推动，严格落实</w:t>
      </w:r>
      <w:r>
        <w:rPr>
          <w:rFonts w:hint="default" w:ascii="Times New Roman" w:hAnsi="Times New Roman" w:eastAsia="仿宋_GB2312" w:cs="Times New Roman"/>
          <w:color w:val="000000"/>
          <w:spacing w:val="0"/>
          <w:sz w:val="32"/>
          <w:szCs w:val="32"/>
          <w:highlight w:val="none"/>
          <w:shd w:val="clear" w:color="auto" w:fill="FFFFFF"/>
          <w:lang w:eastAsia="zh-CN"/>
        </w:rPr>
        <w:t>市、区</w:t>
      </w:r>
      <w:r>
        <w:rPr>
          <w:rFonts w:hint="default" w:ascii="Times New Roman" w:hAnsi="Times New Roman" w:eastAsia="仿宋_GB2312" w:cs="Times New Roman"/>
          <w:color w:val="000000"/>
          <w:spacing w:val="0"/>
          <w:sz w:val="32"/>
          <w:szCs w:val="32"/>
          <w:highlight w:val="none"/>
          <w:shd w:val="clear" w:color="auto" w:fill="FFFFFF"/>
        </w:rPr>
        <w:t>关于街道的工作部署要求，推动基层社会治理，持续优化法治化营商环境。认真落实“谁执法谁普法”普法责任制，大力实施社区“法律明白人”培养工程，引导群众办事依法、遇事找法、解决问题用法、化解矛盾靠法。街道党工委将</w:t>
      </w:r>
      <w:r>
        <w:rPr>
          <w:rFonts w:hint="default" w:ascii="Times New Roman" w:hAnsi="Times New Roman" w:eastAsia="仿宋_GB2312" w:cs="Times New Roman"/>
          <w:color w:val="000000"/>
          <w:spacing w:val="0"/>
          <w:sz w:val="32"/>
          <w:szCs w:val="32"/>
          <w:highlight w:val="none"/>
          <w:shd w:val="clear" w:color="auto" w:fill="FFFFFF"/>
          <w:lang w:eastAsia="zh-CN"/>
        </w:rPr>
        <w:t>学习习近平法治思想</w:t>
      </w:r>
      <w:r>
        <w:rPr>
          <w:rFonts w:hint="default" w:ascii="Times New Roman" w:hAnsi="Times New Roman" w:eastAsia="仿宋_GB2312" w:cs="Times New Roman"/>
          <w:color w:val="000000"/>
          <w:spacing w:val="0"/>
          <w:sz w:val="32"/>
          <w:szCs w:val="32"/>
          <w:highlight w:val="none"/>
          <w:shd w:val="clear" w:color="auto" w:fill="FFFFFF"/>
        </w:rPr>
        <w:t>纳入</w:t>
      </w:r>
      <w:r>
        <w:rPr>
          <w:rFonts w:hint="eastAsia" w:eastAsia="仿宋_GB2312" w:cs="Times New Roman"/>
          <w:color w:val="000000"/>
          <w:spacing w:val="0"/>
          <w:sz w:val="32"/>
          <w:szCs w:val="32"/>
          <w:highlight w:val="none"/>
          <w:shd w:val="clear" w:color="auto" w:fill="FFFFFF"/>
          <w:lang w:eastAsia="zh-CN"/>
        </w:rPr>
        <w:t>理论学习中心组</w:t>
      </w:r>
      <w:r>
        <w:rPr>
          <w:rFonts w:hint="default" w:ascii="Times New Roman" w:hAnsi="Times New Roman" w:eastAsia="仿宋_GB2312" w:cs="Times New Roman"/>
          <w:color w:val="000000"/>
          <w:spacing w:val="0"/>
          <w:sz w:val="32"/>
          <w:szCs w:val="32"/>
          <w:highlight w:val="none"/>
          <w:shd w:val="clear" w:color="auto" w:fill="FFFFFF"/>
        </w:rPr>
        <w:t>的重要内容，作为意识形态领域的重要课程。领导班子带头学习习近平法治思想，带头开展学法活动，深入学习领会习近平法治思想的丰富内涵、精神实质和实践要求。开展党员干部集中轮训、集中观看反腐倡廉警示教育片，引导广大党员干部在学用党内法规上真学细学、真知深知，进一步强化责任意识、使命意识、担当意识。</w:t>
      </w:r>
    </w:p>
    <w:p>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val="0"/>
        <w:snapToGrid/>
        <w:spacing w:line="560" w:lineRule="exact"/>
        <w:ind w:leftChars="0" w:right="0" w:rightChars="0" w:firstLine="640" w:firstLineChars="200"/>
        <w:textAlignment w:val="auto"/>
        <w:rPr>
          <w:rFonts w:hint="default" w:ascii="Times New Roman" w:hAnsi="Times New Roman" w:eastAsia="仿宋_GB2312" w:cs="Times New Roman"/>
          <w:spacing w:val="0"/>
          <w:kern w:val="2"/>
          <w:sz w:val="32"/>
          <w:szCs w:val="32"/>
          <w:highlight w:val="none"/>
          <w:shd w:val="clear" w:color="auto" w:fill="FFFFFF"/>
        </w:rPr>
      </w:pPr>
      <w:r>
        <w:rPr>
          <w:rFonts w:hint="default" w:ascii="Times New Roman" w:hAnsi="Times New Roman" w:eastAsia="楷体_GB2312" w:cs="Times New Roman"/>
          <w:color w:val="000000"/>
          <w:spacing w:val="0"/>
          <w:sz w:val="32"/>
          <w:szCs w:val="32"/>
          <w:highlight w:val="none"/>
          <w:lang w:val="en-US" w:eastAsia="zh-CN"/>
        </w:rPr>
        <w:t>（二）认真落实党中央、国务院、市、区关于法治建设的各项决策部署，扎实推进法治政府建设各项工作</w:t>
      </w:r>
    </w:p>
    <w:p>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val="0"/>
        <w:snapToGrid/>
        <w:spacing w:line="560" w:lineRule="exact"/>
        <w:ind w:right="0" w:rightChars="0" w:firstLine="640" w:firstLineChars="200"/>
        <w:textAlignment w:val="auto"/>
        <w:rPr>
          <w:rFonts w:hint="default" w:ascii="Times New Roman" w:hAnsi="Times New Roman" w:eastAsia="仿宋_GB2312" w:cs="Times New Roman"/>
          <w:i w:val="0"/>
          <w:caps w:val="0"/>
          <w:color w:val="222222"/>
          <w:spacing w:val="0"/>
          <w:sz w:val="32"/>
          <w:szCs w:val="32"/>
          <w:highlight w:val="none"/>
          <w:shd w:val="clear" w:fill="FFFFFF"/>
          <w:lang w:val="en-US" w:eastAsia="zh-CN"/>
        </w:rPr>
      </w:pPr>
      <w:r>
        <w:rPr>
          <w:rFonts w:hint="default" w:ascii="Times New Roman" w:hAnsi="Times New Roman" w:eastAsia="仿宋_GB2312" w:cs="Times New Roman"/>
          <w:i w:val="0"/>
          <w:caps w:val="0"/>
          <w:color w:val="222222"/>
          <w:spacing w:val="0"/>
          <w:sz w:val="32"/>
          <w:szCs w:val="32"/>
          <w:highlight w:val="none"/>
          <w:shd w:val="clear" w:fill="FFFFFF"/>
          <w:lang w:val="en-US" w:eastAsia="zh-CN"/>
        </w:rPr>
        <w:t>为贯彻落实《中共中央关于全面推进依法治国若干重大问题的决定》、中共中央、国务院《法治政府建设实施纲要(2021-2025年)》的规定，街道党政主要负责人认真履行第一责任人责任，建立领导班子和领导干部述职述廉述法三位一体的考核制度。根据法治政府建设任务的要求，结合街道工作实际，强化组织领导，认真学习文件精神，健全工作制度，落实监督检查，成立普法依法治理领导小组，负责“八五”普法工作，建立行政执法三项制度，定期召开会议，分析研判问题，研究部署落实法治政府建设工作任务，制定落实法治建设工作具体举措，常态化、制度化推进街道法治政府建设工作。将依法行政工作纳入了目标管理考核和机关干部年度考核，激发干部主动学法用法，提高法治政府建设的工作积极性和工作水平。</w:t>
      </w:r>
    </w:p>
    <w:p>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val="0"/>
        <w:spacing w:line="560" w:lineRule="exact"/>
        <w:ind w:left="0" w:leftChars="0" w:right="0" w:rightChars="0" w:firstLine="640" w:firstLineChars="200"/>
        <w:rPr>
          <w:rFonts w:hint="default" w:ascii="Times New Roman" w:hAnsi="Times New Roman" w:eastAsia="黑体" w:cs="Times New Roman"/>
          <w:spacing w:val="0"/>
          <w:sz w:val="32"/>
          <w:szCs w:val="32"/>
          <w:highlight w:val="none"/>
        </w:rPr>
      </w:pPr>
      <w:r>
        <w:rPr>
          <w:rFonts w:hint="default" w:ascii="Times New Roman" w:hAnsi="Times New Roman" w:eastAsia="黑体" w:cs="Times New Roman"/>
          <w:spacing w:val="0"/>
          <w:sz w:val="32"/>
          <w:szCs w:val="32"/>
          <w:highlight w:val="none"/>
        </w:rPr>
        <w:t>四、202</w:t>
      </w:r>
      <w:r>
        <w:rPr>
          <w:rFonts w:hint="default" w:ascii="Times New Roman" w:hAnsi="Times New Roman" w:eastAsia="黑体" w:cs="Times New Roman"/>
          <w:spacing w:val="0"/>
          <w:sz w:val="32"/>
          <w:szCs w:val="32"/>
          <w:highlight w:val="none"/>
          <w:lang w:val="en-US" w:eastAsia="zh-CN"/>
        </w:rPr>
        <w:t>4</w:t>
      </w:r>
      <w:r>
        <w:rPr>
          <w:rFonts w:hint="default" w:ascii="Times New Roman" w:hAnsi="Times New Roman" w:eastAsia="黑体" w:cs="Times New Roman"/>
          <w:spacing w:val="0"/>
          <w:sz w:val="32"/>
          <w:szCs w:val="32"/>
          <w:highlight w:val="none"/>
        </w:rPr>
        <w:t>年度</w:t>
      </w:r>
      <w:bookmarkStart w:id="4" w:name="OLE_LINK21"/>
      <w:bookmarkStart w:id="5" w:name="OLE_LINK22"/>
      <w:r>
        <w:rPr>
          <w:rFonts w:hint="default" w:ascii="Times New Roman" w:hAnsi="Times New Roman" w:eastAsia="黑体" w:cs="Times New Roman"/>
          <w:spacing w:val="0"/>
          <w:sz w:val="32"/>
          <w:szCs w:val="32"/>
          <w:highlight w:val="none"/>
        </w:rPr>
        <w:t>推进法治政府建设的主要安排</w:t>
      </w:r>
      <w:bookmarkEnd w:id="4"/>
      <w:bookmarkEnd w:id="5"/>
    </w:p>
    <w:p>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val="0"/>
        <w:spacing w:line="560" w:lineRule="exact"/>
        <w:ind w:left="0" w:leftChars="0" w:right="0" w:rightChars="0" w:firstLine="640" w:firstLineChars="200"/>
        <w:rPr>
          <w:rFonts w:hint="default" w:ascii="Times New Roman" w:hAnsi="Times New Roman" w:eastAsia="楷体_GB2312" w:cs="Times New Roman"/>
          <w:color w:val="000000"/>
          <w:spacing w:val="0"/>
          <w:sz w:val="32"/>
          <w:szCs w:val="32"/>
          <w:highlight w:val="none"/>
          <w:lang w:val="en-US" w:eastAsia="zh-CN"/>
        </w:rPr>
      </w:pPr>
      <w:r>
        <w:rPr>
          <w:rFonts w:hint="default" w:ascii="Times New Roman" w:hAnsi="Times New Roman" w:eastAsia="楷体_GB2312" w:cs="Times New Roman"/>
          <w:color w:val="000000"/>
          <w:spacing w:val="0"/>
          <w:sz w:val="32"/>
          <w:szCs w:val="32"/>
          <w:highlight w:val="none"/>
          <w:lang w:val="en-US" w:eastAsia="zh-CN"/>
        </w:rPr>
        <w:t>（一）强化队伍建设，提高执法能力</w:t>
      </w:r>
    </w:p>
    <w:p>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val="0"/>
        <w:spacing w:line="560" w:lineRule="exact"/>
        <w:ind w:left="0" w:leftChars="0" w:right="0" w:rightChars="0" w:firstLine="640" w:firstLineChars="200"/>
        <w:rPr>
          <w:rFonts w:hint="default" w:ascii="Times New Roman" w:hAnsi="Times New Roman" w:eastAsia="仿宋_GB2312" w:cs="Times New Roman"/>
          <w:spacing w:val="0"/>
          <w:kern w:val="2"/>
          <w:sz w:val="32"/>
          <w:szCs w:val="32"/>
          <w:highlight w:val="none"/>
          <w:shd w:val="clear" w:color="auto" w:fill="FFFFFF"/>
        </w:rPr>
      </w:pPr>
      <w:r>
        <w:rPr>
          <w:rFonts w:hint="default" w:ascii="Times New Roman" w:hAnsi="Times New Roman" w:eastAsia="仿宋_GB2312" w:cs="Times New Roman"/>
          <w:i w:val="0"/>
          <w:caps w:val="0"/>
          <w:color w:val="222222"/>
          <w:spacing w:val="0"/>
          <w:sz w:val="32"/>
          <w:szCs w:val="32"/>
          <w:highlight w:val="none"/>
          <w:shd w:val="clear" w:fill="FFFFFF"/>
          <w:lang w:val="en-US" w:eastAsia="zh-CN"/>
        </w:rPr>
        <w:t>进一步加强行政执法人员队伍建设，强化依法行政思维及必要的法律知识学习能力，健全行政执法培训制度，完善行政执法程序，规范行政执法行为，开展多种形式的法律法规学习，组织开展执法人员到法院旁听庭审活动，全面提高全体执法人员的法治水平。</w:t>
      </w:r>
    </w:p>
    <w:p>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val="0"/>
        <w:spacing w:line="560" w:lineRule="exact"/>
        <w:ind w:left="0" w:leftChars="0" w:right="0" w:rightChars="0" w:firstLine="640" w:firstLineChars="200"/>
        <w:rPr>
          <w:rFonts w:hint="default" w:ascii="Times New Roman" w:hAnsi="Times New Roman" w:eastAsia="楷体_GB2312" w:cs="Times New Roman"/>
          <w:color w:val="000000"/>
          <w:spacing w:val="0"/>
          <w:sz w:val="32"/>
          <w:szCs w:val="32"/>
          <w:highlight w:val="none"/>
          <w:lang w:val="en-US" w:eastAsia="zh-CN"/>
        </w:rPr>
      </w:pPr>
      <w:r>
        <w:rPr>
          <w:rFonts w:hint="default" w:ascii="Times New Roman" w:hAnsi="Times New Roman" w:eastAsia="楷体_GB2312" w:cs="Times New Roman"/>
          <w:color w:val="000000"/>
          <w:spacing w:val="0"/>
          <w:sz w:val="32"/>
          <w:szCs w:val="32"/>
          <w:highlight w:val="none"/>
          <w:lang w:val="en-US" w:eastAsia="zh-CN"/>
        </w:rPr>
        <w:t>（二）发展“枫桥经验”，化解矛盾纠纷</w:t>
      </w:r>
    </w:p>
    <w:p>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val="0"/>
        <w:spacing w:line="560" w:lineRule="exact"/>
        <w:ind w:left="0" w:leftChars="0" w:right="0" w:rightChars="0" w:firstLine="640" w:firstLineChars="200"/>
        <w:rPr>
          <w:rFonts w:hint="default" w:ascii="Times New Roman" w:hAnsi="Times New Roman" w:eastAsia="仿宋_GB2312" w:cs="Times New Roman"/>
          <w:i w:val="0"/>
          <w:caps w:val="0"/>
          <w:color w:val="222222"/>
          <w:spacing w:val="0"/>
          <w:sz w:val="32"/>
          <w:szCs w:val="32"/>
          <w:highlight w:val="none"/>
          <w:shd w:val="clear" w:fill="FFFFFF"/>
          <w:lang w:val="en-US" w:eastAsia="zh-CN"/>
        </w:rPr>
      </w:pPr>
      <w:r>
        <w:rPr>
          <w:rFonts w:hint="default" w:ascii="Times New Roman" w:hAnsi="Times New Roman" w:eastAsia="仿宋_GB2312" w:cs="Times New Roman"/>
          <w:i w:val="0"/>
          <w:caps w:val="0"/>
          <w:color w:val="222222"/>
          <w:spacing w:val="0"/>
          <w:sz w:val="32"/>
          <w:szCs w:val="32"/>
          <w:highlight w:val="none"/>
          <w:shd w:val="clear" w:fill="FFFFFF"/>
          <w:lang w:val="en-US" w:eastAsia="zh-CN"/>
        </w:rPr>
        <w:t>坚持和发展新时代“枫桥经验”，加强预防性制度建设，完善社会矛盾纠纷多元预防调处化解综合机制。坚持依法化解社会矛盾，探索完善群众诉求表达的渠道，建立健全依法处理信访工作机制，坚持调解优先，调判结合原则，最大限度化解社会矛盾。加强社会治安防控体系建设，维护社会治安良好秩序，建立健全安全生产责任和管理制度体系、隐患风险防控体系，用法治守护人民群众生命财产安全。</w:t>
      </w:r>
    </w:p>
    <w:p>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val="0"/>
        <w:snapToGrid/>
        <w:spacing w:line="560" w:lineRule="exact"/>
        <w:ind w:leftChars="0" w:right="0" w:rightChars="0" w:firstLine="640" w:firstLineChars="200"/>
        <w:textAlignment w:val="auto"/>
        <w:outlineLvl w:val="9"/>
        <w:rPr>
          <w:rFonts w:hint="default" w:ascii="Times New Roman" w:hAnsi="Times New Roman" w:eastAsia="楷体_GB2312" w:cs="Times New Roman"/>
          <w:color w:val="000000"/>
          <w:spacing w:val="0"/>
          <w:sz w:val="32"/>
          <w:szCs w:val="32"/>
          <w:highlight w:val="none"/>
          <w:lang w:val="en-US" w:eastAsia="zh-CN"/>
        </w:rPr>
      </w:pPr>
      <w:r>
        <w:rPr>
          <w:rFonts w:hint="default" w:ascii="Times New Roman" w:hAnsi="Times New Roman" w:eastAsia="楷体_GB2312" w:cs="Times New Roman"/>
          <w:color w:val="000000"/>
          <w:spacing w:val="0"/>
          <w:sz w:val="32"/>
          <w:szCs w:val="32"/>
          <w:highlight w:val="none"/>
          <w:lang w:val="en-US" w:eastAsia="zh-CN"/>
        </w:rPr>
        <w:t>（三）创新法宣形式，丰富普法内涵</w:t>
      </w:r>
    </w:p>
    <w:p>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val="0"/>
        <w:spacing w:line="560" w:lineRule="exact"/>
        <w:ind w:left="0" w:leftChars="0" w:right="0" w:rightChars="0" w:firstLine="640" w:firstLineChars="200"/>
        <w:rPr>
          <w:rFonts w:hint="default" w:ascii="Times New Roman" w:hAnsi="Times New Roman" w:eastAsia="仿宋_GB2312" w:cs="Times New Roman"/>
          <w:i w:val="0"/>
          <w:caps w:val="0"/>
          <w:color w:val="222222"/>
          <w:spacing w:val="0"/>
          <w:sz w:val="32"/>
          <w:szCs w:val="32"/>
          <w:highlight w:val="none"/>
          <w:shd w:val="clear" w:fill="FFFFFF"/>
          <w:lang w:val="en-US" w:eastAsia="zh-CN"/>
        </w:rPr>
      </w:pPr>
      <w:r>
        <w:rPr>
          <w:rFonts w:hint="default" w:ascii="Times New Roman" w:hAnsi="Times New Roman" w:eastAsia="仿宋_GB2312" w:cs="Times New Roman"/>
          <w:i w:val="0"/>
          <w:caps w:val="0"/>
          <w:color w:val="222222"/>
          <w:spacing w:val="0"/>
          <w:sz w:val="32"/>
          <w:szCs w:val="32"/>
          <w:highlight w:val="none"/>
          <w:shd w:val="clear" w:fill="FFFFFF"/>
          <w:lang w:val="en-US" w:eastAsia="zh-CN"/>
        </w:rPr>
        <w:t>全方位推进“八五”普法，做好公民法治素养提升行动试点工作收尾，深入抓好领导干部学法用法，青少年法治教育。充分利用微信群、LED显示屏、海报、横幅等平台渠道广泛宣传法律法规，开展多形式的法治宣传活动，进一步提高工作人员、人民群众法律素质，增强全社会尊重法律、遵守法律的观念和意识，营造良好法治氛围，大力推进法治政府、法治社会建设。</w:t>
      </w:r>
    </w:p>
    <w:p>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val="0"/>
        <w:snapToGrid/>
        <w:spacing w:line="560" w:lineRule="exact"/>
        <w:ind w:left="0" w:leftChars="0" w:right="0" w:rightChars="0" w:firstLine="640" w:firstLineChars="200"/>
        <w:jc w:val="right"/>
        <w:textAlignment w:val="auto"/>
        <w:outlineLvl w:val="9"/>
        <w:rPr>
          <w:rFonts w:hint="default" w:ascii="Times New Roman" w:hAnsi="Times New Roman" w:eastAsia="仿宋_GB2312" w:cs="Times New Roman"/>
          <w:spacing w:val="0"/>
          <w:kern w:val="2"/>
          <w:sz w:val="32"/>
          <w:szCs w:val="32"/>
          <w:highlight w:val="none"/>
          <w:shd w:val="clear" w:color="auto" w:fill="FFFFFF"/>
        </w:rPr>
      </w:pPr>
    </w:p>
    <w:p>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val="0"/>
        <w:snapToGrid/>
        <w:spacing w:line="560" w:lineRule="exact"/>
        <w:ind w:left="0" w:leftChars="0" w:right="0" w:rightChars="0" w:firstLine="640" w:firstLineChars="200"/>
        <w:jc w:val="center"/>
        <w:textAlignment w:val="auto"/>
        <w:outlineLvl w:val="9"/>
        <w:rPr>
          <w:rFonts w:hint="default" w:ascii="Times New Roman" w:hAnsi="Times New Roman" w:eastAsia="仿宋_GB2312" w:cs="Times New Roman"/>
          <w:spacing w:val="0"/>
          <w:kern w:val="2"/>
          <w:sz w:val="32"/>
          <w:szCs w:val="32"/>
          <w:highlight w:val="none"/>
          <w:shd w:val="clear" w:color="auto" w:fill="FFFFFF"/>
          <w:lang w:val="en-US" w:eastAsia="zh-CN"/>
        </w:rPr>
      </w:pPr>
      <w:r>
        <w:rPr>
          <w:rFonts w:hint="default" w:ascii="Times New Roman" w:hAnsi="Times New Roman" w:eastAsia="仿宋_GB2312" w:cs="Times New Roman"/>
          <w:spacing w:val="0"/>
          <w:kern w:val="2"/>
          <w:sz w:val="32"/>
          <w:szCs w:val="32"/>
          <w:highlight w:val="none"/>
          <w:shd w:val="clear" w:color="auto" w:fill="FFFFFF"/>
          <w:lang w:val="en-US" w:eastAsia="zh-CN"/>
        </w:rPr>
        <w:t xml:space="preserve">                              </w:t>
      </w:r>
    </w:p>
    <w:p>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val="0"/>
        <w:snapToGrid/>
        <w:spacing w:line="560" w:lineRule="exact"/>
        <w:ind w:left="0" w:leftChars="0" w:right="0" w:rightChars="0" w:firstLine="640" w:firstLineChars="200"/>
        <w:jc w:val="right"/>
        <w:textAlignment w:val="auto"/>
        <w:outlineLvl w:val="9"/>
        <w:rPr>
          <w:rFonts w:hint="default" w:ascii="Times New Roman" w:hAnsi="Times New Roman" w:eastAsia="仿宋_GB2312" w:cs="Times New Roman"/>
          <w:spacing w:val="0"/>
          <w:kern w:val="2"/>
          <w:sz w:val="32"/>
          <w:szCs w:val="32"/>
          <w:highlight w:val="none"/>
          <w:shd w:val="clear" w:color="auto" w:fill="FFFFFF"/>
          <w:lang w:val="en-US" w:eastAsia="zh-CN"/>
        </w:rPr>
      </w:pPr>
      <w:r>
        <w:rPr>
          <w:rFonts w:hint="default" w:ascii="Times New Roman" w:hAnsi="Times New Roman" w:eastAsia="仿宋_GB2312" w:cs="Times New Roman"/>
          <w:spacing w:val="0"/>
          <w:kern w:val="2"/>
          <w:sz w:val="32"/>
          <w:szCs w:val="32"/>
          <w:highlight w:val="none"/>
          <w:shd w:val="clear" w:color="auto" w:fill="FFFFFF"/>
          <w:lang w:val="en-US" w:eastAsia="zh-CN"/>
        </w:rPr>
        <w:t xml:space="preserve">                             </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678AE8-C354-4A57-83FA-9F6DCDFAA22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embedRegular r:id="rId2" w:fontKey="{CDC8CBD0-BF77-4408-B51C-A8FA17766961}"/>
  </w:font>
  <w:font w:name="仿宋_GB2312">
    <w:panose1 w:val="02010609030101010101"/>
    <w:charset w:val="86"/>
    <w:family w:val="modern"/>
    <w:pitch w:val="default"/>
    <w:sig w:usb0="00000001" w:usb1="080E0000" w:usb2="00000000" w:usb3="00000000" w:csb0="00040000" w:csb1="00000000"/>
    <w:embedRegular r:id="rId3" w:fontKey="{9B514A5A-8338-4814-B7D5-87ECED3DEBD0}"/>
  </w:font>
  <w:font w:name="楷体_GB2312">
    <w:panose1 w:val="02010609030101010101"/>
    <w:charset w:val="86"/>
    <w:family w:val="modern"/>
    <w:pitch w:val="default"/>
    <w:sig w:usb0="00000001" w:usb1="080E0000" w:usb2="00000000" w:usb3="00000000" w:csb0="00040000" w:csb1="00000000"/>
    <w:embedRegular r:id="rId4" w:fontKey="{242ADF52-52CF-451E-88DB-F58F5A5AA5B0}"/>
  </w:font>
  <w:font w:name="方正楷体_GB2312">
    <w:panose1 w:val="02000000000000000000"/>
    <w:charset w:val="86"/>
    <w:family w:val="auto"/>
    <w:pitch w:val="default"/>
    <w:sig w:usb0="A00002BF" w:usb1="184F6CFA" w:usb2="00000012" w:usb3="00000000" w:csb0="00040001" w:csb1="00000000"/>
    <w:embedRegular r:id="rId5" w:fontKey="{540D3A99-F5E2-4B7F-B2E8-2C1DFA7AE14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634DDD"/>
    <w:multiLevelType w:val="singleLevel"/>
    <w:tmpl w:val="F7634DDD"/>
    <w:lvl w:ilvl="0" w:tentative="0">
      <w:start w:val="3"/>
      <w:numFmt w:val="chineseCounting"/>
      <w:suff w:val="nothing"/>
      <w:lvlText w:val="（%1）"/>
      <w:lvlJc w:val="left"/>
      <w:rPr>
        <w:rFonts w:hint="eastAsia" w:ascii="楷体_GB2312" w:hAnsi="楷体_GB2312" w:eastAsia="楷体_GB2312" w:cs="楷体_GB231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BiOGI4MTZhNzk4MGQ1OGVmZWE4MmVhYTY5YTNmMDAifQ=="/>
  </w:docVars>
  <w:rsids>
    <w:rsidRoot w:val="0041709D"/>
    <w:rsid w:val="0000344C"/>
    <w:rsid w:val="00015986"/>
    <w:rsid w:val="0004100F"/>
    <w:rsid w:val="00287E53"/>
    <w:rsid w:val="0029294F"/>
    <w:rsid w:val="002B1F4B"/>
    <w:rsid w:val="0033217E"/>
    <w:rsid w:val="003846AD"/>
    <w:rsid w:val="003A1E03"/>
    <w:rsid w:val="00411459"/>
    <w:rsid w:val="004166B8"/>
    <w:rsid w:val="0041709D"/>
    <w:rsid w:val="00473276"/>
    <w:rsid w:val="00493F02"/>
    <w:rsid w:val="0054087D"/>
    <w:rsid w:val="006B56F5"/>
    <w:rsid w:val="00752B7B"/>
    <w:rsid w:val="007A5B1D"/>
    <w:rsid w:val="007E25ED"/>
    <w:rsid w:val="008B6908"/>
    <w:rsid w:val="009F0031"/>
    <w:rsid w:val="00B24B46"/>
    <w:rsid w:val="00BA74C7"/>
    <w:rsid w:val="00BF63E0"/>
    <w:rsid w:val="00C32C38"/>
    <w:rsid w:val="00CA0A51"/>
    <w:rsid w:val="00CE74D3"/>
    <w:rsid w:val="00D82389"/>
    <w:rsid w:val="00FA21E2"/>
    <w:rsid w:val="01194787"/>
    <w:rsid w:val="07F57825"/>
    <w:rsid w:val="0AA97320"/>
    <w:rsid w:val="0BE76D15"/>
    <w:rsid w:val="0DE1310A"/>
    <w:rsid w:val="0F9E3D97"/>
    <w:rsid w:val="14DF1714"/>
    <w:rsid w:val="16A443A0"/>
    <w:rsid w:val="180C7514"/>
    <w:rsid w:val="19955F8F"/>
    <w:rsid w:val="1A123096"/>
    <w:rsid w:val="1C6E437A"/>
    <w:rsid w:val="22756C1B"/>
    <w:rsid w:val="2447024F"/>
    <w:rsid w:val="257642C2"/>
    <w:rsid w:val="25F2503F"/>
    <w:rsid w:val="2890582D"/>
    <w:rsid w:val="2B317D70"/>
    <w:rsid w:val="2B4B52B0"/>
    <w:rsid w:val="2C38268B"/>
    <w:rsid w:val="2D5D0467"/>
    <w:rsid w:val="2D904BB0"/>
    <w:rsid w:val="2DE958AE"/>
    <w:rsid w:val="2E382D35"/>
    <w:rsid w:val="2EA52A47"/>
    <w:rsid w:val="2F2E71C1"/>
    <w:rsid w:val="308D02EF"/>
    <w:rsid w:val="30D95767"/>
    <w:rsid w:val="31F308AD"/>
    <w:rsid w:val="338A62B2"/>
    <w:rsid w:val="39A6201B"/>
    <w:rsid w:val="3BCE1DDC"/>
    <w:rsid w:val="3BCF1759"/>
    <w:rsid w:val="3D52196C"/>
    <w:rsid w:val="42592863"/>
    <w:rsid w:val="45593E40"/>
    <w:rsid w:val="45AC79E1"/>
    <w:rsid w:val="45C26B3C"/>
    <w:rsid w:val="46C528E6"/>
    <w:rsid w:val="49185E56"/>
    <w:rsid w:val="4A3F6252"/>
    <w:rsid w:val="4C257B6D"/>
    <w:rsid w:val="4E32223D"/>
    <w:rsid w:val="5332744A"/>
    <w:rsid w:val="58A74401"/>
    <w:rsid w:val="5910525B"/>
    <w:rsid w:val="5D065811"/>
    <w:rsid w:val="608F04CF"/>
    <w:rsid w:val="61276BCB"/>
    <w:rsid w:val="677747D1"/>
    <w:rsid w:val="680E7393"/>
    <w:rsid w:val="6A9E3B3B"/>
    <w:rsid w:val="6AE85090"/>
    <w:rsid w:val="6CD37CD9"/>
    <w:rsid w:val="70221418"/>
    <w:rsid w:val="715366D8"/>
    <w:rsid w:val="71843632"/>
    <w:rsid w:val="738B608B"/>
    <w:rsid w:val="74E3798D"/>
    <w:rsid w:val="78911F38"/>
    <w:rsid w:val="79964A94"/>
    <w:rsid w:val="7AA92034"/>
    <w:rsid w:val="7C6267D2"/>
    <w:rsid w:val="7C7E5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14:ligatures w14:val="none"/>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szCs w:val="18"/>
    </w:rPr>
  </w:style>
  <w:style w:type="paragraph" w:styleId="3">
    <w:name w:val="Body Text"/>
    <w:basedOn w:val="1"/>
    <w:next w:val="4"/>
    <w:link w:val="10"/>
    <w:unhideWhenUsed/>
    <w:qFormat/>
    <w:uiPriority w:val="99"/>
    <w:rPr>
      <w:rFonts w:ascii="Calibri" w:hAnsi="Calibri"/>
    </w:rPr>
  </w:style>
  <w:style w:type="paragraph" w:customStyle="1" w:styleId="4">
    <w:name w:val="目录 11"/>
    <w:next w:val="1"/>
    <w:qFormat/>
    <w:uiPriority w:val="0"/>
    <w:pPr>
      <w:wordWrap w:val="0"/>
      <w:jc w:val="both"/>
    </w:pPr>
    <w:rPr>
      <w:rFonts w:ascii="Calibri" w:hAnsi="Calibri" w:eastAsia="宋体" w:cs="Calibri"/>
      <w:sz w:val="21"/>
      <w:szCs w:val="22"/>
      <w:lang w:val="en-US" w:eastAsia="zh-CN" w:bidi="ar-SA"/>
    </w:rPr>
  </w:style>
  <w:style w:type="paragraph" w:styleId="5">
    <w:name w:val="toc 3"/>
    <w:basedOn w:val="1"/>
    <w:next w:val="1"/>
    <w:unhideWhenUsed/>
    <w:qFormat/>
    <w:uiPriority w:val="39"/>
    <w:pPr>
      <w:spacing w:before="100" w:beforeAutospacing="1" w:after="100" w:afterAutospacing="1"/>
      <w:ind w:left="420"/>
    </w:pPr>
    <w:rPr>
      <w:rFonts w:ascii="等线" w:hAnsi="等线" w:eastAsia="等线"/>
      <w:bCs/>
      <w:sz w:val="30"/>
      <w:szCs w:val="30"/>
    </w:rPr>
  </w:style>
  <w:style w:type="paragraph" w:styleId="6">
    <w:name w:val="Normal (Web)"/>
    <w:basedOn w:val="1"/>
    <w:unhideWhenUsed/>
    <w:qFormat/>
    <w:uiPriority w:val="99"/>
    <w:pPr>
      <w:spacing w:before="100" w:beforeAutospacing="1" w:after="100" w:afterAutospacing="1"/>
      <w:jc w:val="left"/>
    </w:pPr>
    <w:rPr>
      <w:kern w:val="0"/>
      <w:sz w:val="24"/>
      <w:szCs w:val="24"/>
    </w:rPr>
  </w:style>
  <w:style w:type="character" w:styleId="9">
    <w:name w:val="Strong"/>
    <w:basedOn w:val="8"/>
    <w:qFormat/>
    <w:uiPriority w:val="22"/>
    <w:rPr>
      <w:b/>
    </w:rPr>
  </w:style>
  <w:style w:type="character" w:customStyle="1" w:styleId="10">
    <w:name w:val="正文文本 字符"/>
    <w:basedOn w:val="8"/>
    <w:link w:val="3"/>
    <w:qFormat/>
    <w:uiPriority w:val="99"/>
    <w:rPr>
      <w:rFonts w:ascii="Calibri" w:hAnsi="Calibri" w:eastAsia="宋体" w:cs="Times New Roman"/>
      <w:szCs w:val="21"/>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1160</Words>
  <Characters>6617</Characters>
  <Lines>55</Lines>
  <Paragraphs>15</Paragraphs>
  <TotalTime>13</TotalTime>
  <ScaleCrop>false</ScaleCrop>
  <LinksUpToDate>false</LinksUpToDate>
  <CharactersWithSpaces>7762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2023-12-06T02:44:00Z</dcterms:created>
  <dc:creator>欣欣 赵</dc:creator>
  <cp:lastModifiedBy>名字不重要</cp:lastModifiedBy>
  <cp:lastPrinted>2023-12-06T01:56:00Z</cp:lastPrinted>
  <dcterms:modified xsi:type="dcterms:W3CDTF">2024-04-02T10:20:01Z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89A9C62BB1164132BECF2F03F57C01E1_12</vt:lpwstr>
  </property>
</Properties>
</file>