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B5E6">
      <w:pPr>
        <w:spacing w:line="54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eastAsia="zh-CN"/>
        </w:rPr>
        <w:t>东城</w:t>
      </w:r>
      <w:r>
        <w:rPr>
          <w:rFonts w:hint="eastAsia" w:ascii="方正小标宋简体" w:hAnsi="黑体" w:eastAsia="方正小标宋简体"/>
          <w:sz w:val="44"/>
          <w:szCs w:val="44"/>
        </w:rPr>
        <w:t>区信访办</w:t>
      </w:r>
    </w:p>
    <w:p w14:paraId="2ECE22C3">
      <w:pPr>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2022年法治政府建设</w:t>
      </w:r>
      <w:r>
        <w:rPr>
          <w:rFonts w:hint="eastAsia" w:ascii="方正小标宋简体" w:hAnsi="黑体" w:eastAsia="方正小标宋简体"/>
          <w:sz w:val="44"/>
          <w:szCs w:val="44"/>
          <w:lang w:eastAsia="zh-CN"/>
        </w:rPr>
        <w:t>年度</w:t>
      </w:r>
      <w:r>
        <w:rPr>
          <w:rFonts w:hint="eastAsia" w:ascii="方正小标宋简体" w:hAnsi="黑体" w:eastAsia="方正小标宋简体"/>
          <w:sz w:val="44"/>
          <w:szCs w:val="44"/>
        </w:rPr>
        <w:t>情况报告</w:t>
      </w:r>
    </w:p>
    <w:p w14:paraId="6BC21481">
      <w:pPr>
        <w:spacing w:line="540" w:lineRule="exact"/>
        <w:ind w:firstLine="640" w:firstLineChars="200"/>
        <w:rPr>
          <w:rFonts w:ascii="黑体" w:hAnsi="黑体" w:eastAsia="黑体"/>
          <w:sz w:val="32"/>
          <w:szCs w:val="32"/>
        </w:rPr>
      </w:pPr>
    </w:p>
    <w:p w14:paraId="6935DABA">
      <w:pPr>
        <w:spacing w:line="54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2022年，区信访办认真贯彻落实习近平新时代中国特色社会主义思想和法治思想，牢记“为民解难、为党分忧”的政治责任，学习宣传贯彻落实新出台的《信访工作条例》，大力推进信访法治化建设，主要工作总结如下：</w:t>
      </w:r>
    </w:p>
    <w:p w14:paraId="29CE3510">
      <w:pPr>
        <w:spacing w:line="540" w:lineRule="exact"/>
        <w:ind w:left="64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2022年</w:t>
      </w:r>
      <w:r>
        <w:rPr>
          <w:rFonts w:hint="eastAsia" w:ascii="黑体" w:hAnsi="黑体" w:eastAsia="黑体"/>
          <w:sz w:val="32"/>
          <w:szCs w:val="32"/>
        </w:rPr>
        <w:t>法治政府建设的主要举措和成效</w:t>
      </w:r>
    </w:p>
    <w:p w14:paraId="180A2C60">
      <w:pPr>
        <w:spacing w:line="560" w:lineRule="exact"/>
        <w:ind w:firstLine="640" w:firstLineChars="200"/>
        <w:rPr>
          <w:rFonts w:ascii="仿宋_GB2312" w:eastAsia="仿宋_GB2312"/>
          <w:sz w:val="32"/>
          <w:szCs w:val="32"/>
        </w:rPr>
      </w:pPr>
      <w:r>
        <w:rPr>
          <w:rFonts w:hint="eastAsia" w:ascii="楷体_GB2312" w:hAnsi="黑体" w:eastAsia="楷体_GB2312"/>
          <w:color w:val="000000" w:themeColor="text1"/>
          <w:sz w:val="32"/>
          <w:szCs w:val="32"/>
          <w14:textFill>
            <w14:solidFill>
              <w14:schemeClr w14:val="tx1"/>
            </w14:solidFill>
          </w14:textFill>
        </w:rPr>
        <w:t>（一）</w:t>
      </w:r>
      <w:r>
        <w:rPr>
          <w:rFonts w:hint="eastAsia" w:ascii="楷体_GB2312" w:eastAsia="楷体_GB2312"/>
          <w:sz w:val="32"/>
          <w:szCs w:val="32"/>
        </w:rPr>
        <w:t>深入学习宣传习近平法治思想</w:t>
      </w:r>
    </w:p>
    <w:p w14:paraId="496B77FA">
      <w:pPr>
        <w:spacing w:line="54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区信访办理论学习中心组和党支部先后4次学习研讨《习近平法治思想学习纲要》，掌握了全面依法治国必须遵循的政治准绳，丰富了领导干部依法执政理念，运用法治思维和法治方式深化信访工作制度改革、化解社会矛盾维护稳定及防范应对风险的能力。</w:t>
      </w:r>
    </w:p>
    <w:p w14:paraId="2A69D6FC">
      <w:pPr>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（二）圆满完成各项维稳保障任务</w:t>
      </w:r>
    </w:p>
    <w:p w14:paraId="1D62EF6B">
      <w:pPr>
        <w:spacing w:line="54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牢固树立“东城无小事、事事连政治”的意识，区信访工作联席会议对重大活动维稳保障工作进行统一部署。组织开展各类排查11次。区信访办强化跟踪督办，重点矛盾纠纷均取得了有效推动。圆满完成了冬奥会、冬残奥会、全国两会、党的二十大等重大保障任务。</w:t>
      </w:r>
    </w:p>
    <w:p w14:paraId="54A34AEB">
      <w:pPr>
        <w:spacing w:line="54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（三）集中治理重复信访、化解信访积案工作取得良好成效</w:t>
      </w:r>
    </w:p>
    <w:p w14:paraId="0D097976">
      <w:pPr>
        <w:spacing w:line="54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指导66家单位建立基层信访联席会议，实现基层信访联席会议制度100%全覆盖。召开区级信访工作联席会议4次，审议化解重大复杂信访案件5件；召开基层联席会议78次，审议化解信访问题。强化“周动态、月通报、工作专报”机制，与区政府办开展联合督查，全力推进化解进度。</w:t>
      </w:r>
    </w:p>
    <w:p w14:paraId="537031C9">
      <w:pPr>
        <w:spacing w:line="54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（四）深化领导干部“四访”，形成上下联动、齐抓共管的工作格局</w:t>
      </w:r>
    </w:p>
    <w:p w14:paraId="430DE5A7">
      <w:pPr>
        <w:spacing w:line="54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eastAsia="zh-CN"/>
          <w14:textFill>
            <w14:solidFill>
              <w14:schemeClr w14:val="tx1"/>
            </w14:solidFill>
          </w14:textFill>
        </w:rPr>
        <w:t>区领导</w:t>
      </w:r>
      <w:r>
        <w:rPr>
          <w:rFonts w:hint="eastAsia" w:ascii="仿宋_GB2312" w:hAnsi="黑体" w:eastAsia="仿宋_GB2312"/>
          <w:color w:val="000000" w:themeColor="text1"/>
          <w:sz w:val="32"/>
          <w:szCs w:val="32"/>
          <w14:textFill>
            <w14:solidFill>
              <w14:schemeClr w14:val="tx1"/>
            </w14:solidFill>
          </w14:textFill>
        </w:rPr>
        <w:t>带头接访，积极推动领导干部接访、约访、下访、回访制度落实落地。疫情期间创新开展线上接访模式，实现接访“零距离”。全区处级领导认真落实周三同步接待，推动化解各类信访问题。</w:t>
      </w:r>
    </w:p>
    <w:p w14:paraId="721C483D">
      <w:pPr>
        <w:spacing w:line="54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（五）创新打造“信访超市”，建立矛调处置一体化平台</w:t>
      </w:r>
    </w:p>
    <w:p w14:paraId="42E422C0">
      <w:pPr>
        <w:spacing w:line="54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完成区信访接待大厅的升级改造，使接待环境焕然一新。创新“信访超市”新模式，组织区级领导、各职能部门、各街道每周三到信访办开展联合接访，强化信访与诉讼、调解、仲裁等方式的衔接，让信访问题一站式接待、一揽子调处、链条性化解。特别是在信访接待大厅改造期间，因陋就简，在院子里搭大棚、摆桌子接访，拉近了与群众的距离。新模式让群众“只进一扇门”，就能与区领导、多个职能部门领导“见得上面、说得上话”，最终“办得了事”，实现“干部多跑路、群众少跑腿，最多访一次”的工作目标。该工作得到了市信访办的充分肯定和群众的普遍欢迎，法治日报、北京日报等新闻媒体多次进行宣传报道。</w:t>
      </w:r>
    </w:p>
    <w:p w14:paraId="7343A176">
      <w:pPr>
        <w:spacing w:line="54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（六）深入贯彻《信访工作条例》，推动《条例》在东城区落实落地</w:t>
      </w:r>
    </w:p>
    <w:p w14:paraId="4FA182B5">
      <w:pPr>
        <w:spacing w:line="540" w:lineRule="exact"/>
        <w:ind w:firstLine="640" w:firstLineChars="200"/>
        <w:rPr>
          <w:rFonts w:ascii="仿宋_GB2312" w:eastAsia="仿宋_GB2312"/>
          <w:sz w:val="32"/>
          <w:szCs w:val="32"/>
        </w:rPr>
      </w:pPr>
      <w:r>
        <w:rPr>
          <w:rFonts w:hint="eastAsia" w:ascii="仿宋_GB2312" w:hAnsi="黑体" w:eastAsia="仿宋_GB2312"/>
          <w:color w:val="000000" w:themeColor="text1"/>
          <w:sz w:val="32"/>
          <w:szCs w:val="32"/>
          <w14:textFill>
            <w14:solidFill>
              <w14:schemeClr w14:val="tx1"/>
            </w14:solidFill>
          </w14:textFill>
        </w:rPr>
        <w:t>坚持从对外宣传、对内培训、对上对标中央精神、对下推动条例落实四方面发力，高标准举办《信访工作条例》集中宣传月活动，统一开展线上答题，掀起学习宣传热潮。把《条例》纳入区政府常务会前学法和区委党校干部培训内容，组织全区信访主管领导和信访干部进行集中培训，实现区级、处级、科级及以下三级干部全覆盖。</w:t>
      </w:r>
    </w:p>
    <w:p w14:paraId="6DED3FFE">
      <w:pPr>
        <w:spacing w:line="540" w:lineRule="exact"/>
        <w:ind w:firstLine="640"/>
        <w:rPr>
          <w:rFonts w:ascii="黑体" w:hAnsi="黑体" w:eastAsia="黑体"/>
          <w:sz w:val="32"/>
          <w:szCs w:val="32"/>
        </w:rPr>
      </w:pPr>
      <w:r>
        <w:rPr>
          <w:rFonts w:hint="eastAsia" w:ascii="黑体" w:hAnsi="黑体" w:eastAsia="黑体"/>
          <w:sz w:val="32"/>
          <w:szCs w:val="32"/>
        </w:rPr>
        <w:t>二、2022年推进法治政府建设存在的不足和原因</w:t>
      </w:r>
    </w:p>
    <w:p w14:paraId="3BDAAB50">
      <w:pPr>
        <w:spacing w:line="540" w:lineRule="exact"/>
        <w:ind w:firstLine="640" w:firstLineChars="200"/>
        <w:rPr>
          <w:rFonts w:ascii="仿宋_GB2312" w:hAnsi="Calibri" w:eastAsia="仿宋_GB2312"/>
          <w:sz w:val="32"/>
          <w:szCs w:val="32"/>
        </w:rPr>
      </w:pPr>
      <w:r>
        <w:rPr>
          <w:rFonts w:hint="eastAsia" w:ascii="仿宋_GB2312" w:hAnsi="Calibri" w:eastAsia="仿宋_GB2312"/>
          <w:sz w:val="32"/>
          <w:szCs w:val="32"/>
        </w:rPr>
        <w:t>近年来，区信访办在法治政府建设方面虽然取得了一定的成绩，但也存在一定的短板。</w:t>
      </w:r>
      <w:r>
        <w:rPr>
          <w:rFonts w:hint="eastAsia" w:ascii="仿宋_GB2312" w:hAnsi="Calibri" w:eastAsia="仿宋_GB2312"/>
          <w:b/>
          <w:sz w:val="32"/>
          <w:szCs w:val="32"/>
        </w:rPr>
        <w:t>一是</w:t>
      </w:r>
      <w:r>
        <w:rPr>
          <w:rFonts w:hint="eastAsia" w:ascii="仿宋_GB2312" w:hAnsi="Calibri" w:eastAsia="仿宋_GB2312"/>
          <w:sz w:val="32"/>
          <w:szCs w:val="32"/>
        </w:rPr>
        <w:t>信访法治化水平有待进一步提升。信访基础业务、诉访分离、依法分类处理信访诉求等工作还需加大力度，进一步增强完善。</w:t>
      </w:r>
      <w:r>
        <w:rPr>
          <w:rFonts w:hint="eastAsia" w:ascii="仿宋_GB2312" w:hAnsi="Calibri" w:eastAsia="仿宋_GB2312"/>
          <w:b/>
          <w:sz w:val="32"/>
          <w:szCs w:val="32"/>
        </w:rPr>
        <w:t>二是</w:t>
      </w:r>
      <w:r>
        <w:rPr>
          <w:rFonts w:hint="eastAsia" w:ascii="仿宋_GB2312" w:hAnsi="Calibri" w:eastAsia="仿宋_GB2312"/>
          <w:sz w:val="32"/>
          <w:szCs w:val="32"/>
        </w:rPr>
        <w:t>信访干部队伍建设仍需进一步加强。目前，我区信访干部主要以兼职为主，在承担信访工作的同时，仍需负责其他工作。重点时期，信访工作会被淡化，信访接待力量偏弱。</w:t>
      </w:r>
    </w:p>
    <w:p w14:paraId="189749AA">
      <w:pPr>
        <w:spacing w:line="540" w:lineRule="exact"/>
        <w:ind w:firstLine="64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2022年</w:t>
      </w:r>
      <w:r>
        <w:rPr>
          <w:rFonts w:hint="eastAsia" w:ascii="黑体" w:hAnsi="黑体" w:eastAsia="黑体"/>
          <w:sz w:val="32"/>
          <w:szCs w:val="32"/>
        </w:rPr>
        <w:t>党政主要负责人履行推进法治建设第一责任人职责，加强法治政府建设的有关情况</w:t>
      </w:r>
      <w:r>
        <w:rPr>
          <w:rFonts w:ascii="黑体" w:hAnsi="黑体" w:eastAsia="黑体"/>
          <w:sz w:val="32"/>
          <w:szCs w:val="32"/>
        </w:rPr>
        <w:t xml:space="preserve"> </w:t>
      </w:r>
    </w:p>
    <w:p w14:paraId="787B8FE5">
      <w:pPr>
        <w:spacing w:line="540" w:lineRule="exact"/>
        <w:ind w:firstLine="640" w:firstLineChars="200"/>
        <w:rPr>
          <w:rFonts w:eastAsia="仿宋_GB2312"/>
          <w:sz w:val="32"/>
          <w:szCs w:val="32"/>
        </w:rPr>
      </w:pPr>
      <w:r>
        <w:rPr>
          <w:rFonts w:hint="eastAsia" w:eastAsia="仿宋_GB2312"/>
          <w:sz w:val="32"/>
          <w:szCs w:val="32"/>
        </w:rPr>
        <w:t>区信访办党政主要领导认真履行法治政府建设第一责任人职责，坚持贯彻落实中央、北京市决策部署，认真落实《党政主要负责人履行推进法治建设第一责任人职责规定》，班子成员分工负责，积极推动本部门各项责任落实、工作落地。坚持将法治政府建设、依法行政重要内容列入年度工作计划，注重发挥制度的引领、支撑、保障作用，严格贯彻落实各项政策法规。将习近平法治思想列入理论</w:t>
      </w:r>
      <w:r>
        <w:rPr>
          <w:rFonts w:hint="eastAsia" w:eastAsia="仿宋_GB2312"/>
          <w:sz w:val="32"/>
          <w:szCs w:val="32"/>
          <w:lang w:eastAsia="zh-CN"/>
        </w:rPr>
        <w:t>学习</w:t>
      </w:r>
      <w:r>
        <w:rPr>
          <w:rFonts w:hint="eastAsia" w:eastAsia="仿宋_GB2312"/>
          <w:sz w:val="32"/>
          <w:szCs w:val="32"/>
        </w:rPr>
        <w:t>中心组学习计划，将新出台的《信访工作条例》列为会前学法重点内容，领导班子成员带头学法讲法，带头依法化解信访矛盾，规范信访工作制度和网上信访办理要求，推动信访工作法治化发展，提高了领导干部依法决策和依法行政能力。</w:t>
      </w:r>
    </w:p>
    <w:p w14:paraId="4EE92F91">
      <w:pPr>
        <w:spacing w:line="540" w:lineRule="exact"/>
        <w:ind w:firstLine="640"/>
        <w:rPr>
          <w:rFonts w:ascii="黑体" w:hAnsi="黑体" w:eastAsia="黑体"/>
          <w:sz w:val="32"/>
          <w:szCs w:val="32"/>
        </w:rPr>
      </w:pPr>
      <w:r>
        <w:rPr>
          <w:rFonts w:hint="eastAsia" w:ascii="黑体" w:hAnsi="黑体" w:eastAsia="黑体"/>
          <w:sz w:val="32"/>
          <w:szCs w:val="32"/>
        </w:rPr>
        <w:t>四、2023年推进法治政府建设的主要安排</w:t>
      </w:r>
    </w:p>
    <w:p w14:paraId="3A67783A">
      <w:pPr>
        <w:spacing w:line="540" w:lineRule="exact"/>
        <w:ind w:firstLine="640" w:firstLineChars="200"/>
        <w:rPr>
          <w:rFonts w:ascii="仿宋_GB2312" w:hAnsi="Calibri" w:eastAsia="仿宋_GB2312"/>
          <w:sz w:val="32"/>
          <w:szCs w:val="32"/>
        </w:rPr>
      </w:pPr>
      <w:r>
        <w:rPr>
          <w:rFonts w:hint="eastAsia" w:ascii="仿宋_GB2312" w:hAnsi="Calibri" w:eastAsia="仿宋_GB2312"/>
          <w:sz w:val="32"/>
          <w:szCs w:val="32"/>
        </w:rPr>
        <w:t>区信访办将围绕法治政府建设的具体要求，结合全区信访工作形势，继续深入多元治理、矛调一体化处置平台建设，提升信访工作在基层社会治理中的效能。</w:t>
      </w:r>
    </w:p>
    <w:p w14:paraId="67956650">
      <w:pPr>
        <w:spacing w:line="54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一是</w:t>
      </w:r>
      <w:r>
        <w:rPr>
          <w:rFonts w:hint="eastAsia" w:ascii="仿宋_GB2312" w:hAnsi="Calibri" w:eastAsia="仿宋_GB2312"/>
          <w:sz w:val="32"/>
          <w:szCs w:val="32"/>
        </w:rPr>
        <w:t>深入学习</w:t>
      </w:r>
      <w:r>
        <w:rPr>
          <w:rFonts w:hint="eastAsia" w:ascii="仿宋_GB2312" w:hAnsi="Calibri" w:eastAsia="仿宋_GB2312"/>
          <w:sz w:val="32"/>
          <w:szCs w:val="32"/>
          <w:lang w:eastAsia="zh-CN"/>
        </w:rPr>
        <w:t>贯彻</w:t>
      </w:r>
      <w:r>
        <w:rPr>
          <w:rFonts w:hint="eastAsia" w:ascii="仿宋_GB2312" w:hAnsi="Calibri" w:eastAsia="仿宋_GB2312"/>
          <w:sz w:val="32"/>
          <w:szCs w:val="32"/>
        </w:rPr>
        <w:t>党的二十大精神和习近平法治思想。借助区委理论</w:t>
      </w:r>
      <w:r>
        <w:rPr>
          <w:rFonts w:hint="eastAsia" w:ascii="仿宋_GB2312" w:hAnsi="Calibri" w:eastAsia="仿宋_GB2312"/>
          <w:sz w:val="32"/>
          <w:szCs w:val="32"/>
          <w:lang w:eastAsia="zh-CN"/>
        </w:rPr>
        <w:t>学习</w:t>
      </w:r>
      <w:r>
        <w:rPr>
          <w:rFonts w:hint="eastAsia" w:ascii="仿宋_GB2312" w:hAnsi="Calibri" w:eastAsia="仿宋_GB2312"/>
          <w:sz w:val="32"/>
          <w:szCs w:val="32"/>
        </w:rPr>
        <w:t>中心组、区委党校，进行多层级、全覆盖的学习培训，确保将党的二十大精神学深学实学透。对标区委全会精神，开展信访调研，把区委各项决策部署落到实处。开展全区信访业务培训，加大干部交流及青年干部到信访部门挂职锻炼力度，统筹奖励激励机制，充分调动信访干部干事创业积极性。</w:t>
      </w:r>
    </w:p>
    <w:p w14:paraId="3F656149">
      <w:pPr>
        <w:spacing w:line="54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二是</w:t>
      </w:r>
      <w:r>
        <w:rPr>
          <w:rFonts w:hint="eastAsia" w:ascii="仿宋_GB2312" w:hAnsi="Calibri" w:eastAsia="仿宋_GB2312"/>
          <w:sz w:val="32"/>
          <w:szCs w:val="32"/>
        </w:rPr>
        <w:t>大力推动疑难信访问题化解。巩固“信访超市”、矛调处置一体化平台工作成果。深入推动区领导包案、领导接访下访约访回访工作向纵深发展。建立东城信访信息化平台，提供信访、调解、诉讼、建议征集等内容的线上服务，强化重要信访信息联动，提升信访数据资源共享、分析利用能力。健全积案化解的常态化长效化机制，建立滚动排查、定期梳理、持续化解机制，推动信访积案随有随清、重复信访持续下降。</w:t>
      </w:r>
    </w:p>
    <w:p w14:paraId="7879E21C">
      <w:pPr>
        <w:pStyle w:val="3"/>
        <w:spacing w:line="560" w:lineRule="exact"/>
        <w:ind w:firstLine="643" w:firstLineChars="200"/>
        <w:rPr>
          <w:rFonts w:ascii="仿宋_GB2312" w:hAnsi="Times New Roman" w:eastAsia="仿宋_GB2312"/>
          <w:sz w:val="32"/>
          <w:szCs w:val="32"/>
        </w:rPr>
      </w:pPr>
      <w:r>
        <w:rPr>
          <w:rFonts w:hint="eastAsia" w:ascii="仿宋_GB2312" w:hAnsi="Calibri" w:eastAsia="仿宋_GB2312"/>
          <w:b/>
          <w:sz w:val="32"/>
          <w:szCs w:val="32"/>
        </w:rPr>
        <w:t>三是</w:t>
      </w:r>
      <w:r>
        <w:rPr>
          <w:rFonts w:hint="eastAsia" w:ascii="仿宋_GB2312" w:hAnsi="Calibri" w:eastAsia="仿宋_GB2312"/>
          <w:sz w:val="32"/>
          <w:szCs w:val="32"/>
        </w:rPr>
        <w:t>提升信访工作效能，推动东城区信访工作更高质量发展。</w:t>
      </w:r>
      <w:r>
        <w:rPr>
          <w:rFonts w:hint="eastAsia" w:ascii="仿宋_GB2312" w:hAnsi="Times New Roman" w:eastAsia="仿宋_GB2312"/>
          <w:sz w:val="32"/>
          <w:szCs w:val="32"/>
        </w:rPr>
        <w:t>坚持和完善重大活动信访保障工作机制，</w:t>
      </w:r>
      <w:r>
        <w:rPr>
          <w:rFonts w:hint="eastAsia" w:ascii="仿宋_GB2312" w:hAnsi="Calibri" w:eastAsia="仿宋_GB2312"/>
          <w:sz w:val="32"/>
          <w:szCs w:val="32"/>
        </w:rPr>
        <w:t>联动推进风险源头预防、排查预警、协调化解、应急处置等工作，完善重大活动信访保障工作机制。强化区级及基层信访联席会的相互配合，充分发挥信访联席</w:t>
      </w:r>
      <w:r>
        <w:rPr>
          <w:rFonts w:hint="eastAsia" w:ascii="仿宋_GB2312" w:hAnsi="Calibri" w:eastAsia="仿宋_GB2312"/>
          <w:sz w:val="32"/>
          <w:szCs w:val="32"/>
          <w:lang w:eastAsia="zh-CN"/>
        </w:rPr>
        <w:t>会议</w:t>
      </w:r>
      <w:r>
        <w:rPr>
          <w:rFonts w:hint="eastAsia" w:ascii="仿宋_GB2312" w:hAnsi="Calibri" w:eastAsia="仿宋_GB2312"/>
          <w:sz w:val="32"/>
          <w:szCs w:val="32"/>
        </w:rPr>
        <w:t>制度优势。加强人民建议征集，健全社情民意收集、汇总、分析机制，强化信</w:t>
      </w:r>
      <w:bookmarkStart w:id="0" w:name="_GoBack"/>
      <w:bookmarkEnd w:id="0"/>
      <w:r>
        <w:rPr>
          <w:rFonts w:hint="eastAsia" w:ascii="仿宋_GB2312" w:hAnsi="Calibri" w:eastAsia="仿宋_GB2312"/>
          <w:sz w:val="32"/>
          <w:szCs w:val="32"/>
        </w:rPr>
        <w:t>访工作“三项建议权”，提高服务决策的及时性、精准性和有效性。</w:t>
      </w:r>
      <w:r>
        <w:rPr>
          <w:rFonts w:hint="eastAsia" w:ascii="仿宋_GB2312" w:hAnsi="Times New Roman" w:eastAsia="仿宋_GB2312"/>
          <w:sz w:val="32"/>
          <w:szCs w:val="32"/>
        </w:rPr>
        <w:t>积极争创信访工作示范区，全面提升基层化解矛盾、防范风险、应急处置能力。</w:t>
      </w:r>
    </w:p>
    <w:p w14:paraId="48BF699D">
      <w:pPr>
        <w:spacing w:line="540" w:lineRule="exact"/>
        <w:ind w:firstLine="640" w:firstLineChars="200"/>
        <w:rPr>
          <w:rFonts w:ascii="仿宋_GB2312" w:hAnsi="Calibri" w:eastAsia="仿宋_GB2312"/>
          <w:sz w:val="32"/>
          <w:szCs w:val="32"/>
        </w:rPr>
      </w:pPr>
    </w:p>
    <w:p w14:paraId="745E16E3">
      <w:pPr>
        <w:spacing w:line="540" w:lineRule="exact"/>
        <w:ind w:firstLine="640" w:firstLineChars="200"/>
        <w:rPr>
          <w:rFonts w:ascii="仿宋_GB2312" w:hAnsi="Calibri" w:eastAsia="仿宋_GB2312"/>
          <w:sz w:val="32"/>
          <w:szCs w:val="32"/>
        </w:rPr>
      </w:pPr>
    </w:p>
    <w:p w14:paraId="71502DD4">
      <w:pPr>
        <w:spacing w:line="540" w:lineRule="exact"/>
        <w:ind w:firstLine="640" w:firstLineChars="200"/>
        <w:rPr>
          <w:rFonts w:ascii="仿宋_GB2312" w:hAnsi="Calibri" w:eastAsia="仿宋_GB2312"/>
          <w:sz w:val="32"/>
          <w:szCs w:val="32"/>
        </w:rPr>
      </w:pPr>
    </w:p>
    <w:p w14:paraId="1BCDA607">
      <w:pPr>
        <w:spacing w:line="540" w:lineRule="exact"/>
        <w:ind w:firstLine="640" w:firstLineChars="200"/>
        <w:jc w:val="right"/>
        <w:rPr>
          <w:rFonts w:ascii="黑体" w:hAnsi="黑体" w:eastAsia="黑体"/>
          <w:sz w:val="32"/>
          <w:szCs w:val="32"/>
        </w:rPr>
      </w:pPr>
    </w:p>
    <w:p w14:paraId="1C9C7566">
      <w:pPr>
        <w:spacing w:line="540" w:lineRule="exact"/>
        <w:ind w:firstLine="640" w:firstLineChars="200"/>
        <w:jc w:val="right"/>
        <w:rPr>
          <w:rFonts w:ascii="仿宋_GB2312" w:hAnsi="Calibri" w:eastAsia="仿宋_GB2312"/>
          <w:sz w:val="32"/>
          <w:szCs w:val="32"/>
        </w:rPr>
      </w:pPr>
      <w:r>
        <w:rPr>
          <w:rFonts w:hint="eastAsia" w:ascii="仿宋_GB2312" w:hAnsi="Calibri" w:eastAsia="仿宋_GB2312"/>
          <w:sz w:val="32"/>
          <w:szCs w:val="32"/>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6957395"/>
    </w:sdtPr>
    <w:sdtContent>
      <w:p w14:paraId="7356F11B">
        <w:pPr>
          <w:pStyle w:val="3"/>
          <w:jc w:val="center"/>
        </w:pPr>
        <w:r>
          <w:fldChar w:fldCharType="begin"/>
        </w:r>
        <w:r>
          <w:instrText xml:space="preserve">PAGE   \* MERGEFORMAT</w:instrText>
        </w:r>
        <w:r>
          <w:fldChar w:fldCharType="separate"/>
        </w:r>
        <w:r>
          <w:rPr>
            <w:lang w:val="zh-CN"/>
          </w:rPr>
          <w:t>3</w:t>
        </w:r>
        <w:r>
          <w:fldChar w:fldCharType="end"/>
        </w:r>
      </w:p>
    </w:sdtContent>
  </w:sdt>
  <w:p w14:paraId="1241708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56"/>
    <w:rsid w:val="000110C5"/>
    <w:rsid w:val="00015F4E"/>
    <w:rsid w:val="00021E13"/>
    <w:rsid w:val="000254EA"/>
    <w:rsid w:val="00031011"/>
    <w:rsid w:val="000313F2"/>
    <w:rsid w:val="000343DE"/>
    <w:rsid w:val="00034D24"/>
    <w:rsid w:val="0005400A"/>
    <w:rsid w:val="000818A6"/>
    <w:rsid w:val="00084F83"/>
    <w:rsid w:val="00086C9D"/>
    <w:rsid w:val="000A3A04"/>
    <w:rsid w:val="000A67EF"/>
    <w:rsid w:val="000B4C65"/>
    <w:rsid w:val="000D51A1"/>
    <w:rsid w:val="000D7333"/>
    <w:rsid w:val="000E2203"/>
    <w:rsid w:val="000F3A08"/>
    <w:rsid w:val="00100F9A"/>
    <w:rsid w:val="00106D6B"/>
    <w:rsid w:val="001070D1"/>
    <w:rsid w:val="00123357"/>
    <w:rsid w:val="0012431D"/>
    <w:rsid w:val="001249E3"/>
    <w:rsid w:val="00134736"/>
    <w:rsid w:val="00142711"/>
    <w:rsid w:val="00172AEE"/>
    <w:rsid w:val="001850CA"/>
    <w:rsid w:val="001A7C1A"/>
    <w:rsid w:val="001B06B7"/>
    <w:rsid w:val="001C0F0A"/>
    <w:rsid w:val="001C774C"/>
    <w:rsid w:val="001D6550"/>
    <w:rsid w:val="001F3512"/>
    <w:rsid w:val="001F42EF"/>
    <w:rsid w:val="00221A7C"/>
    <w:rsid w:val="002266CC"/>
    <w:rsid w:val="00242E1D"/>
    <w:rsid w:val="002523B9"/>
    <w:rsid w:val="00262283"/>
    <w:rsid w:val="00263941"/>
    <w:rsid w:val="002712D7"/>
    <w:rsid w:val="002A07B1"/>
    <w:rsid w:val="002A3729"/>
    <w:rsid w:val="002B1B42"/>
    <w:rsid w:val="002C5679"/>
    <w:rsid w:val="002E6771"/>
    <w:rsid w:val="002F04CA"/>
    <w:rsid w:val="00302545"/>
    <w:rsid w:val="00304400"/>
    <w:rsid w:val="00305B3F"/>
    <w:rsid w:val="0032278E"/>
    <w:rsid w:val="00356EF6"/>
    <w:rsid w:val="003A3520"/>
    <w:rsid w:val="003A71B6"/>
    <w:rsid w:val="003B1B19"/>
    <w:rsid w:val="003D1F8F"/>
    <w:rsid w:val="003F2DFB"/>
    <w:rsid w:val="003F6049"/>
    <w:rsid w:val="00403CBE"/>
    <w:rsid w:val="004068D4"/>
    <w:rsid w:val="0042522F"/>
    <w:rsid w:val="00434AAA"/>
    <w:rsid w:val="00437365"/>
    <w:rsid w:val="00441D1C"/>
    <w:rsid w:val="00450006"/>
    <w:rsid w:val="00480AA1"/>
    <w:rsid w:val="0049766D"/>
    <w:rsid w:val="004B14AB"/>
    <w:rsid w:val="004B29AB"/>
    <w:rsid w:val="004B355F"/>
    <w:rsid w:val="004D27CF"/>
    <w:rsid w:val="004F3282"/>
    <w:rsid w:val="004F42E4"/>
    <w:rsid w:val="004F4B5A"/>
    <w:rsid w:val="00504314"/>
    <w:rsid w:val="00506CED"/>
    <w:rsid w:val="00512F50"/>
    <w:rsid w:val="00521313"/>
    <w:rsid w:val="00523B13"/>
    <w:rsid w:val="00524347"/>
    <w:rsid w:val="005603BD"/>
    <w:rsid w:val="005867CA"/>
    <w:rsid w:val="00590C8B"/>
    <w:rsid w:val="005A3240"/>
    <w:rsid w:val="005B0236"/>
    <w:rsid w:val="005C1CE8"/>
    <w:rsid w:val="005D2A32"/>
    <w:rsid w:val="005F4EB6"/>
    <w:rsid w:val="00600C3C"/>
    <w:rsid w:val="00600C4B"/>
    <w:rsid w:val="006065FB"/>
    <w:rsid w:val="006079E8"/>
    <w:rsid w:val="006212F9"/>
    <w:rsid w:val="0065180A"/>
    <w:rsid w:val="006550A3"/>
    <w:rsid w:val="00655FEE"/>
    <w:rsid w:val="00665902"/>
    <w:rsid w:val="00674BF3"/>
    <w:rsid w:val="00682835"/>
    <w:rsid w:val="006835BA"/>
    <w:rsid w:val="006920F2"/>
    <w:rsid w:val="00697597"/>
    <w:rsid w:val="006A6C07"/>
    <w:rsid w:val="006C0003"/>
    <w:rsid w:val="006D03DD"/>
    <w:rsid w:val="006D0457"/>
    <w:rsid w:val="006E4E91"/>
    <w:rsid w:val="0072078A"/>
    <w:rsid w:val="007379FD"/>
    <w:rsid w:val="007559CD"/>
    <w:rsid w:val="00771F24"/>
    <w:rsid w:val="00776AE6"/>
    <w:rsid w:val="007838FD"/>
    <w:rsid w:val="007855B1"/>
    <w:rsid w:val="007B404B"/>
    <w:rsid w:val="007B4451"/>
    <w:rsid w:val="007B4692"/>
    <w:rsid w:val="007B53D5"/>
    <w:rsid w:val="007B660B"/>
    <w:rsid w:val="007B69A5"/>
    <w:rsid w:val="007C799A"/>
    <w:rsid w:val="007F40A2"/>
    <w:rsid w:val="008448D0"/>
    <w:rsid w:val="008459D7"/>
    <w:rsid w:val="00847C9E"/>
    <w:rsid w:val="008556F6"/>
    <w:rsid w:val="0087134E"/>
    <w:rsid w:val="00877C4B"/>
    <w:rsid w:val="00887DDD"/>
    <w:rsid w:val="008955D6"/>
    <w:rsid w:val="008B4AD2"/>
    <w:rsid w:val="008C11E8"/>
    <w:rsid w:val="008E3700"/>
    <w:rsid w:val="009017B0"/>
    <w:rsid w:val="0090596B"/>
    <w:rsid w:val="009077CC"/>
    <w:rsid w:val="00924A40"/>
    <w:rsid w:val="00940559"/>
    <w:rsid w:val="009570D6"/>
    <w:rsid w:val="00962056"/>
    <w:rsid w:val="00962430"/>
    <w:rsid w:val="009652B0"/>
    <w:rsid w:val="00984CAC"/>
    <w:rsid w:val="0099775E"/>
    <w:rsid w:val="009C6AC5"/>
    <w:rsid w:val="009C7CC9"/>
    <w:rsid w:val="009D5556"/>
    <w:rsid w:val="009E5E8F"/>
    <w:rsid w:val="00A075A1"/>
    <w:rsid w:val="00A14D9B"/>
    <w:rsid w:val="00A20E6F"/>
    <w:rsid w:val="00A231FB"/>
    <w:rsid w:val="00A245A7"/>
    <w:rsid w:val="00A30588"/>
    <w:rsid w:val="00A30880"/>
    <w:rsid w:val="00A31034"/>
    <w:rsid w:val="00A34A54"/>
    <w:rsid w:val="00A8750B"/>
    <w:rsid w:val="00A916A3"/>
    <w:rsid w:val="00A91820"/>
    <w:rsid w:val="00AA691A"/>
    <w:rsid w:val="00AB1BA4"/>
    <w:rsid w:val="00AB42CE"/>
    <w:rsid w:val="00AC39FF"/>
    <w:rsid w:val="00AD1139"/>
    <w:rsid w:val="00AF00A8"/>
    <w:rsid w:val="00B03DA1"/>
    <w:rsid w:val="00B2567D"/>
    <w:rsid w:val="00B25D6A"/>
    <w:rsid w:val="00B3199D"/>
    <w:rsid w:val="00B47235"/>
    <w:rsid w:val="00B65379"/>
    <w:rsid w:val="00B6626A"/>
    <w:rsid w:val="00B80FF6"/>
    <w:rsid w:val="00B838AC"/>
    <w:rsid w:val="00B8470C"/>
    <w:rsid w:val="00B87A9C"/>
    <w:rsid w:val="00B9521C"/>
    <w:rsid w:val="00BA532E"/>
    <w:rsid w:val="00BB0F0F"/>
    <w:rsid w:val="00BB17E1"/>
    <w:rsid w:val="00BC109D"/>
    <w:rsid w:val="00BD33DC"/>
    <w:rsid w:val="00BE5E21"/>
    <w:rsid w:val="00C01445"/>
    <w:rsid w:val="00C12C11"/>
    <w:rsid w:val="00C142C5"/>
    <w:rsid w:val="00C23118"/>
    <w:rsid w:val="00C30847"/>
    <w:rsid w:val="00C4043B"/>
    <w:rsid w:val="00C42B91"/>
    <w:rsid w:val="00C53B9A"/>
    <w:rsid w:val="00C5597C"/>
    <w:rsid w:val="00C90656"/>
    <w:rsid w:val="00CA3860"/>
    <w:rsid w:val="00CC22AA"/>
    <w:rsid w:val="00CC7620"/>
    <w:rsid w:val="00CE18B0"/>
    <w:rsid w:val="00CE4379"/>
    <w:rsid w:val="00CF2D14"/>
    <w:rsid w:val="00CF72A3"/>
    <w:rsid w:val="00D102C0"/>
    <w:rsid w:val="00D31D25"/>
    <w:rsid w:val="00D36D59"/>
    <w:rsid w:val="00D4120E"/>
    <w:rsid w:val="00D5399C"/>
    <w:rsid w:val="00D54018"/>
    <w:rsid w:val="00D563C5"/>
    <w:rsid w:val="00D72D24"/>
    <w:rsid w:val="00D80E0C"/>
    <w:rsid w:val="00DC37F2"/>
    <w:rsid w:val="00DC615B"/>
    <w:rsid w:val="00DE0281"/>
    <w:rsid w:val="00DE2757"/>
    <w:rsid w:val="00DF4083"/>
    <w:rsid w:val="00E005DF"/>
    <w:rsid w:val="00E02D28"/>
    <w:rsid w:val="00E0749E"/>
    <w:rsid w:val="00E11CF5"/>
    <w:rsid w:val="00E14037"/>
    <w:rsid w:val="00E16521"/>
    <w:rsid w:val="00E202C1"/>
    <w:rsid w:val="00E42451"/>
    <w:rsid w:val="00E47D75"/>
    <w:rsid w:val="00E73F62"/>
    <w:rsid w:val="00E77D5C"/>
    <w:rsid w:val="00E807BF"/>
    <w:rsid w:val="00EA2325"/>
    <w:rsid w:val="00EA31E2"/>
    <w:rsid w:val="00EA4DE7"/>
    <w:rsid w:val="00EC593F"/>
    <w:rsid w:val="00EC7A1D"/>
    <w:rsid w:val="00F2025F"/>
    <w:rsid w:val="00F24EB0"/>
    <w:rsid w:val="00F25922"/>
    <w:rsid w:val="00F32DD4"/>
    <w:rsid w:val="00F351FC"/>
    <w:rsid w:val="00F442AF"/>
    <w:rsid w:val="00F4517A"/>
    <w:rsid w:val="00F7295E"/>
    <w:rsid w:val="00F8427A"/>
    <w:rsid w:val="00F9005C"/>
    <w:rsid w:val="00F95940"/>
    <w:rsid w:val="00FB3011"/>
    <w:rsid w:val="00FB7A83"/>
    <w:rsid w:val="00FC31E5"/>
    <w:rsid w:val="00FE0846"/>
    <w:rsid w:val="00FF02DE"/>
    <w:rsid w:val="00FF68E3"/>
    <w:rsid w:val="00FF6C09"/>
    <w:rsid w:val="07AC05FB"/>
    <w:rsid w:val="132C42CC"/>
    <w:rsid w:val="38C13F19"/>
    <w:rsid w:val="3A4E7187"/>
    <w:rsid w:val="41911DB0"/>
    <w:rsid w:val="42477C33"/>
    <w:rsid w:val="463C1CBF"/>
    <w:rsid w:val="4B3B3C38"/>
    <w:rsid w:val="4FBB3733"/>
    <w:rsid w:val="547447CC"/>
    <w:rsid w:val="6BED677F"/>
    <w:rsid w:val="6F271665"/>
    <w:rsid w:val="703D6DEC"/>
    <w:rsid w:val="78AA6DD6"/>
    <w:rsid w:val="7ABD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2298</Words>
  <Characters>2322</Characters>
  <Lines>18</Lines>
  <Paragraphs>5</Paragraphs>
  <TotalTime>9</TotalTime>
  <ScaleCrop>false</ScaleCrop>
  <LinksUpToDate>false</LinksUpToDate>
  <CharactersWithSpaces>2325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2023-01-19T01:21:00Z</dcterms:created>
  <dc:creator>Lenovo</dc:creator>
  <cp:lastModifiedBy>huawei</cp:lastModifiedBy>
  <cp:lastPrinted>2022-01-07T00:01:00Z</cp:lastPrinted>
  <dcterms:modified xsi:type="dcterms:W3CDTF">2026-02-11T16:00:05Z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1FAF6C2A094CDC4405378C69C3CD8AB7_43</vt:lpwstr>
  </property>
</Properties>
</file>