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02539">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东城区城市管理委员会</w:t>
      </w:r>
    </w:p>
    <w:p w14:paraId="7BDC9BC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年法治政府建设年度情况报告</w:t>
      </w:r>
    </w:p>
    <w:p w14:paraId="4C3B68B6">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sz w:val="32"/>
          <w:szCs w:val="32"/>
        </w:rPr>
      </w:pPr>
    </w:p>
    <w:p w14:paraId="799E3CDA">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000000"/>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年，在区委区政府的坚强领导下，</w:t>
      </w:r>
      <w:r>
        <w:rPr>
          <w:rFonts w:hint="eastAsia" w:ascii="Times New Roman" w:hAnsi="Times New Roman" w:eastAsia="仿宋_GB2312" w:cs="Times New Roman"/>
          <w:sz w:val="32"/>
          <w:szCs w:val="32"/>
        </w:rPr>
        <w:t>区城管委</w:t>
      </w:r>
      <w:r>
        <w:rPr>
          <w:rFonts w:ascii="Times New Roman" w:hAnsi="Times New Roman" w:eastAsia="仿宋_GB2312" w:cs="Times New Roman"/>
          <w:sz w:val="32"/>
          <w:szCs w:val="32"/>
        </w:rPr>
        <w:t>认真落实《法治政府建设实施纲要（20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年）》工作</w:t>
      </w:r>
      <w:r>
        <w:rPr>
          <w:rFonts w:hint="eastAsia" w:ascii="Times New Roman" w:hAnsi="Times New Roman" w:eastAsia="仿宋_GB2312" w:cs="Times New Roman"/>
          <w:sz w:val="32"/>
          <w:szCs w:val="32"/>
        </w:rPr>
        <w:t>要求，依法合规积极开展各</w:t>
      </w:r>
      <w:r>
        <w:rPr>
          <w:rFonts w:hint="eastAsia" w:ascii="仿宋_GB2312" w:hAnsi="仿宋_GB2312" w:eastAsia="仿宋_GB2312" w:cs="仿宋_GB2312"/>
          <w:color w:val="000000"/>
          <w:sz w:val="32"/>
          <w:szCs w:val="32"/>
        </w:rPr>
        <w:t>项依法行政工作，紧紧围绕今年全区的中心工作，努力提升依法行政工作水平，让依法行政贯穿于城市管理全过程。从而进一步提高了领导干部的依法行政能力和法治意识，使各项工作准确到位，合法、有据、高效运行。现将我委法治政府建设情况做如下报告。</w:t>
      </w:r>
    </w:p>
    <w:p w14:paraId="5AC7AC5F">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default" w:ascii="Times New Roman" w:hAnsi="Times New Roman" w:eastAsia="黑体" w:cs="Times New Roman"/>
          <w:sz w:val="32"/>
          <w:szCs w:val="32"/>
          <w:lang w:val="en-US" w:eastAsia="zh-CN"/>
        </w:rPr>
        <w:t>2022年推进法治政府建设的主要举措和成效</w:t>
      </w:r>
    </w:p>
    <w:p w14:paraId="7F4C206B">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（一）坚持学法制度，提高法治意识和依法行政水平</w:t>
      </w:r>
    </w:p>
    <w:p w14:paraId="1D25A8BD">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我委将推进依法行政、落实行政执法责任制作为开展和推动各项工作的前提和保障，继续坚持《学法用法制度》，制定了《202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年区城管委主任办公会会前学法安排》，坚持利用主任办公会会前时间，学习有关城市管理的法律知识和综合法律知识</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次。先后组织全体干部先后学习</w:t>
      </w:r>
      <w:r>
        <w:rPr>
          <w:rFonts w:hint="eastAsia" w:ascii="Times New Roman" w:hAnsi="Times New Roman" w:eastAsia="仿宋_GB2312" w:cs="Times New Roman"/>
          <w:color w:val="auto"/>
          <w:sz w:val="32"/>
          <w:szCs w:val="32"/>
        </w:rPr>
        <w:t>了《关于</w:t>
      </w:r>
      <w:r>
        <w:rPr>
          <w:rFonts w:hint="eastAsia" w:ascii="Times New Roman" w:hAnsi="Times New Roman" w:eastAsia="仿宋_GB2312" w:cs="Times New Roman"/>
          <w:sz w:val="32"/>
          <w:szCs w:val="32"/>
        </w:rPr>
        <w:t>2021</w:t>
      </w:r>
      <w:r>
        <w:rPr>
          <w:rFonts w:hint="eastAsia" w:ascii="Times New Roman" w:hAnsi="Times New Roman" w:eastAsia="仿宋_GB2312" w:cs="Times New Roman"/>
          <w:color w:val="auto"/>
          <w:sz w:val="32"/>
          <w:szCs w:val="32"/>
        </w:rPr>
        <w:t>年党风廉政建设和反腐败工作情况、部署</w:t>
      </w:r>
      <w:r>
        <w:rPr>
          <w:rFonts w:hint="eastAsia" w:ascii="Times New Roman" w:hAnsi="Times New Roman" w:eastAsia="仿宋_GB2312" w:cs="Times New Roman"/>
          <w:sz w:val="32"/>
          <w:szCs w:val="32"/>
        </w:rPr>
        <w:t>2022</w:t>
      </w:r>
      <w:r>
        <w:rPr>
          <w:rFonts w:hint="eastAsia" w:ascii="Times New Roman" w:hAnsi="Times New Roman" w:eastAsia="仿宋_GB2312" w:cs="Times New Roman"/>
          <w:color w:val="auto"/>
          <w:sz w:val="32"/>
          <w:szCs w:val="32"/>
        </w:rPr>
        <w:t>年廉政建设和反腐工作要点的通报》《中华人民共和国安全生产法》《合同管理与风险防范》《</w:t>
      </w:r>
      <w:r>
        <w:rPr>
          <w:rFonts w:hint="eastAsia" w:ascii="Times New Roman" w:hAnsi="Times New Roman" w:eastAsia="仿宋_GB2312" w:cs="Times New Roman"/>
          <w:sz w:val="32"/>
          <w:szCs w:val="32"/>
        </w:rPr>
        <w:t>2022</w:t>
      </w:r>
      <w:r>
        <w:rPr>
          <w:rFonts w:hint="eastAsia" w:ascii="Times New Roman" w:hAnsi="Times New Roman" w:eastAsia="仿宋_GB2312" w:cs="Times New Roman"/>
          <w:color w:val="auto"/>
          <w:sz w:val="32"/>
          <w:szCs w:val="32"/>
        </w:rPr>
        <w:t>年首都环境建设考评管理办法》《传达区纪委十三届二次全会精神》《北京市轨道交通运营安全条例》《中西方法律体系的对比》等法规</w:t>
      </w:r>
      <w:r>
        <w:rPr>
          <w:rFonts w:hint="eastAsia" w:ascii="Times New Roman" w:hAnsi="Times New Roman" w:eastAsia="仿宋_GB2312" w:cs="Times New Roman"/>
          <w:color w:val="auto"/>
          <w:sz w:val="32"/>
          <w:szCs w:val="32"/>
          <w:lang w:eastAsia="zh-CN"/>
        </w:rPr>
        <w:t>条例</w:t>
      </w:r>
      <w:r>
        <w:rPr>
          <w:rFonts w:hint="eastAsia" w:ascii="Times New Roman" w:hAnsi="Times New Roman" w:eastAsia="仿宋_GB2312" w:cs="Times New Roman"/>
          <w:color w:val="auto"/>
          <w:sz w:val="32"/>
          <w:szCs w:val="32"/>
        </w:rPr>
        <w:t>。</w:t>
      </w:r>
    </w:p>
    <w:p w14:paraId="1DF7CDE7">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通过开展一系列学法用法活动，使我委领导干部从严治政、依法行政、廉洁从政意识进一步增强，能够准确、熟练运用相关法律、法规，行政执法能力和服务水平得到提高。</w:t>
      </w:r>
    </w:p>
    <w:p w14:paraId="30AC0CF8">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（二）重视行政执法，全面提升执法效能</w:t>
      </w:r>
    </w:p>
    <w:p w14:paraId="7C9152F3">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我委继续落实全面推进行政执法责任制工作。围绕城管委工作重点，制定了202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度依法行政工作计划、法制宣传工作计划、法制学习培训计划。认真完善行政执法基础工作，做好行政执法平台管理工作，组织相关科室及时录入执法检查的情况，加强日常指导和监督；加强对执法人员的动态管理，开展执法证件申领、更换、监督和管理工作，履行行政执法监督职责。在行政执法过程中，认真履行行政执法职责，规范执法行为，不断加大行政执法力度。</w:t>
      </w:r>
    </w:p>
    <w:p w14:paraId="6C49BDC6">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color w:val="auto"/>
          <w:sz w:val="32"/>
        </w:rPr>
      </w:pPr>
      <w:r>
        <w:rPr>
          <w:rFonts w:hint="eastAsia" w:ascii="Times New Roman" w:hAnsi="Times New Roman" w:eastAsia="仿宋_GB2312" w:cs="Times New Roman"/>
          <w:sz w:val="32"/>
          <w:szCs w:val="32"/>
        </w:rPr>
        <w:t>目前数字东城网站上公示的我委各类行政权力事项</w:t>
      </w:r>
      <w:r>
        <w:rPr>
          <w:rFonts w:hint="eastAsia" w:ascii="Times New Roman" w:hAnsi="Times New Roman" w:eastAsia="仿宋_GB2312" w:cs="Times New Roman"/>
          <w:color w:val="auto"/>
          <w:sz w:val="32"/>
          <w:szCs w:val="32"/>
        </w:rPr>
        <w:t>共</w:t>
      </w:r>
      <w:r>
        <w:rPr>
          <w:rFonts w:hint="eastAsia" w:ascii="Times New Roman" w:hAnsi="Times New Roman" w:eastAsia="仿宋_GB2312" w:cs="Times New Roman"/>
          <w:sz w:val="32"/>
          <w:szCs w:val="32"/>
        </w:rPr>
        <w:t>103</w:t>
      </w:r>
      <w:r>
        <w:rPr>
          <w:rFonts w:hint="eastAsia" w:ascii="Times New Roman" w:hAnsi="Times New Roman" w:eastAsia="仿宋_GB2312" w:cs="Times New Roman"/>
          <w:color w:val="auto"/>
          <w:sz w:val="32"/>
          <w:szCs w:val="32"/>
        </w:rPr>
        <w:t>项，其中行政处罚</w:t>
      </w: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color w:val="auto"/>
          <w:sz w:val="32"/>
          <w:szCs w:val="32"/>
        </w:rPr>
        <w:t>项，行政许可</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color w:val="auto"/>
          <w:sz w:val="32"/>
          <w:szCs w:val="32"/>
        </w:rPr>
        <w:t>项；全委有执法资格人员</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color w:val="auto"/>
          <w:sz w:val="32"/>
          <w:szCs w:val="32"/>
        </w:rPr>
        <w:t>人（含水务执法资格</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color w:val="auto"/>
          <w:sz w:val="32"/>
          <w:szCs w:val="32"/>
        </w:rPr>
        <w:t>人）。</w:t>
      </w:r>
    </w:p>
    <w:p w14:paraId="702FC0EA">
      <w:pPr>
        <w:keepNext w:val="0"/>
        <w:keepLines w:val="0"/>
        <w:pageBreakBefore w:val="0"/>
        <w:numPr>
          <w:ilvl w:val="0"/>
          <w:numId w:val="1"/>
        </w:numPr>
        <w:tabs>
          <w:tab w:val="left" w:pos="8820"/>
        </w:tabs>
        <w:kinsoku/>
        <w:overflowPunct/>
        <w:topLinePunct w:val="0"/>
        <w:autoSpaceDE/>
        <w:autoSpaceDN/>
        <w:bidi w:val="0"/>
        <w:adjustRightInd w:val="0"/>
        <w:snapToGrid w:val="0"/>
        <w:spacing w:line="560" w:lineRule="exact"/>
        <w:ind w:right="0" w:rightChars="0" w:firstLine="643"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b/>
          <w:sz w:val="32"/>
          <w:szCs w:val="32"/>
        </w:rPr>
        <w:t>交通领域执法整治情况。</w:t>
      </w:r>
      <w:r>
        <w:rPr>
          <w:rFonts w:hint="eastAsia" w:ascii="Times New Roman" w:hAnsi="Times New Roman" w:eastAsia="仿宋_GB2312"/>
          <w:sz w:val="32"/>
          <w:szCs w:val="32"/>
        </w:rPr>
        <w:t>持续改善长安街沿线南北两侧一公里范围交通环境，完成大华路道路改造，</w:t>
      </w:r>
      <w:r>
        <w:rPr>
          <w:rFonts w:ascii="Times New Roman" w:hAnsi="Times New Roman" w:eastAsia="仿宋_GB2312" w:cs="Times New Roman"/>
          <w:sz w:val="32"/>
          <w:szCs w:val="32"/>
        </w:rPr>
        <w:t>对道路缩减了1条机动车道，并拓宽非机动车道及西侧人行步道宽度，翻新东侧步道，确保就诊市民来往顺畅。</w:t>
      </w:r>
      <w:r>
        <w:rPr>
          <w:rFonts w:hint="eastAsia" w:ascii="仿宋_GB2312" w:hAnsi="仿宋_GB2312" w:eastAsia="仿宋_GB2312" w:cs="仿宋_GB2312"/>
          <w:kern w:val="0"/>
          <w:sz w:val="32"/>
          <w:szCs w:val="32"/>
        </w:rPr>
        <w:t>推进次支路建设工作，</w:t>
      </w:r>
      <w:r>
        <w:rPr>
          <w:rFonts w:eastAsia="仿宋_GB2312"/>
          <w:sz w:val="32"/>
          <w:szCs w:val="32"/>
          <w:lang w:bidi="ar"/>
        </w:rPr>
        <w:t>北极阁路实现通车启用</w:t>
      </w:r>
      <w:r>
        <w:rPr>
          <w:rFonts w:ascii="Times New Roman" w:hAnsi="Times New Roman" w:eastAsia="仿宋_GB2312" w:cs="Times New Roman"/>
          <w:sz w:val="32"/>
          <w:szCs w:val="32"/>
        </w:rPr>
        <w:t>。</w:t>
      </w:r>
      <w:r>
        <w:rPr>
          <w:rFonts w:eastAsia="仿宋_GB2312"/>
          <w:sz w:val="32"/>
          <w:szCs w:val="32"/>
          <w:lang w:bidi="ar"/>
        </w:rPr>
        <w:t>启动崇文门商圈慢行系统示范区建设，</w:t>
      </w:r>
      <w:r>
        <w:rPr>
          <w:rFonts w:hint="eastAsia" w:eastAsia="仿宋_GB2312"/>
          <w:sz w:val="32"/>
          <w:szCs w:val="32"/>
          <w:lang w:bidi="ar"/>
        </w:rPr>
        <w:t>完成南、北花市大街</w:t>
      </w:r>
      <w:r>
        <w:rPr>
          <w:rFonts w:ascii="Times New Roman" w:hAnsi="Times New Roman" w:eastAsia="仿宋_GB2312" w:cs="Times New Roman"/>
          <w:color w:val="000000" w:themeColor="text1"/>
          <w:sz w:val="32"/>
          <w:szCs w:val="32"/>
          <w:lang w:bidi="ar"/>
          <w14:textFill>
            <w14:solidFill>
              <w14:schemeClr w14:val="tx1"/>
            </w14:solidFill>
          </w14:textFill>
        </w:rPr>
        <w:t>等</w:t>
      </w:r>
      <w:r>
        <w:rPr>
          <w:rFonts w:ascii="Times New Roman" w:hAnsi="Times New Roman" w:eastAsia="仿宋_GB2312" w:cs="Times New Roman"/>
          <w:color w:val="auto"/>
          <w:sz w:val="32"/>
          <w:szCs w:val="32"/>
          <w:lang w:bidi="ar"/>
        </w:rPr>
        <w:t>23</w:t>
      </w:r>
      <w:r>
        <w:rPr>
          <w:rFonts w:ascii="Times New Roman" w:hAnsi="Times New Roman" w:eastAsia="仿宋_GB2312" w:cs="Times New Roman"/>
          <w:color w:val="000000" w:themeColor="text1"/>
          <w:sz w:val="32"/>
          <w:szCs w:val="32"/>
          <w:lang w:bidi="ar"/>
          <w14:textFill>
            <w14:solidFill>
              <w14:schemeClr w14:val="tx1"/>
            </w14:solidFill>
          </w14:textFill>
        </w:rPr>
        <w:t>条</w:t>
      </w:r>
      <w:r>
        <w:rPr>
          <w:rFonts w:ascii="Times New Roman" w:hAnsi="Times New Roman" w:eastAsia="仿宋_GB2312" w:cs="Times New Roman"/>
          <w:sz w:val="32"/>
          <w:szCs w:val="32"/>
          <w:lang w:bidi="ar"/>
        </w:rPr>
        <w:t>道路</w:t>
      </w:r>
      <w:r>
        <w:rPr>
          <w:rFonts w:hint="eastAsia" w:eastAsia="仿宋_GB2312"/>
          <w:sz w:val="32"/>
          <w:szCs w:val="32"/>
          <w:lang w:bidi="ar"/>
        </w:rPr>
        <w:t>无障碍整治，</w:t>
      </w:r>
      <w:r>
        <w:rPr>
          <w:rFonts w:eastAsia="仿宋_GB2312"/>
          <w:sz w:val="32"/>
          <w:szCs w:val="32"/>
        </w:rPr>
        <w:t>进一步</w:t>
      </w:r>
      <w:r>
        <w:rPr>
          <w:rFonts w:eastAsia="仿宋_GB2312"/>
          <w:sz w:val="32"/>
          <w:szCs w:val="32"/>
          <w:lang w:bidi="ar"/>
        </w:rPr>
        <w:t>便利绿色出行，</w:t>
      </w:r>
      <w:r>
        <w:rPr>
          <w:rFonts w:eastAsia="仿宋_GB2312"/>
          <w:sz w:val="32"/>
          <w:szCs w:val="32"/>
        </w:rPr>
        <w:t>提升步行骑行舒适度</w:t>
      </w:r>
      <w:r>
        <w:rPr>
          <w:rFonts w:hint="eastAsia" w:eastAsia="仿宋_GB2312"/>
          <w:sz w:val="32"/>
          <w:szCs w:val="32"/>
          <w:lang w:eastAsia="zh-CN"/>
        </w:rPr>
        <w:t>。</w:t>
      </w:r>
      <w:r>
        <w:rPr>
          <w:rFonts w:hint="eastAsia" w:ascii="Times New Roman" w:hAnsi="Times New Roman" w:eastAsia="仿宋_GB2312"/>
          <w:sz w:val="32"/>
          <w:szCs w:val="32"/>
        </w:rPr>
        <w:t>持续推进</w:t>
      </w:r>
      <w:r>
        <w:rPr>
          <w:rFonts w:hint="eastAsia" w:ascii="Times New Roman" w:hAnsi="Times New Roman" w:eastAsia="仿宋_GB2312" w:cs="Times New Roman"/>
          <w:sz w:val="32"/>
          <w:szCs w:val="32"/>
        </w:rPr>
        <w:t>5</w:t>
      </w:r>
      <w:r>
        <w:rPr>
          <w:rFonts w:hint="eastAsia" w:ascii="Times New Roman" w:hAnsi="Times New Roman" w:eastAsia="仿宋_GB2312"/>
          <w:sz w:val="32"/>
          <w:szCs w:val="32"/>
        </w:rPr>
        <w:t>所学校、</w:t>
      </w:r>
      <w:r>
        <w:rPr>
          <w:rFonts w:hint="eastAsia" w:ascii="Times New Roman" w:hAnsi="Times New Roman" w:eastAsia="仿宋_GB2312" w:cs="Times New Roman"/>
          <w:sz w:val="32"/>
          <w:szCs w:val="32"/>
        </w:rPr>
        <w:t>9</w:t>
      </w:r>
      <w:r>
        <w:rPr>
          <w:rFonts w:hint="eastAsia" w:ascii="Times New Roman" w:hAnsi="Times New Roman" w:eastAsia="仿宋_GB2312"/>
          <w:sz w:val="32"/>
          <w:szCs w:val="32"/>
        </w:rPr>
        <w:t>所医院周边交通治理，</w:t>
      </w:r>
      <w:r>
        <w:rPr>
          <w:rFonts w:ascii="Times New Roman" w:hAnsi="Times New Roman" w:eastAsia="仿宋_GB2312" w:cs="Times New Roman"/>
          <w:sz w:val="32"/>
          <w:szCs w:val="32"/>
          <w:lang w:bidi="ar"/>
        </w:rPr>
        <w:t>东黄城根南街、北街和百果园路实现交通组织优化，基本消除秩序乱象</w:t>
      </w:r>
      <w:r>
        <w:rPr>
          <w:rFonts w:hint="eastAsia" w:ascii="Times New Roman" w:hAnsi="Times New Roman" w:eastAsia="仿宋_GB2312"/>
          <w:sz w:val="32"/>
          <w:szCs w:val="32"/>
        </w:rPr>
        <w:t>。实现全区</w:t>
      </w:r>
      <w:r>
        <w:rPr>
          <w:rFonts w:hint="eastAsia" w:ascii="Times New Roman" w:hAnsi="Times New Roman" w:eastAsia="仿宋_GB2312" w:cs="Times New Roman"/>
          <w:sz w:val="32"/>
          <w:szCs w:val="32"/>
        </w:rPr>
        <w:t>138</w:t>
      </w:r>
      <w:r>
        <w:rPr>
          <w:rFonts w:hint="eastAsia" w:ascii="Times New Roman" w:hAnsi="Times New Roman" w:eastAsia="仿宋_GB2312"/>
          <w:sz w:val="32"/>
          <w:szCs w:val="32"/>
        </w:rPr>
        <w:t>处轨道交通站口周边共享单车电子围栏监测全覆盖。加强胡同停车治理，推动东四、国子监等“安宁街区”建设，东四六条成为全区第</w:t>
      </w:r>
      <w:r>
        <w:rPr>
          <w:rFonts w:hint="eastAsia" w:ascii="Times New Roman" w:hAnsi="Times New Roman" w:eastAsia="仿宋_GB2312" w:cs="Times New Roman"/>
          <w:sz w:val="32"/>
          <w:szCs w:val="32"/>
        </w:rPr>
        <w:t>43</w:t>
      </w:r>
      <w:r>
        <w:rPr>
          <w:rFonts w:hint="eastAsia" w:ascii="Times New Roman" w:hAnsi="Times New Roman" w:eastAsia="仿宋_GB2312"/>
          <w:sz w:val="32"/>
          <w:szCs w:val="32"/>
        </w:rPr>
        <w:t>条“不停车”胡同。新增共享停</w:t>
      </w:r>
      <w:r>
        <w:rPr>
          <w:rFonts w:hint="eastAsia" w:ascii="Times New Roman" w:hAnsi="Times New Roman" w:eastAsia="仿宋_GB2312"/>
          <w:color w:val="auto"/>
          <w:sz w:val="32"/>
          <w:szCs w:val="32"/>
        </w:rPr>
        <w:t>车位</w:t>
      </w:r>
      <w:r>
        <w:rPr>
          <w:rFonts w:hint="eastAsia" w:ascii="Times New Roman" w:hAnsi="Times New Roman" w:eastAsia="仿宋_GB2312" w:cs="Times New Roman"/>
          <w:color w:val="auto"/>
          <w:sz w:val="32"/>
          <w:szCs w:val="32"/>
        </w:rPr>
        <w:t>720</w:t>
      </w:r>
      <w:r>
        <w:rPr>
          <w:rFonts w:hint="eastAsia" w:ascii="Times New Roman" w:hAnsi="Times New Roman" w:eastAsia="仿宋_GB2312"/>
          <w:color w:val="auto"/>
          <w:sz w:val="32"/>
          <w:szCs w:val="32"/>
        </w:rPr>
        <w:t>个。</w:t>
      </w:r>
      <w:r>
        <w:rPr>
          <w:rFonts w:ascii="Times New Roman" w:hAnsi="Times New Roman" w:eastAsia="仿宋_GB2312" w:cs="Times New Roman"/>
          <w:color w:val="auto"/>
          <w:sz w:val="32"/>
          <w:szCs w:val="32"/>
        </w:rPr>
        <w:t>持续做好机动车停车场备案，推进停车诱导系统建设，</w:t>
      </w:r>
      <w:r>
        <w:rPr>
          <w:rFonts w:hint="eastAsia" w:ascii="Times New Roman" w:hAnsi="Times New Roman" w:eastAsia="仿宋_GB2312" w:cs="Times New Roman"/>
          <w:color w:val="auto"/>
          <w:sz w:val="32"/>
          <w:szCs w:val="32"/>
        </w:rPr>
        <w:t>全</w:t>
      </w:r>
      <w:r>
        <w:rPr>
          <w:rFonts w:ascii="Times New Roman" w:hAnsi="Times New Roman" w:eastAsia="仿宋_GB2312" w:cs="Times New Roman"/>
          <w:color w:val="auto"/>
          <w:sz w:val="32"/>
          <w:szCs w:val="32"/>
        </w:rPr>
        <w:t>区经营性备案停车场动态数据对接全部完成</w:t>
      </w:r>
      <w:r>
        <w:rPr>
          <w:rFonts w:hint="eastAsia" w:ascii="Times New Roman" w:hAnsi="Times New Roman" w:eastAsia="仿宋_GB2312" w:cs="Times New Roman"/>
          <w:color w:val="auto"/>
          <w:sz w:val="32"/>
          <w:szCs w:val="32"/>
          <w:lang w:eastAsia="zh-CN"/>
        </w:rPr>
        <w:t>。</w:t>
      </w:r>
    </w:p>
    <w:p w14:paraId="5101C15D">
      <w:pPr>
        <w:keepNext w:val="0"/>
        <w:keepLines w:val="0"/>
        <w:pageBreakBefore w:val="0"/>
        <w:widowControl/>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提高道路停车管理服务质量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道路停车电子收费</w:t>
      </w:r>
      <w:r>
        <w:rPr>
          <w:rFonts w:hint="eastAsia" w:ascii="Times New Roman" w:hAnsi="Times New Roman" w:eastAsia="仿宋_GB2312" w:cs="Times New Roman"/>
          <w:color w:val="auto"/>
          <w:sz w:val="32"/>
          <w:szCs w:val="32"/>
        </w:rPr>
        <w:t>工作不断</w:t>
      </w:r>
      <w:r>
        <w:rPr>
          <w:rFonts w:ascii="Times New Roman" w:hAnsi="Times New Roman" w:eastAsia="仿宋_GB2312" w:cs="Times New Roman"/>
          <w:color w:val="auto"/>
          <w:sz w:val="32"/>
          <w:szCs w:val="32"/>
        </w:rPr>
        <w:t>提高工作效率、</w:t>
      </w:r>
      <w:r>
        <w:rPr>
          <w:rFonts w:hint="eastAsia" w:ascii="Times New Roman" w:hAnsi="Times New Roman" w:eastAsia="仿宋_GB2312" w:cs="Times New Roman"/>
          <w:color w:val="auto"/>
          <w:sz w:val="32"/>
          <w:szCs w:val="32"/>
        </w:rPr>
        <w:t>优化工作流程</w:t>
      </w:r>
      <w:r>
        <w:rPr>
          <w:rFonts w:ascii="Times New Roman" w:hAnsi="Times New Roman" w:eastAsia="仿宋_GB2312" w:cs="Times New Roman"/>
          <w:color w:val="auto"/>
          <w:sz w:val="32"/>
          <w:szCs w:val="32"/>
        </w:rPr>
        <w:t>。截</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rPr>
        <w:t>12</w:t>
      </w:r>
      <w:r>
        <w:rPr>
          <w:rFonts w:ascii="Times New Roman" w:hAnsi="Times New Roman" w:eastAsia="仿宋_GB2312" w:cs="Times New Roman"/>
          <w:color w:val="auto"/>
          <w:sz w:val="32"/>
          <w:szCs w:val="32"/>
        </w:rPr>
        <w:t>月3</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日，东城区道路停车共计服务车次1104.65次，月均服务车次92.05万次，共计服务车辆468.25万辆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持续做好居民认证工作</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执行“个人申请，街道（社区）审查、公示，区级平台复审”的居住停车认证程序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共</w:t>
      </w:r>
      <w:r>
        <w:rPr>
          <w:rFonts w:hint="eastAsia" w:ascii="Times New Roman" w:hAnsi="Times New Roman" w:eastAsia="仿宋_GB2312" w:cs="Times New Roman"/>
          <w:color w:val="auto"/>
          <w:sz w:val="32"/>
          <w:szCs w:val="32"/>
        </w:rPr>
        <w:t>计</w:t>
      </w:r>
      <w:r>
        <w:rPr>
          <w:rFonts w:ascii="Times New Roman" w:hAnsi="Times New Roman" w:eastAsia="仿宋_GB2312" w:cs="Times New Roman"/>
          <w:color w:val="auto"/>
          <w:sz w:val="32"/>
          <w:szCs w:val="32"/>
        </w:rPr>
        <w:t>13000辆居民车辆通过居住停车认证，实现了新旧居民认证车辆的平稳过渡</w:t>
      </w:r>
      <w:r>
        <w:rPr>
          <w:rFonts w:hint="eastAsia" w:ascii="Times New Roman" w:hAnsi="Times New Roman" w:eastAsia="仿宋_GB2312" w:cs="Times New Roman"/>
          <w:color w:val="auto"/>
          <w:sz w:val="32"/>
          <w:szCs w:val="32"/>
        </w:rPr>
        <w:t>。</w:t>
      </w:r>
    </w:p>
    <w:p w14:paraId="7F26FF8B">
      <w:pPr>
        <w:keepNext w:val="0"/>
        <w:keepLines w:val="0"/>
        <w:pageBreakBefore w:val="0"/>
        <w:kinsoku/>
        <w:overflowPunct/>
        <w:topLinePunct w:val="0"/>
        <w:autoSpaceDE/>
        <w:autoSpaceDN/>
        <w:bidi w:val="0"/>
        <w:adjustRightInd w:val="0"/>
        <w:snapToGrid w:val="0"/>
        <w:spacing w:line="560" w:lineRule="exact"/>
        <w:ind w:right="0" w:rightChars="0"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rPr>
        <w:t xml:space="preserve">. </w:t>
      </w:r>
      <w:r>
        <w:rPr>
          <w:rFonts w:hint="eastAsia" w:ascii="Times New Roman" w:hAnsi="Times New Roman" w:eastAsia="仿宋_GB2312" w:cs="Times New Roman"/>
          <w:b/>
          <w:bCs/>
          <w:sz w:val="32"/>
          <w:szCs w:val="32"/>
        </w:rPr>
        <w:t>城市运行执法检查情况</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
          <w:bCs/>
          <w:sz w:val="32"/>
          <w:szCs w:val="32"/>
        </w:rPr>
        <w:t>一是</w:t>
      </w:r>
      <w:r>
        <w:rPr>
          <w:rFonts w:eastAsia="仿宋_GB2312"/>
          <w:sz w:val="32"/>
          <w:szCs w:val="32"/>
        </w:rPr>
        <w:t>深入</w:t>
      </w:r>
      <w:r>
        <w:rPr>
          <w:rFonts w:eastAsia="仿宋_GB2312"/>
          <w:kern w:val="0"/>
          <w:sz w:val="32"/>
          <w:szCs w:val="32"/>
        </w:rPr>
        <w:t>开展</w:t>
      </w:r>
      <w:r>
        <w:rPr>
          <w:rFonts w:hint="eastAsia" w:eastAsia="仿宋_GB2312"/>
          <w:kern w:val="0"/>
          <w:sz w:val="32"/>
          <w:szCs w:val="32"/>
        </w:rPr>
        <w:t>城市运行领域</w:t>
      </w:r>
      <w:r>
        <w:rPr>
          <w:rFonts w:ascii="Times New Roman" w:hAnsi="Times New Roman" w:eastAsia="仿宋_GB2312" w:cs="Times New Roman"/>
          <w:sz w:val="32"/>
          <w:szCs w:val="32"/>
        </w:rPr>
        <w:t>安全生产整治“百日行动”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全区违法建设安全隐患</w:t>
      </w:r>
      <w:r>
        <w:rPr>
          <w:rFonts w:hint="eastAsia" w:ascii="Times New Roman" w:hAnsi="Times New Roman" w:eastAsia="仿宋_GB2312" w:cs="Times New Roman"/>
          <w:sz w:val="32"/>
          <w:szCs w:val="32"/>
        </w:rPr>
        <w:t>、户外广告设施和牌匾标识安全隐患的</w:t>
      </w:r>
      <w:r>
        <w:rPr>
          <w:rFonts w:ascii="Times New Roman" w:hAnsi="Times New Roman" w:eastAsia="仿宋_GB2312" w:cs="Times New Roman"/>
          <w:sz w:val="32"/>
          <w:szCs w:val="32"/>
        </w:rPr>
        <w:t>排查</w:t>
      </w:r>
      <w:r>
        <w:rPr>
          <w:rFonts w:hint="eastAsia" w:ascii="Times New Roman" w:hAnsi="Times New Roman" w:eastAsia="仿宋_GB2312" w:cs="Times New Roman"/>
          <w:sz w:val="32"/>
          <w:szCs w:val="32"/>
        </w:rPr>
        <w:t>整治</w:t>
      </w:r>
      <w:r>
        <w:rPr>
          <w:rFonts w:ascii="Times New Roman" w:hAnsi="Times New Roman" w:eastAsia="仿宋_GB2312" w:cs="Times New Roman"/>
          <w:sz w:val="32"/>
          <w:szCs w:val="32"/>
        </w:rPr>
        <w:t>。围绕电力、燃气运行，电动自行车充电、环卫设施作业、有限空间作业、建筑垃圾运输等，开展系统性风险隐患排查和整治，区领导</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次</w:t>
      </w:r>
      <w:r>
        <w:rPr>
          <w:rFonts w:ascii="Times New Roman" w:hAnsi="Times New Roman" w:eastAsia="仿宋_GB2312" w:cs="Times New Roman"/>
          <w:sz w:val="32"/>
          <w:szCs w:val="32"/>
        </w:rPr>
        <w:t>带队夜查，累计检查6100余处（次），消除各类隐患394处。</w:t>
      </w:r>
      <w:r>
        <w:rPr>
          <w:rFonts w:ascii="Times New Roman" w:hAnsi="Times New Roman" w:eastAsia="仿宋_GB2312" w:cs="Times New Roman"/>
          <w:color w:val="000000"/>
          <w:sz w:val="32"/>
          <w:szCs w:val="32"/>
        </w:rPr>
        <w:t>累计开展户外广告设施和牌匾标识排查</w:t>
      </w:r>
      <w:r>
        <w:rPr>
          <w:rFonts w:ascii="Times New Roman" w:hAnsi="Times New Roman" w:eastAsia="仿宋_GB2312" w:cs="Times New Roman"/>
          <w:sz w:val="32"/>
          <w:szCs w:val="32"/>
        </w:rPr>
        <w:t>509</w:t>
      </w:r>
      <w:r>
        <w:rPr>
          <w:rFonts w:ascii="Times New Roman" w:hAnsi="Times New Roman" w:eastAsia="仿宋_GB2312" w:cs="Times New Roman"/>
          <w:color w:val="000000"/>
          <w:sz w:val="32"/>
          <w:szCs w:val="32"/>
        </w:rPr>
        <w:t>次，排查广告设施数量</w:t>
      </w:r>
      <w:r>
        <w:rPr>
          <w:rFonts w:ascii="Times New Roman" w:hAnsi="Times New Roman" w:eastAsia="仿宋_GB2312" w:cs="Times New Roman"/>
          <w:sz w:val="32"/>
          <w:szCs w:val="32"/>
        </w:rPr>
        <w:t>1297</w:t>
      </w:r>
      <w:r>
        <w:rPr>
          <w:rFonts w:ascii="Times New Roman" w:hAnsi="Times New Roman" w:eastAsia="仿宋_GB2312" w:cs="Times New Roman"/>
          <w:color w:val="000000"/>
          <w:sz w:val="32"/>
          <w:szCs w:val="32"/>
        </w:rPr>
        <w:t>块，排查牌匾标识数量</w:t>
      </w:r>
      <w:r>
        <w:rPr>
          <w:rFonts w:ascii="Times New Roman" w:hAnsi="Times New Roman" w:eastAsia="仿宋_GB2312" w:cs="Times New Roman"/>
          <w:sz w:val="32"/>
          <w:szCs w:val="32"/>
        </w:rPr>
        <w:t>3935</w:t>
      </w:r>
      <w:r>
        <w:rPr>
          <w:rFonts w:ascii="Times New Roman" w:hAnsi="Times New Roman" w:eastAsia="仿宋_GB2312" w:cs="Times New Roman"/>
          <w:color w:val="000000"/>
          <w:sz w:val="32"/>
          <w:szCs w:val="32"/>
        </w:rPr>
        <w:t>块，</w:t>
      </w:r>
      <w:r>
        <w:rPr>
          <w:rFonts w:ascii="Times New Roman" w:hAnsi="Times New Roman" w:eastAsia="仿宋_GB2312" w:cs="Times New Roman"/>
          <w:sz w:val="32"/>
          <w:szCs w:val="32"/>
          <w:lang w:val="zh-TW"/>
        </w:rPr>
        <w:t>开展大风、雷雨等极端天气安全巡查</w:t>
      </w:r>
      <w:r>
        <w:rPr>
          <w:rFonts w:ascii="Times New Roman" w:hAnsi="Times New Roman" w:eastAsia="仿宋_GB2312" w:cs="Times New Roman"/>
          <w:sz w:val="32"/>
          <w:szCs w:val="32"/>
        </w:rPr>
        <w:t>60余次，</w:t>
      </w:r>
      <w:r>
        <w:rPr>
          <w:rFonts w:ascii="Times New Roman" w:hAnsi="Times New Roman" w:eastAsia="仿宋_GB2312" w:cs="Times New Roman"/>
          <w:kern w:val="0"/>
          <w:sz w:val="32"/>
          <w:szCs w:val="32"/>
        </w:rPr>
        <w:t>实现了辖区内户外广告牌匾安全隐患排查全覆盖。</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sz w:val="32"/>
          <w:szCs w:val="32"/>
        </w:rPr>
        <w:t>建立燃气安全应急联动处置机制，</w:t>
      </w:r>
      <w:r>
        <w:rPr>
          <w:rFonts w:ascii="Times New Roman" w:hAnsi="Times New Roman" w:eastAsia="仿宋_GB2312" w:cs="Times New Roman"/>
          <w:sz w:val="32"/>
          <w:szCs w:val="32"/>
        </w:rPr>
        <w:t>累</w:t>
      </w:r>
      <w:r>
        <w:rPr>
          <w:rFonts w:ascii="Times New Roman" w:hAnsi="Times New Roman" w:eastAsia="仿宋_GB2312" w:cs="Times New Roman"/>
          <w:color w:val="auto"/>
          <w:sz w:val="32"/>
          <w:szCs w:val="32"/>
        </w:rPr>
        <w:t>计安装燃气安全型配件9.5万户</w:t>
      </w:r>
      <w:r>
        <w:rPr>
          <w:rFonts w:hint="eastAsia" w:ascii="Times New Roman" w:hAnsi="Times New Roman" w:eastAsia="仿宋_GB2312" w:cs="Times New Roman"/>
          <w:color w:val="auto"/>
          <w:sz w:val="32"/>
          <w:szCs w:val="32"/>
        </w:rPr>
        <w:t>，完成了市政府实事任务58282户的任务目标</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全力推进燃气管线占压隐患治理。全区共有在账占压隐患112处，目前已消隐占压隐患7</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处。完成全区56处燃油锅炉改造。</w:t>
      </w:r>
    </w:p>
    <w:p w14:paraId="622CD0CE">
      <w:pPr>
        <w:keepNext w:val="0"/>
        <w:keepLines w:val="0"/>
        <w:pageBreakBefore w:val="0"/>
        <w:kinsoku/>
        <w:overflowPunct/>
        <w:topLinePunct w:val="0"/>
        <w:autoSpaceDE/>
        <w:autoSpaceDN/>
        <w:bidi w:val="0"/>
        <w:adjustRightInd w:val="0"/>
        <w:snapToGrid w:val="0"/>
        <w:spacing w:line="560" w:lineRule="exact"/>
        <w:ind w:right="0" w:rightChars="0" w:firstLine="643" w:firstLineChars="200"/>
        <w:textAlignment w:val="auto"/>
        <w:rPr>
          <w:rFonts w:ascii="Times New Roman" w:hAnsi="Times New Roman" w:eastAsia="仿宋_GB2312" w:cs="Times New Roman"/>
          <w:sz w:val="32"/>
          <w:szCs w:val="32"/>
          <w:highlight w:val="yellow"/>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Times New Roman" w:hAnsi="Times New Roman" w:eastAsia="仿宋_GB2312" w:cs="Times New Roman"/>
          <w:b/>
          <w:bCs/>
          <w:sz w:val="32"/>
          <w:szCs w:val="32"/>
        </w:rPr>
        <w:t>河湖水务执法检查情况。</w:t>
      </w:r>
      <w:r>
        <w:rPr>
          <w:rFonts w:ascii="Times New Roman" w:hAnsi="Times New Roman" w:eastAsia="仿宋_GB2312" w:cs="Times New Roman"/>
          <w:bCs/>
          <w:sz w:val="32"/>
          <w:szCs w:val="32"/>
        </w:rPr>
        <w:t>加强水环境治理和海绵城市建设，市级考核断面水质达标，优良水体比例达到</w:t>
      </w:r>
      <w:r>
        <w:rPr>
          <w:rFonts w:ascii="Times New Roman" w:hAnsi="Times New Roman" w:eastAsia="仿宋_GB2312" w:cs="Times New Roman"/>
          <w:sz w:val="32"/>
          <w:szCs w:val="32"/>
        </w:rPr>
        <w:t>75%</w:t>
      </w:r>
      <w:r>
        <w:rPr>
          <w:rFonts w:ascii="Times New Roman" w:hAnsi="Times New Roman" w:eastAsia="仿宋_GB2312" w:cs="Times New Roman"/>
          <w:bCs/>
          <w:sz w:val="32"/>
          <w:szCs w:val="32"/>
        </w:rPr>
        <w:t>。全区</w:t>
      </w:r>
      <w:r>
        <w:rPr>
          <w:rFonts w:ascii="Times New Roman" w:hAnsi="Times New Roman" w:eastAsia="仿宋_GB2312" w:cs="Times New Roman"/>
          <w:sz w:val="32"/>
          <w:szCs w:val="32"/>
        </w:rPr>
        <w:t>36.097%</w:t>
      </w:r>
      <w:r>
        <w:rPr>
          <w:rFonts w:ascii="Times New Roman" w:hAnsi="Times New Roman" w:eastAsia="仿宋_GB2312" w:cs="Times New Roman"/>
          <w:bCs/>
          <w:sz w:val="32"/>
          <w:szCs w:val="32"/>
        </w:rPr>
        <w:t>的面积达到海绵城市建设标准，超额完成</w:t>
      </w:r>
      <w:r>
        <w:rPr>
          <w:rFonts w:ascii="Times New Roman" w:hAnsi="Times New Roman" w:eastAsia="仿宋_GB2312" w:cs="Times New Roman"/>
          <w:sz w:val="32"/>
          <w:szCs w:val="32"/>
        </w:rPr>
        <w:t>2022</w:t>
      </w:r>
      <w:r>
        <w:rPr>
          <w:rFonts w:ascii="Times New Roman" w:hAnsi="Times New Roman" w:eastAsia="仿宋_GB2312" w:cs="Times New Roman"/>
          <w:bCs/>
          <w:sz w:val="32"/>
          <w:szCs w:val="32"/>
        </w:rPr>
        <w:t>年</w:t>
      </w:r>
      <w:r>
        <w:rPr>
          <w:rFonts w:ascii="Times New Roman" w:hAnsi="Times New Roman" w:eastAsia="仿宋_GB2312" w:cs="Times New Roman"/>
          <w:sz w:val="32"/>
          <w:szCs w:val="32"/>
        </w:rPr>
        <w:t>30%</w:t>
      </w:r>
      <w:r>
        <w:rPr>
          <w:rFonts w:ascii="Times New Roman" w:hAnsi="Times New Roman" w:eastAsia="仿宋_GB2312" w:cs="Times New Roman"/>
          <w:bCs/>
          <w:sz w:val="32"/>
          <w:szCs w:val="32"/>
        </w:rPr>
        <w:t>的任务指标</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治理</w:t>
      </w:r>
      <w:r>
        <w:rPr>
          <w:rFonts w:ascii="Times New Roman" w:hAnsi="Times New Roman" w:eastAsia="仿宋_GB2312" w:cs="Times New Roman"/>
          <w:sz w:val="32"/>
          <w:szCs w:val="32"/>
        </w:rPr>
        <w:t>120</w:t>
      </w:r>
      <w:r>
        <w:rPr>
          <w:rFonts w:ascii="Times New Roman" w:hAnsi="Times New Roman" w:eastAsia="仿宋_GB2312" w:cs="Times New Roman"/>
          <w:bCs/>
          <w:sz w:val="32"/>
          <w:szCs w:val="32"/>
        </w:rPr>
        <w:t>处雨污管线混接。</w:t>
      </w:r>
      <w:r>
        <w:rPr>
          <w:rFonts w:hint="eastAsia" w:ascii="Times New Roman" w:hAnsi="Times New Roman" w:eastAsia="仿宋_GB2312" w:cs="Times New Roman"/>
          <w:bCs/>
          <w:sz w:val="32"/>
          <w:szCs w:val="32"/>
        </w:rPr>
        <w:t>加</w:t>
      </w:r>
      <w:r>
        <w:rPr>
          <w:rFonts w:hint="eastAsia" w:ascii="Times New Roman" w:hAnsi="Times New Roman" w:eastAsia="仿宋_GB2312"/>
          <w:color w:val="auto"/>
          <w:sz w:val="32"/>
          <w:szCs w:val="32"/>
          <w:shd w:val="clear" w:color="auto" w:fill="auto"/>
        </w:rPr>
        <w:t>大节水执法检查，</w:t>
      </w:r>
      <w:r>
        <w:rPr>
          <w:rFonts w:hint="eastAsia" w:ascii="Times New Roman" w:hAnsi="Times New Roman" w:eastAsia="仿宋_GB2312"/>
          <w:color w:val="auto"/>
          <w:sz w:val="32"/>
          <w:szCs w:val="32"/>
          <w:shd w:val="clear" w:color="auto" w:fill="auto"/>
          <w:lang w:eastAsia="zh-CN"/>
        </w:rPr>
        <w:t>截止</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olor w:val="auto"/>
          <w:sz w:val="32"/>
          <w:szCs w:val="32"/>
          <w:shd w:val="clear" w:color="auto" w:fill="auto"/>
          <w:lang w:val="en-US" w:eastAsia="zh-CN"/>
        </w:rPr>
        <w:t>月底，</w:t>
      </w:r>
      <w:r>
        <w:rPr>
          <w:rFonts w:hint="eastAsia" w:ascii="Times New Roman" w:hAnsi="Times New Roman" w:eastAsia="仿宋_GB2312"/>
          <w:color w:val="auto"/>
          <w:sz w:val="32"/>
          <w:szCs w:val="32"/>
          <w:shd w:val="clear" w:color="auto" w:fill="auto"/>
        </w:rPr>
        <w:t>检查单位</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80</w:t>
      </w:r>
      <w:r>
        <w:rPr>
          <w:rFonts w:hint="eastAsia" w:ascii="Times New Roman" w:hAnsi="Times New Roman" w:eastAsia="仿宋_GB2312"/>
          <w:color w:val="auto"/>
          <w:sz w:val="32"/>
          <w:szCs w:val="32"/>
          <w:shd w:val="clear" w:color="auto" w:fill="auto"/>
        </w:rPr>
        <w:t>家，处罚</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olor w:val="auto"/>
          <w:sz w:val="32"/>
          <w:szCs w:val="32"/>
          <w:shd w:val="clear" w:color="auto" w:fill="auto"/>
        </w:rPr>
        <w:t>家，累计罚款</w:t>
      </w:r>
      <w:r>
        <w:rPr>
          <w:rFonts w:hint="eastAsia" w:ascii="Times New Roman" w:hAnsi="Times New Roman" w:eastAsia="仿宋_GB2312" w:cs="Times New Roman"/>
          <w:sz w:val="32"/>
          <w:szCs w:val="32"/>
          <w:lang w:val="en-US" w:eastAsia="zh-CN"/>
        </w:rPr>
        <w:t>22600</w:t>
      </w:r>
      <w:r>
        <w:rPr>
          <w:rFonts w:hint="eastAsia" w:ascii="Times New Roman" w:hAnsi="Times New Roman" w:eastAsia="仿宋_GB2312"/>
          <w:color w:val="auto"/>
          <w:sz w:val="32"/>
          <w:szCs w:val="32"/>
          <w:shd w:val="clear" w:color="auto" w:fill="auto"/>
        </w:rPr>
        <w:t>元</w:t>
      </w:r>
      <w:r>
        <w:rPr>
          <w:rFonts w:hint="eastAsia" w:ascii="Times New Roman" w:hAnsi="Times New Roman" w:eastAsia="仿宋_GB2312"/>
          <w:sz w:val="32"/>
          <w:szCs w:val="32"/>
        </w:rPr>
        <w:t>。</w:t>
      </w:r>
    </w:p>
    <w:p w14:paraId="1BC92AE3">
      <w:pPr>
        <w:keepNext w:val="0"/>
        <w:keepLines w:val="0"/>
        <w:pageBreakBefore w:val="0"/>
        <w:kinsoku/>
        <w:overflowPunct/>
        <w:topLinePunct w:val="0"/>
        <w:autoSpaceDE/>
        <w:autoSpaceDN/>
        <w:bidi w:val="0"/>
        <w:adjustRightInd w:val="0"/>
        <w:snapToGrid w:val="0"/>
        <w:spacing w:line="560" w:lineRule="exact"/>
        <w:ind w:right="0" w:rightChars="0" w:firstLine="643" w:firstLineChars="200"/>
        <w:jc w:val="left"/>
        <w:textAlignment w:val="auto"/>
        <w:rPr>
          <w:rFonts w:ascii="Times New Roman" w:hAnsi="Times New Roman" w:eastAsia="仿宋_GB2312" w:cs="Times New Roman"/>
          <w:sz w:val="32"/>
          <w:szCs w:val="32"/>
          <w:lang w:bidi="ar"/>
        </w:rPr>
      </w:pPr>
      <w:r>
        <w:rPr>
          <w:rFonts w:hint="eastAsia" w:ascii="Times New Roman" w:hAnsi="Times New Roman" w:eastAsia="仿宋_GB2312"/>
          <w:b/>
          <w:sz w:val="32"/>
          <w:szCs w:val="32"/>
          <w:lang w:val="en-US" w:eastAsia="zh-CN"/>
        </w:rPr>
        <w:t>4</w:t>
      </w:r>
      <w:r>
        <w:rPr>
          <w:rFonts w:hint="eastAsia" w:ascii="Times New Roman" w:hAnsi="Times New Roman" w:eastAsia="仿宋_GB2312"/>
          <w:b/>
          <w:sz w:val="32"/>
          <w:szCs w:val="32"/>
        </w:rPr>
        <w:t>.</w:t>
      </w:r>
      <w:r>
        <w:rPr>
          <w:rFonts w:hint="eastAsia" w:ascii="Times New Roman" w:hAnsi="Times New Roman" w:eastAsia="仿宋_GB2312" w:cs="Times New Roman"/>
          <w:b/>
          <w:bCs/>
          <w:color w:val="000000" w:themeColor="text1"/>
          <w:sz w:val="32"/>
          <w:szCs w:val="32"/>
          <w14:textFill>
            <w14:solidFill>
              <w14:schemeClr w14:val="tx1"/>
            </w14:solidFill>
          </w14:textFill>
        </w:rPr>
        <w:t>疫情防控决策</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落实情况</w:t>
      </w:r>
      <w:r>
        <w:rPr>
          <w:rFonts w:hint="eastAsia" w:ascii="Times New Roman" w:hAnsi="Times New Roman" w:eastAsia="仿宋_GB2312" w:cs="Times New Roman"/>
          <w:b/>
          <w:bCs/>
          <w:color w:val="000000" w:themeColor="text1"/>
          <w:sz w:val="32"/>
          <w:szCs w:val="32"/>
          <w14:textFill>
            <w14:solidFill>
              <w14:schemeClr w14:val="tx1"/>
            </w14:solidFill>
          </w14:textFill>
        </w:rPr>
        <w:t>。</w:t>
      </w:r>
      <w:r>
        <w:rPr>
          <w:rFonts w:hint="eastAsia" w:eastAsia="仿宋_GB2312"/>
          <w:sz w:val="32"/>
          <w:szCs w:val="32"/>
        </w:rPr>
        <w:t>牵头防控办城市运行和环境保障组，</w:t>
      </w:r>
      <w:r>
        <w:rPr>
          <w:rFonts w:eastAsia="仿宋_GB2312"/>
          <w:sz w:val="32"/>
          <w:szCs w:val="32"/>
        </w:rPr>
        <w:t>筑牢疫情</w:t>
      </w:r>
      <w:r>
        <w:rPr>
          <w:rFonts w:hint="eastAsia" w:eastAsia="仿宋_GB2312"/>
          <w:sz w:val="32"/>
          <w:szCs w:val="32"/>
        </w:rPr>
        <w:t>“</w:t>
      </w:r>
      <w:r>
        <w:rPr>
          <w:rFonts w:eastAsia="仿宋_GB2312"/>
          <w:sz w:val="32"/>
          <w:szCs w:val="32"/>
        </w:rPr>
        <w:t>环卫防线</w:t>
      </w:r>
      <w:r>
        <w:rPr>
          <w:rFonts w:hint="eastAsia" w:eastAsia="仿宋_GB2312"/>
          <w:sz w:val="32"/>
          <w:szCs w:val="32"/>
        </w:rPr>
        <w:t>”，持续开展社区环境卫生治理，严格督促落实公厕消毒标准。主动问需，服务民生需求，保障水电气热平稳有序运行。</w:t>
      </w:r>
      <w:r>
        <w:rPr>
          <w:rFonts w:ascii="Times New Roman" w:hAnsi="Times New Roman" w:eastAsia="仿宋_GB2312" w:cs="Times New Roman"/>
          <w:color w:val="000000" w:themeColor="text1"/>
          <w:sz w:val="32"/>
          <w:szCs w:val="32"/>
          <w14:textFill>
            <w14:solidFill>
              <w14:schemeClr w14:val="tx1"/>
            </w14:solidFill>
          </w14:textFill>
        </w:rPr>
        <w:t>探索城市运行系统高风险区逆行保障机制。今冬供暖季与规模化疫情叠加</w:t>
      </w:r>
      <w:r>
        <w:rPr>
          <w:rFonts w:ascii="Times New Roman" w:hAnsi="Times New Roman" w:eastAsia="仿宋_GB2312" w:cs="Times New Roman"/>
          <w:sz w:val="32"/>
          <w:szCs w:val="32"/>
          <w:lang w:bidi="ar"/>
        </w:rPr>
        <w:t>，协调供热抢修闭环团队，备齐备足抢险物资和防疫物资，进驻和平里街道，负责管控区域内供热应急抢修工作。</w:t>
      </w:r>
      <w:r>
        <w:rPr>
          <w:rFonts w:ascii="Times New Roman" w:hAnsi="Times New Roman" w:eastAsia="仿宋_GB2312" w:cs="Times New Roman"/>
          <w:sz w:val="32"/>
          <w:szCs w:val="32"/>
        </w:rPr>
        <w:t>统筹交通运</w:t>
      </w:r>
      <w:r>
        <w:rPr>
          <w:rFonts w:hint="eastAsia" w:eastAsia="仿宋_GB2312"/>
          <w:sz w:val="32"/>
          <w:szCs w:val="32"/>
        </w:rPr>
        <w:t>输领域防控，</w:t>
      </w:r>
      <w:r>
        <w:rPr>
          <w:rFonts w:ascii="Times New Roman" w:hAnsi="Times New Roman" w:eastAsia="仿宋_GB2312" w:cs="Times New Roman"/>
          <w:sz w:val="32"/>
          <w:szCs w:val="32"/>
        </w:rPr>
        <w:t>全力做好物流运输行业疫情防控专项检查工作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开展邮政快递行业疫情防控督查检查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累计出动执法人员</w:t>
      </w:r>
      <w:r>
        <w:rPr>
          <w:rFonts w:ascii="Times New Roman" w:hAnsi="Times New Roman" w:eastAsia="仿宋_GB2312" w:cs="Times New Roman"/>
          <w:sz w:val="32"/>
          <w:szCs w:val="32"/>
        </w:rPr>
        <w:t>802</w:t>
      </w:r>
      <w:r>
        <w:rPr>
          <w:rFonts w:ascii="Times New Roman" w:hAnsi="Times New Roman" w:eastAsia="仿宋_GB2312" w:cs="Times New Roman"/>
          <w:sz w:val="32"/>
          <w:szCs w:val="32"/>
          <w:shd w:val="clear" w:color="auto" w:fill="FFFFFF"/>
        </w:rPr>
        <w:t>人次，检查网点275点次</w:t>
      </w:r>
      <w:r>
        <w:rPr>
          <w:rFonts w:ascii="Times New Roman" w:hAnsi="Times New Roman" w:eastAsia="仿宋_GB2312" w:cs="Times New Roman"/>
          <w:sz w:val="32"/>
          <w:szCs w:val="32"/>
        </w:rPr>
        <w:t>。</w:t>
      </w:r>
      <w:r>
        <w:rPr>
          <w:rFonts w:ascii="仿宋_GB2312" w:eastAsia="仿宋_GB2312"/>
          <w:sz w:val="32"/>
          <w:szCs w:val="32"/>
        </w:rPr>
        <w:t>组</w:t>
      </w:r>
      <w:r>
        <w:rPr>
          <w:rFonts w:hint="eastAsia" w:ascii="仿宋_GB2312" w:eastAsia="仿宋_GB2312"/>
          <w:sz w:val="32"/>
          <w:szCs w:val="32"/>
        </w:rPr>
        <w:t>建</w:t>
      </w:r>
      <w:r>
        <w:rPr>
          <w:rFonts w:ascii="仿宋_GB2312" w:eastAsia="仿宋_GB2312"/>
          <w:sz w:val="32"/>
          <w:szCs w:val="32"/>
        </w:rPr>
        <w:t>生活</w:t>
      </w:r>
      <w:r>
        <w:rPr>
          <w:rFonts w:hint="eastAsia" w:ascii="仿宋_GB2312" w:eastAsia="仿宋_GB2312"/>
          <w:sz w:val="32"/>
          <w:szCs w:val="32"/>
        </w:rPr>
        <w:t>物资</w:t>
      </w:r>
      <w:r>
        <w:rPr>
          <w:rFonts w:ascii="仿宋_GB2312" w:eastAsia="仿宋_GB2312"/>
          <w:sz w:val="32"/>
          <w:szCs w:val="32"/>
        </w:rPr>
        <w:t>应急运输保障车队</w:t>
      </w:r>
      <w:r>
        <w:rPr>
          <w:rFonts w:hint="eastAsia" w:ascii="仿宋_GB2312" w:eastAsia="仿宋_GB2312"/>
          <w:sz w:val="32"/>
          <w:szCs w:val="32"/>
        </w:rPr>
        <w:t>和封管控区保障车队</w:t>
      </w:r>
      <w:r>
        <w:rPr>
          <w:rFonts w:hint="eastAsia" w:ascii="仿宋_GB2312" w:hAnsi="楷体" w:eastAsia="仿宋_GB2312"/>
          <w:sz w:val="32"/>
          <w:szCs w:val="32"/>
          <w:shd w:val="clear" w:color="auto" w:fill="FFFFFF"/>
        </w:rPr>
        <w:t>，</w:t>
      </w:r>
      <w:r>
        <w:rPr>
          <w:rFonts w:hint="eastAsia" w:ascii="仿宋_GB2312" w:eastAsia="仿宋_GB2312"/>
          <w:sz w:val="32"/>
          <w:szCs w:val="32"/>
        </w:rPr>
        <w:t>确保疫情防控期间生活物资运输畅通。</w:t>
      </w:r>
      <w:r>
        <w:rPr>
          <w:rFonts w:hint="eastAsia" w:ascii="仿宋_GB2312" w:eastAsia="仿宋_GB2312"/>
          <w:color w:val="auto"/>
          <w:sz w:val="32"/>
        </w:rPr>
        <w:t>组建东城区外地货运、客运车辆疫情防控专班，</w:t>
      </w:r>
      <w:r>
        <w:rPr>
          <w:rFonts w:hint="eastAsia" w:ascii="Times New Roman" w:hAnsi="Times New Roman" w:eastAsia="仿宋_GB2312" w:cs="Times New Roman"/>
          <w:color w:val="auto"/>
          <w:sz w:val="32"/>
          <w:szCs w:val="32"/>
        </w:rPr>
        <w:t>截</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rPr>
        <w:t>12月6日此项工作结束，专班共处置货运车辆1000余件，客运车辆200余件，保障了全区客、货交通的运力充足和衔接顺畅。</w:t>
      </w:r>
      <w:r>
        <w:rPr>
          <w:rFonts w:ascii="Times New Roman" w:hAnsi="Times New Roman" w:eastAsia="仿宋_GB2312" w:cs="Times New Roman"/>
          <w:color w:val="auto"/>
          <w:sz w:val="32"/>
          <w:szCs w:val="32"/>
        </w:rPr>
        <w:t>6月2日-12月7日期间，先后4次紧急组建保障封管控区非紧急就医的应急出租车队，满足相关居民就医出行的最后100米</w:t>
      </w:r>
      <w:r>
        <w:rPr>
          <w:rFonts w:hint="eastAsia" w:ascii="Times New Roman" w:hAnsi="Times New Roman" w:eastAsia="仿宋_GB2312" w:cs="Times New Roman"/>
          <w:color w:val="auto"/>
          <w:sz w:val="32"/>
          <w:szCs w:val="32"/>
        </w:rPr>
        <w:t>，车队累计服务40天，安排出车112次，运送就医居民156人</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督促</w:t>
      </w:r>
      <w:r>
        <w:rPr>
          <w:rFonts w:hint="eastAsia" w:eastAsia="仿宋_GB2312"/>
          <w:sz w:val="32"/>
          <w:szCs w:val="32"/>
        </w:rPr>
        <w:t>个体出租</w:t>
      </w:r>
      <w:r>
        <w:rPr>
          <w:rFonts w:ascii="Times New Roman" w:hAnsi="Times New Roman" w:eastAsia="仿宋_GB2312" w:cs="Times New Roman"/>
          <w:sz w:val="32"/>
          <w:szCs w:val="32"/>
        </w:rPr>
        <w:t>驾驶员落实个人和乘客防疫措施。</w:t>
      </w:r>
      <w:r>
        <w:rPr>
          <w:rFonts w:hint="eastAsia" w:eastAsia="仿宋_GB2312"/>
          <w:sz w:val="32"/>
          <w:szCs w:val="32"/>
        </w:rPr>
        <w:t>协调开展共享单车“无差别消杀”，</w:t>
      </w:r>
      <w:r>
        <w:rPr>
          <w:rFonts w:ascii="Times New Roman" w:hAnsi="Times New Roman" w:eastAsia="仿宋_GB2312" w:cs="Times New Roman"/>
          <w:sz w:val="32"/>
          <w:szCs w:val="32"/>
        </w:rPr>
        <w:t>针对疫情期间绿色出行增加，加大调运、码放频次，日均调运单车8600余辆，无差别消毒单车近3000辆</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针对邻区公交调整，及时加大</w:t>
      </w:r>
      <w:r>
        <w:rPr>
          <w:rFonts w:ascii="Times New Roman" w:hAnsi="Times New Roman" w:eastAsia="仿宋_GB2312" w:cs="Times New Roman"/>
          <w:color w:val="000000" w:themeColor="text1"/>
          <w:sz w:val="32"/>
          <w:szCs w:val="32"/>
          <w14:textFill>
            <w14:solidFill>
              <w14:schemeClr w14:val="tx1"/>
            </w14:solidFill>
          </w14:textFill>
        </w:rPr>
        <w:t>共享单车转运和消杀</w:t>
      </w:r>
      <w:r>
        <w:rPr>
          <w:rFonts w:hint="eastAsia" w:ascii="Times New Roman" w:hAnsi="Times New Roman" w:eastAsia="仿宋_GB2312" w:cs="Times New Roman"/>
          <w:color w:val="000000" w:themeColor="text1"/>
          <w:sz w:val="32"/>
          <w:szCs w:val="32"/>
          <w14:textFill>
            <w14:solidFill>
              <w14:schemeClr w14:val="tx1"/>
            </w14:solidFill>
          </w14:textFill>
        </w:rPr>
        <w:t>力度，</w:t>
      </w:r>
      <w:r>
        <w:rPr>
          <w:rFonts w:ascii="Times New Roman" w:hAnsi="Times New Roman" w:eastAsia="仿宋_GB2312" w:cs="Times New Roman"/>
          <w:color w:val="000000" w:themeColor="text1"/>
          <w:sz w:val="32"/>
          <w:szCs w:val="32"/>
          <w14:textFill>
            <w14:solidFill>
              <w14:schemeClr w14:val="tx1"/>
            </w14:solidFill>
          </w14:textFill>
        </w:rPr>
        <w:t>确保平战状态快速切换。</w:t>
      </w:r>
    </w:p>
    <w:p w14:paraId="68104B96">
      <w:pPr>
        <w:pStyle w:val="2"/>
        <w:keepNext w:val="0"/>
        <w:keepLines w:val="0"/>
        <w:pageBreakBefore w:val="0"/>
        <w:numPr>
          <w:ilvl w:val="0"/>
          <w:numId w:val="2"/>
        </w:numPr>
        <w:kinsoku/>
        <w:overflowPunct/>
        <w:topLinePunct w:val="0"/>
        <w:autoSpaceDE/>
        <w:autoSpaceDN/>
        <w:bidi w:val="0"/>
        <w:adjustRightInd w:val="0"/>
        <w:snapToGrid w:val="0"/>
        <w:spacing w:after="0" w:line="560" w:lineRule="exact"/>
        <w:ind w:right="0" w:righ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持续普法宣传，深化基层普法效果</w:t>
      </w:r>
    </w:p>
    <w:p w14:paraId="78AEFE96">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sz w:val="32"/>
          <w:szCs w:val="32"/>
        </w:rPr>
        <w:t>为</w:t>
      </w:r>
      <w:r>
        <w:rPr>
          <w:rFonts w:ascii="Times New Roman" w:hAnsi="Times New Roman" w:eastAsia="仿宋_GB2312" w:cs="Times New Roman"/>
          <w:sz w:val="32"/>
          <w:szCs w:val="32"/>
        </w:rPr>
        <w:t>强化居民生活垃圾自主分类习惯养成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结合文明城区迎检、疫情防控等中心工作，推广“人人减量、家家分类、户户轮值”等做法。结合不同群体的工作、生活规律特点，开展“个性化”宣传，累计精准入户达18.2万余户次，</w:t>
      </w:r>
      <w:r>
        <w:rPr>
          <w:rFonts w:hint="eastAsia" w:ascii="Times New Roman" w:hAnsi="Times New Roman" w:eastAsia="仿宋_GB2312" w:cs="Times New Roman"/>
          <w:color w:val="auto"/>
          <w:sz w:val="32"/>
          <w:szCs w:val="32"/>
        </w:rPr>
        <w:t>带动社会参与78万人次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eastAsia="zh-CN"/>
        </w:rPr>
        <w:t>截至目前，</w:t>
      </w:r>
      <w:r>
        <w:rPr>
          <w:rFonts w:ascii="Times New Roman" w:hAnsi="Times New Roman" w:eastAsia="仿宋_GB2312" w:cs="Times New Roman"/>
          <w:sz w:val="32"/>
          <w:szCs w:val="32"/>
        </w:rPr>
        <w:t>全区入户率达到66.8%。发挥社区工作者“分片包户”的作用，动员社区党员、楼门院长、居民小组长、物业企业和各类志愿服务队伍力量，敲开门、见到人、说到位，示范带动居民参与“周末守桶”工作，累计已有11万余人次参与了“周末守桶”工作，服务时长达到42万小时</w:t>
      </w:r>
      <w:r>
        <w:rPr>
          <w:rFonts w:ascii="Times New Roman" w:hAnsi="Times New Roman" w:eastAsia="仿宋_GB2312" w:cs="Times New Roman"/>
          <w:color w:val="auto"/>
          <w:sz w:val="32"/>
          <w:szCs w:val="32"/>
        </w:rPr>
        <w:t>。17个街道垃圾分类示范片区全部创建完成。</w:t>
      </w:r>
      <w:r>
        <w:rPr>
          <w:rFonts w:ascii="Times New Roman" w:hAnsi="Times New Roman" w:eastAsia="仿宋_GB2312" w:cs="Times New Roman"/>
          <w:color w:val="auto"/>
          <w:spacing w:val="-4"/>
          <w:sz w:val="32"/>
          <w:szCs w:val="32"/>
        </w:rPr>
        <w:t>实现9批次，128个市级示范小区的创建工作；34家商务楼宇被评为生活垃圾分类示范商务楼宇；前门大街被评选为全市第一批垃圾分类示范商业街区</w:t>
      </w:r>
      <w:r>
        <w:rPr>
          <w:rFonts w:ascii="Times New Roman" w:hAnsi="Times New Roman" w:eastAsia="仿宋_GB2312" w:cs="Times New Roman"/>
          <w:color w:val="auto"/>
          <w:sz w:val="32"/>
          <w:szCs w:val="32"/>
        </w:rPr>
        <w:t>。</w:t>
      </w:r>
    </w:p>
    <w:p w14:paraId="3AB99ED9">
      <w:pPr>
        <w:pStyle w:val="2"/>
        <w:keepNext w:val="0"/>
        <w:keepLines w:val="0"/>
        <w:pageBreakBefore w:val="0"/>
        <w:kinsoku/>
        <w:overflowPunct/>
        <w:topLinePunct w:val="0"/>
        <w:autoSpaceDE/>
        <w:autoSpaceDN/>
        <w:bidi w:val="0"/>
        <w:adjustRightInd w:val="0"/>
        <w:snapToGrid w:val="0"/>
        <w:spacing w:after="0" w:line="560" w:lineRule="exact"/>
        <w:ind w:right="0" w:rightChars="0"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eastAsia="zh-CN"/>
        </w:rPr>
        <w:t>结合疫情形势，开拓更多宣传渠道，增强“不见面式”普法宣传效能。我委在进行</w:t>
      </w:r>
      <w:r>
        <w:rPr>
          <w:rFonts w:hint="eastAsia" w:ascii="仿宋_GB2312" w:hAnsi="仿宋_GB2312" w:eastAsia="仿宋_GB2312" w:cs="仿宋_GB2312"/>
          <w:b w:val="0"/>
          <w:i w:val="0"/>
          <w:caps w:val="0"/>
          <w:color w:val="000000"/>
          <w:spacing w:val="0"/>
          <w:sz w:val="32"/>
          <w:szCs w:val="32"/>
          <w:shd w:val="clear" w:color="auto" w:fill="auto"/>
          <w:lang w:val="en-US" w:eastAsia="zh-CN"/>
        </w:rPr>
        <w:t>《北京市户外广告设施、牌匾标识和标语宣传品设置管理条例》（</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i w:val="0"/>
          <w:caps w:val="0"/>
          <w:color w:val="000000"/>
          <w:spacing w:val="0"/>
          <w:sz w:val="32"/>
          <w:szCs w:val="32"/>
          <w:shd w:val="clear" w:color="auto" w:fill="auto"/>
          <w:lang w:val="en-US" w:eastAsia="zh-CN"/>
        </w:rPr>
        <w:t>年修订版）普法宣传时，在传统纸媒及管委官方公众号发布政策解读文件之余，也参与到北京广播电视台《运河之上》的节目录制，通过电台广播扩大普法宣传覆盖面，让人民群众认识到</w:t>
      </w:r>
      <w:r>
        <w:rPr>
          <w:rFonts w:hint="eastAsia" w:ascii="仿宋_GB2312" w:hAnsi="仿宋_GB2312" w:eastAsia="仿宋_GB2312" w:cs="仿宋_GB2312"/>
          <w:sz w:val="32"/>
          <w:szCs w:val="32"/>
          <w:highlight w:val="none"/>
          <w:lang w:eastAsia="zh-CN"/>
        </w:rPr>
        <w:t>规范户外广告和牌匾标识设置，依法整治违规户外广告，对提升</w:t>
      </w:r>
      <w:r>
        <w:rPr>
          <w:rFonts w:hint="eastAsia" w:ascii="仿宋_GB2312" w:hAnsi="仿宋_GB2312" w:eastAsia="仿宋_GB2312" w:cs="仿宋_GB2312"/>
          <w:sz w:val="32"/>
          <w:szCs w:val="32"/>
          <w:highlight w:val="none"/>
          <w:lang w:eastAsia="zh-Hans"/>
        </w:rPr>
        <w:t>城市</w:t>
      </w:r>
      <w:r>
        <w:rPr>
          <w:rFonts w:hint="eastAsia" w:ascii="仿宋_GB2312" w:hAnsi="仿宋_GB2312" w:eastAsia="仿宋_GB2312" w:cs="仿宋_GB2312"/>
          <w:sz w:val="32"/>
          <w:szCs w:val="32"/>
          <w:highlight w:val="none"/>
          <w:lang w:eastAsia="zh-CN"/>
        </w:rPr>
        <w:t>品质和风貌的重要作用。在排水用水法律法规宣传上，今年我委启用“线上讲座”模式，结合典型案例，对商户关心的问题一一解答，从源头上避免违法行为的出现。</w:t>
      </w:r>
    </w:p>
    <w:p w14:paraId="32AFAA49">
      <w:pPr>
        <w:pStyle w:val="2"/>
        <w:keepNext w:val="0"/>
        <w:keepLines w:val="0"/>
        <w:pageBreakBefore w:val="0"/>
        <w:numPr>
          <w:ilvl w:val="0"/>
          <w:numId w:val="2"/>
        </w:numPr>
        <w:kinsoku/>
        <w:overflowPunct/>
        <w:topLinePunct w:val="0"/>
        <w:autoSpaceDE/>
        <w:autoSpaceDN/>
        <w:bidi w:val="0"/>
        <w:adjustRightInd w:val="0"/>
        <w:snapToGrid w:val="0"/>
        <w:spacing w:after="0" w:line="560" w:lineRule="exact"/>
        <w:ind w:right="0" w:righ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不断优化流程，提高窗口服务和内部合规效率</w:t>
      </w:r>
    </w:p>
    <w:p w14:paraId="0D8DDBD5">
      <w:pPr>
        <w:pStyle w:val="2"/>
        <w:keepNext w:val="0"/>
        <w:keepLines w:val="0"/>
        <w:pageBreakBefore w:val="0"/>
        <w:kinsoku/>
        <w:overflowPunct/>
        <w:topLinePunct w:val="0"/>
        <w:autoSpaceDE/>
        <w:autoSpaceDN/>
        <w:bidi w:val="0"/>
        <w:adjustRightInd w:val="0"/>
        <w:snapToGrid w:val="0"/>
        <w:spacing w:after="0" w:line="560" w:lineRule="exact"/>
        <w:ind w:right="0" w:rightChars="0" w:firstLine="640" w:firstLineChars="200"/>
        <w:textAlignment w:val="auto"/>
      </w:pPr>
      <w:r>
        <w:rPr>
          <w:rFonts w:hint="eastAsia" w:ascii="Times New Roman" w:hAnsi="Times New Roman" w:eastAsia="仿宋_GB2312" w:cs="Times New Roman"/>
          <w:sz w:val="32"/>
          <w:szCs w:val="32"/>
        </w:rPr>
        <w:t>优化业务受理流程，做好合同审核及诉讼业务。我委政服务中心在办理行政许可工作中，认真履职、规范服务，最大程度的利企便民，切实提升人民群众办事创业的满意度和获得感。</w:t>
      </w:r>
      <w:r>
        <w:rPr>
          <w:rFonts w:hint="eastAsia" w:ascii="Times New Roman" w:hAnsi="Times New Roman" w:eastAsia="仿宋_GB2312" w:cs="Times New Roman"/>
          <w:sz w:val="32"/>
        </w:rPr>
        <w:t>截至</w:t>
      </w: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Times New Roman"/>
          <w:color w:val="auto"/>
          <w:sz w:val="32"/>
        </w:rPr>
        <w:t>月中旬，驻政务服务大厅的综合窗口共办理行政事务</w:t>
      </w:r>
      <w:r>
        <w:rPr>
          <w:rFonts w:hint="eastAsia" w:ascii="Times New Roman" w:hAnsi="Times New Roman" w:eastAsia="仿宋_GB2312" w:cs="Times New Roman"/>
          <w:kern w:val="2"/>
          <w:sz w:val="32"/>
          <w:szCs w:val="32"/>
          <w:lang w:val="en-US" w:eastAsia="zh-CN" w:bidi="ar-SA"/>
        </w:rPr>
        <w:t>6519</w:t>
      </w:r>
      <w:r>
        <w:rPr>
          <w:rFonts w:hint="eastAsia" w:ascii="Times New Roman" w:hAnsi="Times New Roman" w:eastAsia="仿宋_GB2312" w:cs="Times New Roman"/>
          <w:color w:val="auto"/>
          <w:sz w:val="32"/>
        </w:rPr>
        <w:t>件，接待来电</w:t>
      </w:r>
      <w:r>
        <w:rPr>
          <w:rFonts w:hint="eastAsia" w:ascii="Times New Roman" w:hAnsi="Times New Roman" w:eastAsia="仿宋_GB2312" w:cs="Times New Roman"/>
          <w:kern w:val="2"/>
          <w:sz w:val="32"/>
          <w:szCs w:val="32"/>
          <w:lang w:val="en-US" w:eastAsia="zh-CN" w:bidi="ar-SA"/>
        </w:rPr>
        <w:t>9000余</w:t>
      </w:r>
      <w:r>
        <w:rPr>
          <w:rFonts w:hint="eastAsia" w:ascii="Times New Roman" w:hAnsi="Times New Roman" w:eastAsia="仿宋_GB2312" w:cs="Times New Roman"/>
          <w:color w:val="auto"/>
          <w:sz w:val="32"/>
        </w:rPr>
        <w:t>人次</w:t>
      </w:r>
      <w:r>
        <w:rPr>
          <w:rFonts w:hint="eastAsia" w:ascii="Times New Roman" w:hAnsi="Times New Roman" w:eastAsia="仿宋_GB2312" w:cs="Times New Roman"/>
          <w:sz w:val="32"/>
        </w:rPr>
        <w:t>。</w:t>
      </w:r>
      <w:r>
        <w:rPr>
          <w:rFonts w:hint="eastAsia" w:ascii="Times New Roman" w:hAnsi="Times New Roman" w:eastAsia="仿宋_GB2312" w:cs="Times New Roman"/>
          <w:sz w:val="32"/>
          <w:szCs w:val="32"/>
        </w:rPr>
        <w:t>同时我委</w:t>
      </w:r>
      <w:r>
        <w:rPr>
          <w:rFonts w:hint="eastAsia" w:ascii="Times New Roman" w:hAnsi="Times New Roman" w:eastAsia="仿宋_GB2312" w:cs="Times New Roman"/>
          <w:sz w:val="32"/>
          <w:szCs w:val="32"/>
          <w:lang w:eastAsia="zh-CN"/>
        </w:rPr>
        <w:t>贯彻执行</w:t>
      </w:r>
      <w:r>
        <w:rPr>
          <w:rFonts w:hint="eastAsia" w:ascii="Times New Roman" w:hAnsi="Times New Roman" w:eastAsia="仿宋_GB2312" w:cs="Times New Roman"/>
          <w:sz w:val="32"/>
          <w:szCs w:val="32"/>
        </w:rPr>
        <w:t>《城管委合同管理办法》《合同合法性审核表》等制度，加强对合同的实质管理，</w:t>
      </w:r>
      <w:r>
        <w:rPr>
          <w:rFonts w:hint="eastAsia"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color w:val="auto"/>
          <w:sz w:val="32"/>
          <w:szCs w:val="32"/>
        </w:rPr>
        <w:t>年共审查合同、协议</w:t>
      </w:r>
      <w:r>
        <w:rPr>
          <w:rFonts w:hint="eastAsia" w:ascii="Times New Roman" w:hAnsi="Times New Roman" w:eastAsia="仿宋_GB2312" w:cs="Times New Roman"/>
          <w:kern w:val="2"/>
          <w:sz w:val="32"/>
          <w:szCs w:val="32"/>
          <w:lang w:val="en-US" w:eastAsia="zh-CN" w:bidi="ar-SA"/>
        </w:rPr>
        <w:t>192</w:t>
      </w:r>
      <w:r>
        <w:rPr>
          <w:rFonts w:hint="eastAsia" w:ascii="Times New Roman" w:hAnsi="Times New Roman" w:eastAsia="仿宋_GB2312" w:cs="Times New Roman"/>
          <w:color w:val="auto"/>
          <w:sz w:val="32"/>
          <w:szCs w:val="32"/>
        </w:rPr>
        <w:t>件，并完成</w:t>
      </w: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color w:val="auto"/>
          <w:sz w:val="32"/>
          <w:szCs w:val="32"/>
        </w:rPr>
        <w:t>件诉讼案的应诉工作</w:t>
      </w:r>
      <w:r>
        <w:rPr>
          <w:rFonts w:hint="eastAsia" w:ascii="Times New Roman" w:hAnsi="Times New Roman" w:eastAsia="仿宋_GB2312" w:cs="Times New Roman"/>
          <w:sz w:val="32"/>
          <w:szCs w:val="32"/>
        </w:rPr>
        <w:t>。</w:t>
      </w:r>
    </w:p>
    <w:p w14:paraId="3D43FDFA">
      <w:pPr>
        <w:pStyle w:val="2"/>
        <w:keepNext w:val="0"/>
        <w:keepLines w:val="0"/>
        <w:pageBreakBefore w:val="0"/>
        <w:kinsoku/>
        <w:overflowPunct/>
        <w:topLinePunct w:val="0"/>
        <w:autoSpaceDE/>
        <w:autoSpaceDN/>
        <w:bidi w:val="0"/>
        <w:adjustRightInd w:val="0"/>
        <w:snapToGrid w:val="0"/>
        <w:spacing w:after="0" w:line="560" w:lineRule="exact"/>
        <w:ind w:right="0" w:rightChars="0"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w:t>
      </w:r>
      <w:r>
        <w:rPr>
          <w:rFonts w:hint="eastAsia" w:ascii="黑体" w:hAnsi="黑体" w:eastAsia="黑体" w:cs="黑体"/>
          <w:kern w:val="0"/>
          <w:sz w:val="32"/>
          <w:szCs w:val="32"/>
          <w:lang w:val="en-US" w:eastAsia="zh-CN"/>
        </w:rPr>
        <w:t>2022年</w:t>
      </w:r>
      <w:r>
        <w:rPr>
          <w:rFonts w:hint="eastAsia" w:ascii="黑体" w:hAnsi="黑体" w:eastAsia="黑体" w:cs="黑体"/>
          <w:kern w:val="0"/>
          <w:sz w:val="32"/>
          <w:szCs w:val="32"/>
        </w:rPr>
        <w:t>推进法治政府建设存在的不足</w:t>
      </w:r>
      <w:r>
        <w:rPr>
          <w:rFonts w:hint="eastAsia" w:ascii="黑体" w:hAnsi="黑体" w:eastAsia="黑体" w:cs="黑体"/>
          <w:kern w:val="0"/>
          <w:sz w:val="32"/>
          <w:szCs w:val="32"/>
          <w:lang w:eastAsia="zh-CN"/>
        </w:rPr>
        <w:t>和原因</w:t>
      </w:r>
    </w:p>
    <w:p w14:paraId="5915B842">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通过总结整理我委</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kern w:val="0"/>
          <w:sz w:val="32"/>
          <w:szCs w:val="32"/>
        </w:rPr>
        <w:t>年度的法治政府建设工作完成情况，在收获成果的同时也发现仍旧存在一些有待改进的问题：</w:t>
      </w:r>
    </w:p>
    <w:p w14:paraId="310E0564">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rPr>
      </w:pPr>
      <w:r>
        <w:rPr>
          <w:rFonts w:hint="eastAsia" w:ascii="Times New Roman" w:hAnsi="Times New Roman" w:eastAsia="仿宋_GB2312" w:cs="Times New Roman"/>
          <w:kern w:val="0"/>
          <w:sz w:val="32"/>
          <w:szCs w:val="32"/>
        </w:rPr>
        <w:t>一是</w:t>
      </w:r>
      <w:r>
        <w:rPr>
          <w:rFonts w:hint="eastAsia" w:ascii="Times New Roman" w:hAnsi="Times New Roman" w:eastAsia="仿宋_GB2312" w:cs="Times New Roman"/>
          <w:kern w:val="0"/>
          <w:sz w:val="32"/>
          <w:szCs w:val="32"/>
          <w:lang w:eastAsia="zh-CN"/>
        </w:rPr>
        <w:t>行政执法人员培训不够系统化。近三年来，由于疫情反复，市区两级的业务培训有所减少。</w:t>
      </w:r>
      <w:r>
        <w:rPr>
          <w:rFonts w:hint="eastAsia" w:ascii="Times New Roman" w:hAnsi="Times New Roman" w:eastAsia="仿宋_GB2312" w:cs="Times New Roman"/>
          <w:spacing w:val="0"/>
          <w:sz w:val="32"/>
          <w:szCs w:val="32"/>
          <w:lang w:val="en-US" w:eastAsia="zh-CN"/>
        </w:rPr>
        <w:t>《法治政府建设实施纲要（</w:t>
      </w:r>
      <w:r>
        <w:rPr>
          <w:rFonts w:hint="eastAsia" w:ascii="Times New Roman" w:hAnsi="Times New Roman" w:eastAsia="仿宋_GB2312" w:cs="Times New Roman"/>
          <w:sz w:val="32"/>
          <w:szCs w:val="32"/>
          <w:lang w:val="en-US" w:eastAsia="zh-CN"/>
        </w:rPr>
        <w:t>2021－2025</w:t>
      </w:r>
      <w:r>
        <w:rPr>
          <w:rFonts w:hint="eastAsia" w:ascii="Times New Roman" w:hAnsi="Times New Roman" w:eastAsia="仿宋_GB2312" w:cs="Times New Roman"/>
          <w:spacing w:val="0"/>
          <w:sz w:val="32"/>
          <w:szCs w:val="32"/>
          <w:lang w:val="en-US" w:eastAsia="zh-CN"/>
        </w:rPr>
        <w:t>年）》中明确提出行政执法人员</w:t>
      </w:r>
      <w:r>
        <w:rPr>
          <w:rFonts w:hint="eastAsia" w:ascii="Times New Roman" w:hAnsi="Times New Roman" w:eastAsia="仿宋_GB2312" w:cs="Times New Roman"/>
          <w:b w:val="0"/>
          <w:bCs w:val="0"/>
          <w:spacing w:val="0"/>
          <w:sz w:val="32"/>
          <w:szCs w:val="32"/>
          <w:lang w:val="en-US" w:eastAsia="zh-CN"/>
        </w:rPr>
        <w:t>“每人每年接受不少于</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b w:val="0"/>
          <w:bCs w:val="0"/>
          <w:spacing w:val="0"/>
          <w:sz w:val="32"/>
          <w:szCs w:val="32"/>
          <w:lang w:val="en-US" w:eastAsia="zh-CN"/>
        </w:rPr>
        <w:t>学时的业务知识和法律法规培训”，未来我委将结合城市管理、交通管理、水务管理等主管行业的专业知识，组织执法人员参与更多的法律法规培训。</w:t>
      </w:r>
    </w:p>
    <w:p w14:paraId="2EA5E209">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w:t>
      </w:r>
      <w:r>
        <w:rPr>
          <w:rFonts w:hint="eastAsia" w:ascii="仿宋_GB2312" w:hAnsi="仿宋_GB2312" w:eastAsia="仿宋_GB2312" w:cs="仿宋_GB2312"/>
          <w:sz w:val="32"/>
          <w:szCs w:val="32"/>
        </w:rPr>
        <w:t>行政信息数据公示情况仍有一定提升空间。行政信息数据公示方面上，我委大部分执法信息做到了及时更新，但在公示信息全面性上有待提升</w:t>
      </w:r>
      <w:r>
        <w:rPr>
          <w:rFonts w:hint="eastAsia" w:ascii="Times New Roman" w:hAnsi="Times New Roman" w:eastAsia="仿宋_GB2312" w:cs="Times New Roman"/>
          <w:kern w:val="0"/>
          <w:sz w:val="32"/>
          <w:szCs w:val="32"/>
        </w:rPr>
        <w:t>。</w:t>
      </w:r>
    </w:p>
    <w:p w14:paraId="67AC0CFF">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执法工作前瞻性有待提升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对习近平法治思想的理解不够深刻，</w:t>
      </w:r>
      <w:r>
        <w:rPr>
          <w:rFonts w:hint="eastAsia" w:ascii="仿宋_GB2312" w:hAnsi="仿宋_GB2312" w:eastAsia="仿宋_GB2312" w:cs="仿宋_GB2312"/>
          <w:color w:val="000000"/>
          <w:sz w:val="32"/>
          <w:szCs w:val="32"/>
          <w:lang w:val="en-US" w:eastAsia="zh-CN"/>
        </w:rPr>
        <w:t>“学以致用”还存在差距，</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000000"/>
          <w:sz w:val="32"/>
          <w:szCs w:val="32"/>
          <w:lang w:eastAsia="zh-CN"/>
        </w:rPr>
        <w:t>运用习近平法治思想指导工作实践、推动解决实际问题的意识和能力还明显不足。</w:t>
      </w:r>
      <w:r>
        <w:rPr>
          <w:rFonts w:hint="eastAsia" w:ascii="仿宋_GB2312" w:hAnsi="仿宋_GB2312" w:eastAsia="仿宋_GB2312" w:cs="仿宋_GB2312"/>
          <w:sz w:val="32"/>
          <w:szCs w:val="32"/>
          <w:lang w:val="en-US" w:eastAsia="zh-CN"/>
        </w:rPr>
        <w:t>对法治政府建设理解不深、把握不准，</w:t>
      </w:r>
      <w:r>
        <w:rPr>
          <w:rFonts w:hint="eastAsia" w:ascii="仿宋_GB2312" w:hAnsi="仿宋_GB2312" w:eastAsia="仿宋_GB2312" w:cs="仿宋_GB2312"/>
          <w:color w:val="000000"/>
          <w:sz w:val="32"/>
          <w:szCs w:val="32"/>
          <w:lang w:eastAsia="zh-CN"/>
        </w:rPr>
        <w:t>在把握和处理政治与法治、改革与法治等关系上还存在一些认识偏差，</w:t>
      </w:r>
      <w:r>
        <w:rPr>
          <w:rFonts w:hint="eastAsia" w:ascii="仿宋_GB2312" w:hAnsi="仿宋_GB2312" w:eastAsia="仿宋_GB2312" w:cs="仿宋_GB2312"/>
          <w:sz w:val="32"/>
          <w:szCs w:val="32"/>
          <w:lang w:eastAsia="zh-CN"/>
        </w:rPr>
        <w:t>执法工作的前瞻性有待提升。</w:t>
      </w:r>
    </w:p>
    <w:p w14:paraId="017AC73E">
      <w:pPr>
        <w:pStyle w:val="2"/>
        <w:keepNext w:val="0"/>
        <w:keepLines w:val="0"/>
        <w:pageBreakBefore w:val="0"/>
        <w:kinsoku/>
        <w:overflowPunct/>
        <w:topLinePunct w:val="0"/>
        <w:autoSpaceDE/>
        <w:autoSpaceDN/>
        <w:bidi w:val="0"/>
        <w:adjustRightInd w:val="0"/>
        <w:snapToGrid w:val="0"/>
        <w:spacing w:after="0" w:line="560" w:lineRule="exact"/>
        <w:ind w:right="0" w:rightChars="0" w:firstLine="641"/>
        <w:textAlignment w:val="auto"/>
        <w:rPr>
          <w:rFonts w:ascii="黑体" w:hAnsi="黑体" w:eastAsia="黑体" w:cs="黑体"/>
          <w:kern w:val="0"/>
          <w:sz w:val="32"/>
          <w:szCs w:val="32"/>
        </w:rPr>
      </w:pPr>
      <w:r>
        <w:rPr>
          <w:rFonts w:hint="eastAsia" w:ascii="黑体" w:hAnsi="黑体" w:eastAsia="黑体" w:cs="黑体"/>
          <w:kern w:val="0"/>
          <w:sz w:val="32"/>
          <w:szCs w:val="32"/>
        </w:rPr>
        <w:t>三、</w:t>
      </w:r>
      <w:r>
        <w:rPr>
          <w:rFonts w:hint="eastAsia" w:ascii="黑体" w:hAnsi="黑体" w:eastAsia="黑体" w:cs="黑体"/>
          <w:kern w:val="0"/>
          <w:sz w:val="32"/>
          <w:szCs w:val="32"/>
          <w:lang w:val="en-US" w:eastAsia="zh-CN"/>
        </w:rPr>
        <w:t>2022年</w:t>
      </w:r>
      <w:r>
        <w:rPr>
          <w:rFonts w:hint="eastAsia" w:ascii="黑体" w:hAnsi="黑体" w:eastAsia="黑体" w:cs="黑体"/>
          <w:kern w:val="0"/>
          <w:sz w:val="32"/>
          <w:szCs w:val="32"/>
        </w:rPr>
        <w:t>党政主要负责人履行推进法治建设第一责任人职责，加强法治政府建设的有关情况</w:t>
      </w:r>
    </w:p>
    <w:p w14:paraId="0CEC241D">
      <w:pPr>
        <w:pStyle w:val="2"/>
        <w:keepNext w:val="0"/>
        <w:keepLines w:val="0"/>
        <w:pageBreakBefore w:val="0"/>
        <w:kinsoku/>
        <w:overflowPunct/>
        <w:topLinePunct w:val="0"/>
        <w:autoSpaceDE/>
        <w:autoSpaceDN/>
        <w:bidi w:val="0"/>
        <w:adjustRightInd w:val="0"/>
        <w:snapToGrid w:val="0"/>
        <w:spacing w:after="0" w:line="560" w:lineRule="exact"/>
        <w:ind w:right="0" w:rightChars="0" w:firstLine="641"/>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（一）严格落实党政主要负责人履行推进法治建设第一责任人职责</w:t>
      </w:r>
    </w:p>
    <w:p w14:paraId="0DC01119">
      <w:pPr>
        <w:keepNext w:val="0"/>
        <w:keepLines w:val="0"/>
        <w:pageBreakBefore w:val="0"/>
        <w:kinsoku/>
        <w:overflowPunct/>
        <w:topLinePunct w:val="0"/>
        <w:autoSpaceDE/>
        <w:autoSpaceDN/>
        <w:bidi w:val="0"/>
        <w:adjustRightInd w:val="0"/>
        <w:snapToGrid w:val="0"/>
        <w:spacing w:line="560" w:lineRule="exact"/>
        <w:ind w:right="0" w:rightChars="0"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学习。我委法治建设第一责任人把开展主题教育作为党建工作的重中之重，将习近平法治思想及中央全面依法治国工作会议精神列入党委中心组学习内容，坚持学法用法，定期开展党组学习活动，深入学习习近平法治思想，全面落实中央、北京市、东城区关于法治政府建设的决策部署。</w:t>
      </w:r>
    </w:p>
    <w:p w14:paraId="24DD7577">
      <w:pPr>
        <w:keepNext w:val="0"/>
        <w:keepLines w:val="0"/>
        <w:pageBreakBefore w:val="0"/>
        <w:kinsoku/>
        <w:overflowPunct/>
        <w:topLinePunct w:val="0"/>
        <w:autoSpaceDE/>
        <w:autoSpaceDN/>
        <w:bidi w:val="0"/>
        <w:adjustRightInd w:val="0"/>
        <w:snapToGrid w:val="0"/>
        <w:spacing w:line="560" w:lineRule="exact"/>
        <w:ind w:right="0" w:rightChars="0"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推进重大决策事项的科学化、民主化。领导班子严格认真执行民主集中制、“三重一大”集体决策制度，充分发挥党委在推进法治建设中的领导核心作用，定期听取有关工作汇报，及时研究解决重大问题。制定《落实党组意识形态工作责任制实施方案》，将意识形态工作纳入“两个责任”汇报，旗帜鲜明反对错误观点，重点强化网络意识形态管理和引导。</w:t>
      </w:r>
    </w:p>
    <w:p w14:paraId="2268E7CE">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三是严格依法依规决策。落实我委法律顾问制度、公职律师制度，加强对重大决策的合法合规性审查。顾问律师在我委</w:t>
      </w:r>
      <w:r>
        <w:rPr>
          <w:rFonts w:hint="eastAsia" w:eastAsia="仿宋_GB2312"/>
          <w:bCs/>
          <w:sz w:val="32"/>
        </w:rPr>
        <w:t>合同审查、法律咨询、业务指导等方面发挥了重要作用。认真落实行政机关出庭应诉，通过以案释法、鼓励工作人员参与案件审理过程，提高了我委的依法行政意识，保障了政府的公共利益。</w:t>
      </w:r>
    </w:p>
    <w:p w14:paraId="31E0654E">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（二）严明党的纪律，将党风廉政教育与落实“四种形态”紧密结合</w:t>
      </w:r>
    </w:p>
    <w:p w14:paraId="10AB69A2">
      <w:pPr>
        <w:keepNext w:val="0"/>
        <w:keepLines w:val="0"/>
        <w:pageBreakBefore w:val="0"/>
        <w:kinsoku/>
        <w:overflowPunct/>
        <w:topLinePunct w:val="0"/>
        <w:autoSpaceDE/>
        <w:autoSpaceDN/>
        <w:bidi w:val="0"/>
        <w:adjustRightInd w:val="0"/>
        <w:snapToGrid w:val="0"/>
        <w:spacing w:line="560" w:lineRule="exact"/>
        <w:ind w:right="0" w:rightChars="0" w:firstLine="615"/>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履行“第一责任人”责任，落实“四个亲自”要求。主要领导主持召开专题会议，传达学习十九届中央纪委五次全会、市纪委十二届六次全会主要精神</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区纪委十二届六次</w:t>
      </w:r>
      <w:r>
        <w:rPr>
          <w:rFonts w:hint="eastAsia" w:ascii="Times New Roman" w:hAnsi="Times New Roman" w:eastAsia="仿宋_GB2312" w:cs="Times New Roman"/>
          <w:kern w:val="0"/>
          <w:sz w:val="32"/>
          <w:szCs w:val="32"/>
          <w:lang w:eastAsia="zh-CN"/>
        </w:rPr>
        <w:t>全会精神以及</w:t>
      </w:r>
      <w:r>
        <w:rPr>
          <w:rFonts w:hint="eastAsia" w:ascii="Times New Roman" w:hAnsi="Times New Roman" w:eastAsia="仿宋_GB2312" w:cs="Times New Roman"/>
          <w:kern w:val="0"/>
          <w:sz w:val="32"/>
          <w:szCs w:val="32"/>
          <w:lang w:val="en-US" w:eastAsia="zh-CN"/>
        </w:rPr>
        <w:t>党的</w:t>
      </w:r>
      <w:r>
        <w:rPr>
          <w:rFonts w:hint="default" w:ascii="Times New Roman" w:hAnsi="Times New Roman" w:eastAsia="仿宋_GB2312" w:cs="Times New Roman"/>
          <w:kern w:val="0"/>
          <w:sz w:val="32"/>
          <w:szCs w:val="32"/>
          <w:lang w:val="en-US" w:eastAsia="zh-CN"/>
        </w:rPr>
        <w:t>二十大精神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进一步统一思想，提高领导干部廉洁自律意识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将党风廉政建设工作与</w:t>
      </w:r>
      <w:r>
        <w:rPr>
          <w:rFonts w:hint="eastAsia" w:ascii="Times New Roman" w:hAnsi="Times New Roman" w:eastAsia="仿宋_GB2312" w:cs="Times New Roman"/>
          <w:kern w:val="0"/>
          <w:sz w:val="32"/>
          <w:szCs w:val="32"/>
        </w:rPr>
        <w:t>城市管理各方面</w:t>
      </w:r>
      <w:r>
        <w:rPr>
          <w:rFonts w:ascii="Times New Roman" w:hAnsi="Times New Roman" w:eastAsia="仿宋_GB2312" w:cs="Times New Roman"/>
          <w:kern w:val="0"/>
          <w:sz w:val="32"/>
          <w:szCs w:val="32"/>
        </w:rPr>
        <w:t>业务工作紧密结合</w:t>
      </w:r>
      <w:r>
        <w:rPr>
          <w:rFonts w:hint="eastAsia" w:ascii="Times New Roman" w:hAnsi="Times New Roman" w:eastAsia="仿宋_GB2312" w:cs="Times New Roman"/>
          <w:kern w:val="0"/>
          <w:sz w:val="32"/>
          <w:szCs w:val="32"/>
        </w:rPr>
        <w:t>。</w:t>
      </w:r>
    </w:p>
    <w:p w14:paraId="754AABD1">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2"/>
        <w:rPr>
          <w:rFonts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rPr>
        <w:t>二是紧密结合党史学习教育，</w:t>
      </w:r>
      <w:r>
        <w:rPr>
          <w:rFonts w:ascii="Times New Roman" w:hAnsi="Times New Roman" w:eastAsia="仿宋_GB2312" w:cs="Times New Roman"/>
          <w:kern w:val="0"/>
          <w:sz w:val="32"/>
          <w:szCs w:val="32"/>
        </w:rPr>
        <w:t>开展党纪党规学习。制定《东城区城管委</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理论学习中心组</w:t>
      </w:r>
      <w:r>
        <w:rPr>
          <w:rFonts w:ascii="Times New Roman" w:hAnsi="Times New Roman" w:eastAsia="仿宋_GB2312" w:cs="Times New Roman"/>
          <w:kern w:val="0"/>
          <w:sz w:val="32"/>
          <w:szCs w:val="32"/>
        </w:rPr>
        <w:t>及全体党员学习计划》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紧扣“党史学习教育”这条贯穿全年的工作主线，</w:t>
      </w:r>
      <w:r>
        <w:rPr>
          <w:rFonts w:hint="eastAsia" w:ascii="Times New Roman" w:hAnsi="Times New Roman" w:eastAsia="仿宋_GB2312" w:cs="Times New Roman"/>
          <w:kern w:val="0"/>
          <w:sz w:val="32"/>
          <w:szCs w:val="32"/>
        </w:rPr>
        <w:t>充分运用</w:t>
      </w:r>
      <w:r>
        <w:rPr>
          <w:rFonts w:hint="eastAsia" w:ascii="Times New Roman" w:hAnsi="Times New Roman" w:eastAsia="仿宋_GB2312" w:cs="Times New Roman"/>
          <w:kern w:val="0"/>
          <w:sz w:val="32"/>
          <w:szCs w:val="32"/>
          <w:lang w:eastAsia="zh-CN"/>
        </w:rPr>
        <w:t>理论学习中心组</w:t>
      </w:r>
      <w:r>
        <w:rPr>
          <w:rFonts w:ascii="Times New Roman" w:hAnsi="Times New Roman" w:eastAsia="仿宋_GB2312" w:cs="Times New Roman"/>
          <w:kern w:val="0"/>
          <w:sz w:val="32"/>
          <w:szCs w:val="32"/>
        </w:rPr>
        <w:t>学习、主任办公会会前学法、</w:t>
      </w:r>
      <w:r>
        <w:rPr>
          <w:rFonts w:hint="eastAsia" w:ascii="Times New Roman" w:hAnsi="Times New Roman" w:eastAsia="仿宋_GB2312" w:cs="Times New Roman"/>
          <w:kern w:val="0"/>
          <w:sz w:val="32"/>
          <w:szCs w:val="32"/>
        </w:rPr>
        <w:t>党课、</w:t>
      </w:r>
      <w:r>
        <w:rPr>
          <w:rFonts w:ascii="Times New Roman" w:hAnsi="Times New Roman" w:eastAsia="仿宋_GB2312" w:cs="Times New Roman"/>
          <w:kern w:val="0"/>
          <w:sz w:val="32"/>
          <w:szCs w:val="32"/>
        </w:rPr>
        <w:t>党组织学习、干部大会、科务会等具体抓手，从党史</w:t>
      </w:r>
      <w:r>
        <w:rPr>
          <w:rFonts w:hint="eastAsia" w:ascii="Times New Roman" w:hAnsi="Times New Roman" w:eastAsia="仿宋_GB2312" w:cs="Times New Roman"/>
          <w:kern w:val="0"/>
          <w:sz w:val="32"/>
          <w:szCs w:val="32"/>
        </w:rPr>
        <w:t>学习</w:t>
      </w:r>
      <w:r>
        <w:rPr>
          <w:rFonts w:ascii="Times New Roman" w:hAnsi="Times New Roman" w:eastAsia="仿宋_GB2312" w:cs="Times New Roman"/>
          <w:kern w:val="0"/>
          <w:sz w:val="32"/>
          <w:szCs w:val="32"/>
        </w:rPr>
        <w:t>中汲取清廉</w:t>
      </w:r>
      <w:r>
        <w:rPr>
          <w:rFonts w:hint="eastAsia" w:ascii="Times New Roman" w:hAnsi="Times New Roman" w:eastAsia="仿宋_GB2312" w:cs="Times New Roman"/>
          <w:kern w:val="0"/>
          <w:sz w:val="32"/>
          <w:szCs w:val="32"/>
        </w:rPr>
        <w:t>榜样</w:t>
      </w:r>
      <w:r>
        <w:rPr>
          <w:rFonts w:ascii="Times New Roman" w:hAnsi="Times New Roman" w:eastAsia="仿宋_GB2312" w:cs="Times New Roman"/>
          <w:kern w:val="0"/>
          <w:sz w:val="32"/>
          <w:szCs w:val="32"/>
        </w:rPr>
        <w:t>力量，保持为民务实清廉的政治本色，推动本职工作高质量发展</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kern w:val="0"/>
          <w:sz w:val="32"/>
          <w:szCs w:val="32"/>
        </w:rPr>
        <w:t>全年共组织理论学习</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color w:val="auto"/>
          <w:kern w:val="0"/>
          <w:sz w:val="32"/>
          <w:szCs w:val="32"/>
        </w:rPr>
        <w:t>次。</w:t>
      </w:r>
    </w:p>
    <w:p w14:paraId="15072225">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三是</w:t>
      </w:r>
      <w:r>
        <w:rPr>
          <w:rFonts w:ascii="Times New Roman" w:hAnsi="Times New Roman" w:eastAsia="仿宋_GB2312" w:cs="Times New Roman"/>
          <w:kern w:val="0"/>
          <w:sz w:val="32"/>
          <w:szCs w:val="32"/>
        </w:rPr>
        <w:t>加强日常管理，实现抓早抓小目标。坚持刀刃向内，严防“灯下黑”。将对干部的监督管理与委年度考核工作相结合，从德、能、勤、绩、廉等方面考核干部的履职情况，不断提高管理科学化水平。</w:t>
      </w:r>
    </w:p>
    <w:p w14:paraId="1CAFEF03">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（三）深化作风建设，驰而不息纠正“四风”问题</w:t>
      </w:r>
    </w:p>
    <w:p w14:paraId="0E3D40F7">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严格贯彻落实中央市区等各项纪律规定不放松。严格按照中央八项规定精神</w:t>
      </w:r>
      <w:r>
        <w:rPr>
          <w:rFonts w:hint="eastAsia" w:ascii="Times New Roman" w:hAnsi="Times New Roman" w:eastAsia="仿宋_GB2312" w:cs="Times New Roman"/>
          <w:kern w:val="0"/>
          <w:sz w:val="32"/>
          <w:szCs w:val="32"/>
        </w:rPr>
        <w:t>及</w:t>
      </w:r>
      <w:r>
        <w:rPr>
          <w:rFonts w:ascii="Times New Roman" w:hAnsi="Times New Roman" w:eastAsia="仿宋_GB2312" w:cs="Times New Roman"/>
          <w:kern w:val="0"/>
          <w:sz w:val="32"/>
          <w:szCs w:val="32"/>
        </w:rPr>
        <w:t>市委</w:t>
      </w:r>
      <w:r>
        <w:rPr>
          <w:rFonts w:hint="eastAsia" w:ascii="Times New Roman" w:hAnsi="Times New Roman" w:eastAsia="仿宋_GB2312" w:cs="Times New Roman"/>
          <w:kern w:val="0"/>
          <w:sz w:val="32"/>
          <w:szCs w:val="32"/>
        </w:rPr>
        <w:t>、区委相关工作要求</w:t>
      </w:r>
      <w:r>
        <w:rPr>
          <w:rFonts w:ascii="Times New Roman" w:hAnsi="Times New Roman" w:eastAsia="仿宋_GB2312" w:cs="Times New Roman"/>
          <w:kern w:val="0"/>
          <w:sz w:val="32"/>
          <w:szCs w:val="32"/>
        </w:rPr>
        <w:t>，进一步严格公车管理</w:t>
      </w:r>
      <w:r>
        <w:rPr>
          <w:rFonts w:hint="eastAsia" w:ascii="Times New Roman" w:hAnsi="Times New Roman" w:eastAsia="仿宋_GB2312" w:cs="Times New Roman"/>
          <w:kern w:val="0"/>
          <w:sz w:val="32"/>
          <w:szCs w:val="32"/>
        </w:rPr>
        <w:t>、继续守住精文减会硬杠杠，</w:t>
      </w:r>
      <w:r>
        <w:rPr>
          <w:rFonts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rPr>
        <w:t>元旦、春节、五一、</w:t>
      </w:r>
      <w:r>
        <w:rPr>
          <w:rFonts w:ascii="Times New Roman" w:hAnsi="Times New Roman" w:eastAsia="仿宋_GB2312" w:cs="Times New Roman"/>
          <w:kern w:val="0"/>
          <w:sz w:val="32"/>
          <w:szCs w:val="32"/>
        </w:rPr>
        <w:t>中秋、国庆等重要节日前夕进行廉洁自律教育</w:t>
      </w:r>
      <w:r>
        <w:rPr>
          <w:rFonts w:hint="eastAsia" w:ascii="Times New Roman" w:hAnsi="Times New Roman" w:eastAsia="仿宋_GB2312" w:cs="Times New Roman"/>
          <w:kern w:val="0"/>
          <w:sz w:val="32"/>
          <w:szCs w:val="32"/>
        </w:rPr>
        <w:t>并下发《廉政工作提醒》，</w:t>
      </w:r>
      <w:r>
        <w:rPr>
          <w:rFonts w:ascii="Times New Roman" w:hAnsi="Times New Roman" w:eastAsia="仿宋_GB2312" w:cs="Times New Roman"/>
          <w:kern w:val="0"/>
          <w:sz w:val="32"/>
          <w:szCs w:val="32"/>
        </w:rPr>
        <w:t>严防“四风”问题反弹回潮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围绕今年换届重点工作，组织领导班子成员观看警示教育片</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集体学习严肃换届纪律相关文件，在《纪律承诺书》上进行签字，要求领导干部严格遵守</w:t>
      </w:r>
      <w:r>
        <w:rPr>
          <w:rFonts w:hint="eastAsia" w:ascii="Times New Roman" w:hAnsi="Times New Roman" w:eastAsia="仿宋_GB2312" w:cs="Times New Roman"/>
          <w:kern w:val="0"/>
          <w:sz w:val="32"/>
          <w:szCs w:val="32"/>
        </w:rPr>
        <w:t>“十</w:t>
      </w:r>
      <w:r>
        <w:rPr>
          <w:rFonts w:ascii="Times New Roman" w:hAnsi="Times New Roman" w:eastAsia="仿宋_GB2312" w:cs="Times New Roman"/>
          <w:kern w:val="0"/>
          <w:sz w:val="32"/>
          <w:szCs w:val="32"/>
        </w:rPr>
        <w:t>严禁</w:t>
      </w:r>
      <w:r>
        <w:rPr>
          <w:rFonts w:hint="eastAsia" w:ascii="Times New Roman" w:hAnsi="Times New Roman" w:eastAsia="仿宋_GB2312" w:cs="Times New Roman"/>
          <w:kern w:val="0"/>
          <w:sz w:val="32"/>
          <w:szCs w:val="32"/>
        </w:rPr>
        <w:t>”“四不准”</w:t>
      </w:r>
      <w:r>
        <w:rPr>
          <w:rFonts w:ascii="Times New Roman" w:hAnsi="Times New Roman" w:eastAsia="仿宋_GB2312" w:cs="Times New Roman"/>
          <w:kern w:val="0"/>
          <w:sz w:val="32"/>
          <w:szCs w:val="32"/>
        </w:rPr>
        <w:t>换届纪律要求，以高度的政治责任感做好换届工作。</w:t>
      </w:r>
    </w:p>
    <w:p w14:paraId="7746CF46">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二是加大明察暗访力度，坚决纠正“四风”突出问题。持续</w:t>
      </w:r>
      <w:r>
        <w:rPr>
          <w:rFonts w:ascii="Times New Roman" w:hAnsi="Times New Roman" w:eastAsia="仿宋_GB2312" w:cs="Times New Roman"/>
          <w:kern w:val="0"/>
          <w:sz w:val="32"/>
          <w:szCs w:val="32"/>
        </w:rPr>
        <w:t>开展“四不两直”检查，在春节、五一</w:t>
      </w:r>
      <w:r>
        <w:rPr>
          <w:rFonts w:hint="eastAsia" w:ascii="Times New Roman" w:hAnsi="Times New Roman" w:eastAsia="仿宋_GB2312" w:cs="Times New Roman"/>
          <w:kern w:val="0"/>
          <w:sz w:val="32"/>
          <w:szCs w:val="32"/>
        </w:rPr>
        <w:t>、国庆</w:t>
      </w:r>
      <w:r>
        <w:rPr>
          <w:rFonts w:ascii="Times New Roman" w:hAnsi="Times New Roman" w:eastAsia="仿宋_GB2312" w:cs="Times New Roman"/>
          <w:kern w:val="0"/>
          <w:sz w:val="32"/>
          <w:szCs w:val="32"/>
        </w:rPr>
        <w:t>等关键时间节点由“一把手”带队到二级单位对落实全面从严治党的各项要求和部署情况开展监督检查，促进压力层层传导。同时严格按照区纪委相关文件精神，抓好城管委节日期间强化公车使用、值班值守等工作的监督检查，确保反“四风”工作横向到边、纵向到底、不留死角。</w:t>
      </w:r>
    </w:p>
    <w:p w14:paraId="07D8601E">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（四）加强制度建设，进一步规范制约权力运行</w:t>
      </w:r>
    </w:p>
    <w:p w14:paraId="6D3CD032">
      <w:pPr>
        <w:keepNext w:val="0"/>
        <w:keepLines w:val="0"/>
        <w:pageBreakBefore w:val="0"/>
        <w:kinsoku/>
        <w:overflowPunct/>
        <w:topLinePunct w:val="0"/>
        <w:autoSpaceDE/>
        <w:autoSpaceDN/>
        <w:bidi w:val="0"/>
        <w:adjustRightInd w:val="0"/>
        <w:snapToGrid w:val="0"/>
        <w:spacing w:line="560" w:lineRule="exact"/>
        <w:ind w:right="0" w:rightChars="0" w:firstLine="615"/>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增强对标看齐意识，以制度规范责任落实。坚持用制度管权、按制度办事、靠制度管人，整理修订《城管委党风廉政和反腐败工作制度汇编》</w:t>
      </w:r>
      <w:r>
        <w:rPr>
          <w:rFonts w:hint="eastAsia" w:ascii="Times New Roman" w:hAnsi="Times New Roman" w:eastAsia="仿宋_GB2312" w:cs="Times New Roman"/>
          <w:kern w:val="0"/>
          <w:sz w:val="32"/>
          <w:szCs w:val="32"/>
        </w:rPr>
        <w:t>，根据</w:t>
      </w:r>
      <w:r>
        <w:rPr>
          <w:rFonts w:ascii="Times New Roman" w:hAnsi="Times New Roman" w:eastAsia="仿宋_GB2312" w:cs="Times New Roman"/>
          <w:kern w:val="0"/>
          <w:sz w:val="32"/>
          <w:szCs w:val="32"/>
        </w:rPr>
        <w:t>国家相关法律的新变化，</w:t>
      </w:r>
      <w:r>
        <w:rPr>
          <w:rFonts w:hint="eastAsia" w:ascii="Times New Roman" w:hAnsi="Times New Roman" w:eastAsia="仿宋_GB2312" w:cs="Times New Roman"/>
          <w:kern w:val="0"/>
          <w:sz w:val="32"/>
          <w:szCs w:val="32"/>
        </w:rPr>
        <w:t>结合本单位实际</w:t>
      </w:r>
      <w:r>
        <w:rPr>
          <w:rFonts w:ascii="Times New Roman" w:hAnsi="Times New Roman" w:eastAsia="仿宋_GB2312" w:cs="Times New Roman"/>
          <w:kern w:val="0"/>
          <w:sz w:val="32"/>
          <w:szCs w:val="32"/>
        </w:rPr>
        <w:t>完善制度措施，坚持全面、实际、接地气、可操作性强的原则，在内容上涵盖领导干部、普通党员、党政机关、事业单位等方面，</w:t>
      </w:r>
      <w:r>
        <w:rPr>
          <w:rFonts w:hint="eastAsia" w:ascii="Times New Roman" w:hAnsi="Times New Roman" w:eastAsia="仿宋_GB2312" w:cs="Times New Roman"/>
          <w:kern w:val="0"/>
          <w:sz w:val="32"/>
          <w:szCs w:val="32"/>
        </w:rPr>
        <w:t>全年共修订《城管委工作人员休假制度》《东城区城市管理委员会财务管理办法》及《东城区城市管理委员会非招标采购项目内部管理办法》等。</w:t>
      </w:r>
    </w:p>
    <w:p w14:paraId="3ECFF4FC">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w:t>
      </w:r>
      <w:r>
        <w:rPr>
          <w:rFonts w:ascii="Times New Roman" w:hAnsi="Times New Roman" w:eastAsia="仿宋_GB2312" w:cs="Times New Roman"/>
          <w:kern w:val="0"/>
          <w:sz w:val="32"/>
          <w:szCs w:val="32"/>
        </w:rPr>
        <w:t>进一步坚持民主集中制原则。委领导班子结合工作实际，对重大决策、重要干部任免奖惩、重大项目安排和大额度资金使用等事项坚持集体领导、民主集中、个别酝酿、会议决定的原则议事决策。在召开主任办公会、党组会、</w:t>
      </w:r>
      <w:r>
        <w:rPr>
          <w:rFonts w:hint="eastAsia" w:ascii="Times New Roman" w:hAnsi="Times New Roman" w:eastAsia="仿宋_GB2312" w:cs="Times New Roman"/>
          <w:kern w:val="0"/>
          <w:sz w:val="32"/>
          <w:szCs w:val="32"/>
        </w:rPr>
        <w:t>保密委员</w:t>
      </w:r>
      <w:r>
        <w:rPr>
          <w:rFonts w:ascii="Times New Roman" w:hAnsi="Times New Roman" w:eastAsia="仿宋_GB2312" w:cs="Times New Roman"/>
          <w:kern w:val="0"/>
          <w:sz w:val="32"/>
          <w:szCs w:val="32"/>
        </w:rPr>
        <w:t>会时严格上会议题流程并强化集体决策程序，在“三重一大”民主决策制度实施过程中，主要以主任办公会、党组会等会议形式集体讨论决定，所有大额资金使用均需经主任办公会或党组会讨论研究，资金管理使用规范，</w:t>
      </w:r>
      <w:r>
        <w:rPr>
          <w:rFonts w:hint="eastAsia" w:ascii="Times New Roman" w:hAnsi="Times New Roman" w:eastAsia="仿宋_GB2312" w:cs="Times New Roman"/>
          <w:kern w:val="0"/>
          <w:sz w:val="32"/>
          <w:szCs w:val="32"/>
        </w:rPr>
        <w:t>全年</w:t>
      </w:r>
      <w:r>
        <w:rPr>
          <w:rFonts w:ascii="Times New Roman" w:hAnsi="Times New Roman" w:eastAsia="仿宋_GB2312" w:cs="Times New Roman"/>
          <w:kern w:val="0"/>
          <w:sz w:val="32"/>
          <w:szCs w:val="32"/>
        </w:rPr>
        <w:t>共</w:t>
      </w:r>
      <w:r>
        <w:rPr>
          <w:rFonts w:ascii="Times New Roman" w:hAnsi="Times New Roman" w:eastAsia="仿宋_GB2312" w:cs="Times New Roman"/>
          <w:color w:val="auto"/>
          <w:kern w:val="0"/>
          <w:sz w:val="32"/>
          <w:szCs w:val="32"/>
        </w:rPr>
        <w:t>召开党组会</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color w:val="auto"/>
          <w:kern w:val="0"/>
          <w:sz w:val="32"/>
          <w:szCs w:val="32"/>
        </w:rPr>
        <w:t>次</w:t>
      </w:r>
      <w:r>
        <w:rPr>
          <w:rFonts w:ascii="Times New Roman" w:hAnsi="Times New Roman" w:eastAsia="仿宋_GB2312" w:cs="Times New Roman"/>
          <w:kern w:val="0"/>
          <w:sz w:val="32"/>
          <w:szCs w:val="32"/>
        </w:rPr>
        <w:t>。</w:t>
      </w:r>
    </w:p>
    <w:p w14:paraId="4B427072">
      <w:pPr>
        <w:pStyle w:val="2"/>
        <w:keepNext w:val="0"/>
        <w:keepLines w:val="0"/>
        <w:pageBreakBefore w:val="0"/>
        <w:kinsoku/>
        <w:overflowPunct/>
        <w:topLinePunct w:val="0"/>
        <w:autoSpaceDE/>
        <w:autoSpaceDN/>
        <w:bidi w:val="0"/>
        <w:adjustRightInd w:val="0"/>
        <w:snapToGrid w:val="0"/>
        <w:spacing w:after="0" w:line="560" w:lineRule="exact"/>
        <w:ind w:right="0" w:rightChars="0" w:firstLine="640" w:firstLineChars="200"/>
        <w:textAlignment w:val="auto"/>
      </w:pPr>
      <w:r>
        <w:rPr>
          <w:rFonts w:hint="eastAsia" w:ascii="Times New Roman" w:hAnsi="Times New Roman" w:eastAsia="仿宋_GB2312" w:cs="Times New Roman"/>
          <w:kern w:val="0"/>
          <w:sz w:val="32"/>
          <w:szCs w:val="32"/>
        </w:rPr>
        <w:t>三是</w:t>
      </w:r>
      <w:r>
        <w:rPr>
          <w:rFonts w:ascii="Times New Roman" w:hAnsi="Times New Roman" w:eastAsia="仿宋_GB2312" w:cs="Times New Roman"/>
          <w:kern w:val="0"/>
          <w:sz w:val="32"/>
          <w:szCs w:val="32"/>
        </w:rPr>
        <w:t>积极推进权力公开运行。严格落实《东城区党务公开工作实施办法（试行）》《东城区城市管理委员会党务公开制度》等规定要求，继续深化预决算，积极推进重大行政决策程序、党务公开、政务公开及“六费”公开，规范公开审批手续，按要求执行保密审查制度，主动接受各方监督。同时严格执行预算和公务卡使用管理规定，做好公务用车管理工作，形成权威高效的制度执行机制，加强对制度执行的监督。</w:t>
      </w:r>
    </w:p>
    <w:p w14:paraId="15B8CB06">
      <w:pPr>
        <w:pStyle w:val="2"/>
        <w:keepNext w:val="0"/>
        <w:keepLines w:val="0"/>
        <w:pageBreakBefore w:val="0"/>
        <w:kinsoku/>
        <w:overflowPunct/>
        <w:topLinePunct w:val="0"/>
        <w:autoSpaceDE/>
        <w:autoSpaceDN/>
        <w:bidi w:val="0"/>
        <w:adjustRightInd w:val="0"/>
        <w:snapToGrid w:val="0"/>
        <w:spacing w:after="0" w:line="560" w:lineRule="exact"/>
        <w:ind w:left="420" w:leftChars="200" w:right="0" w:rightChars="0"/>
        <w:textAlignment w:val="auto"/>
        <w:rPr>
          <w:rFonts w:ascii="黑体" w:hAnsi="黑体" w:eastAsia="黑体" w:cs="黑体"/>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kern w:val="0"/>
          <w:sz w:val="32"/>
          <w:szCs w:val="32"/>
        </w:rPr>
        <w:t>四、202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年推进法治政府建设的主要安排</w:t>
      </w:r>
    </w:p>
    <w:p w14:paraId="2B35C501">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rPr>
      </w:pPr>
      <w:r>
        <w:rPr>
          <w:rFonts w:hint="eastAsia" w:ascii="楷体_GB2312" w:hAnsi="楷体_GB2312" w:eastAsia="楷体_GB2312" w:cs="楷体_GB2312"/>
          <w:bCs/>
          <w:color w:val="000000"/>
          <w:sz w:val="32"/>
          <w:szCs w:val="32"/>
        </w:rPr>
        <w:t>（一）继续坚持领导干部学法制度，提高法治意识和依法行政能力</w:t>
      </w:r>
    </w:p>
    <w:p w14:paraId="5D113CF6">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委将继续推进依法行政，将行政执法责任制作为开展和推动各项工作的前提和保障，层级落实责任，继续坚持建立以主任为主要责任人，主管主任具体负责，相关科室负责人分工负责的分级管理网络，有效保障我委行政执法工作规范、有序地开展。</w:t>
      </w:r>
      <w:r>
        <w:rPr>
          <w:rFonts w:hint="eastAsia" w:ascii="Times New Roman" w:hAnsi="Times New Roman" w:eastAsia="仿宋_GB2312" w:cs="Times New Roman"/>
          <w:b/>
          <w:kern w:val="0"/>
          <w:sz w:val="32"/>
          <w:szCs w:val="32"/>
        </w:rPr>
        <w:t>一是</w:t>
      </w:r>
      <w:r>
        <w:rPr>
          <w:rFonts w:hint="eastAsia" w:ascii="Times New Roman" w:hAnsi="Times New Roman" w:eastAsia="仿宋_GB2312" w:cs="Times New Roman"/>
          <w:kern w:val="0"/>
          <w:sz w:val="32"/>
          <w:szCs w:val="32"/>
        </w:rPr>
        <w:t>制订《</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kern w:val="0"/>
          <w:sz w:val="32"/>
          <w:szCs w:val="32"/>
        </w:rPr>
        <w:t>年区城管委主任办公会会前学法安排》，以期继续提高我委干部的法治意识。</w:t>
      </w:r>
      <w:r>
        <w:rPr>
          <w:rFonts w:hint="eastAsia" w:ascii="Times New Roman" w:hAnsi="Times New Roman" w:eastAsia="仿宋_GB2312" w:cs="Times New Roman"/>
          <w:b/>
          <w:kern w:val="0"/>
          <w:sz w:val="32"/>
          <w:szCs w:val="32"/>
        </w:rPr>
        <w:t>二是</w:t>
      </w:r>
      <w:r>
        <w:rPr>
          <w:rFonts w:hint="eastAsia" w:ascii="Times New Roman" w:hAnsi="Times New Roman" w:eastAsia="仿宋_GB2312" w:cs="Times New Roman"/>
          <w:kern w:val="0"/>
          <w:sz w:val="32"/>
          <w:szCs w:val="32"/>
        </w:rPr>
        <w:t>通过以案释法及鼓励工作人员参与案件审理过程，提高我委的依法行政意识，保障政府的公共利益。</w:t>
      </w:r>
      <w:r>
        <w:rPr>
          <w:rFonts w:hint="eastAsia" w:ascii="Times New Roman" w:hAnsi="Times New Roman" w:eastAsia="仿宋_GB2312" w:cs="Times New Roman"/>
          <w:b/>
          <w:kern w:val="0"/>
          <w:sz w:val="32"/>
          <w:szCs w:val="32"/>
        </w:rPr>
        <w:t>三是</w:t>
      </w:r>
      <w:r>
        <w:rPr>
          <w:rFonts w:hint="eastAsia" w:ascii="Times New Roman" w:hAnsi="Times New Roman" w:eastAsia="仿宋_GB2312" w:cs="Times New Roman"/>
          <w:kern w:val="0"/>
          <w:sz w:val="32"/>
          <w:szCs w:val="32"/>
        </w:rPr>
        <w:t>进一步加强“八五”普法的社会宣传，结合重要时间节点，扩大垃圾分类、燃气、停车、户外广告等法律法规的宣传普及力度。</w:t>
      </w:r>
    </w:p>
    <w:p w14:paraId="5EAF3AD4">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（二）加强和改善行政执法工作</w:t>
      </w:r>
    </w:p>
    <w:p w14:paraId="2E531FB3">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办理行政许可工作中，我委将继续严格要求每个工作人员都认真履行职责，规范服务，最大程度的利企便民，切实提升人民群众办事创业的满意度和获得感。不仅服务窗口，也在我委所有业务科室都推行“首问负责制”，要求我委全体干部做到切实解决百姓提出的问题。</w:t>
      </w:r>
    </w:p>
    <w:p w14:paraId="51CE3F21">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（三）进一步完善行政调解制度，加强对行政行为的监督</w:t>
      </w:r>
    </w:p>
    <w:p w14:paraId="694B45FA">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继续落实《北京市东城区行政调解工作办法》《北京市东城区行政调解工作考核制度》《北京市东城区行政调解工作信息报送制度》《北京市东城区行政调解员选聘办法》四项制度，认真开展我委行政调解工作。</w:t>
      </w:r>
    </w:p>
    <w:p w14:paraId="318F2884">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rPr>
      </w:pPr>
      <w:r>
        <w:rPr>
          <w:rFonts w:hint="eastAsia" w:ascii="楷体_GB2312" w:hAnsi="楷体_GB2312" w:eastAsia="楷体_GB2312" w:cs="楷体_GB2312"/>
          <w:bCs/>
          <w:color w:val="000000"/>
          <w:sz w:val="32"/>
          <w:szCs w:val="32"/>
        </w:rPr>
        <w:t>（四）继续做好合法性审查和行政应诉工作</w:t>
      </w:r>
    </w:p>
    <w:p w14:paraId="3DCC7DF8">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我委计划在</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kern w:val="0"/>
          <w:sz w:val="32"/>
          <w:szCs w:val="32"/>
        </w:rPr>
        <w:t>年外聘律师事务所律师为法律顾问，在合同的合法性审查、重大决策法律建议和法律纠纷等方面继续提供服务。所有案件均由法律顾问和管委工作人员共同代理出庭，按时提交答辩状及证据材料，无不按时出庭、迟到或漏庭现象。</w:t>
      </w:r>
    </w:p>
    <w:p w14:paraId="1E4F0B23">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年来，我委通过强化监督管理，确保了行政执法的准确、到位，有力推动了各项工作的顺利开展。对城市管理中的重大问题及关系群众切身利益的热点难点问题，加强调查研究，为民办实事，为新东城建设做出贡献。</w:t>
      </w:r>
    </w:p>
    <w:p w14:paraId="01EED941">
      <w:pPr>
        <w:keepNext w:val="0"/>
        <w:keepLines w:val="0"/>
        <w:pageBreakBefore w:val="0"/>
        <w:kinsoku/>
        <w:overflowPunct/>
        <w:topLinePunct w:val="0"/>
        <w:autoSpaceDE/>
        <w:autoSpaceDN/>
        <w:bidi w:val="0"/>
        <w:adjustRightInd w:val="0"/>
        <w:snapToGrid w:val="0"/>
        <w:spacing w:line="560" w:lineRule="exact"/>
        <w:ind w:right="0" w:rightChars="0" w:firstLine="640" w:firstLineChars="200"/>
        <w:textAlignment w:val="auto"/>
      </w:pPr>
      <w:r>
        <w:rPr>
          <w:rFonts w:hint="eastAsia" w:ascii="Times New Roman" w:hAnsi="Times New Roman" w:eastAsia="仿宋_GB2312" w:cs="Times New Roman"/>
          <w:kern w:val="0"/>
          <w:sz w:val="32"/>
          <w:szCs w:val="32"/>
        </w:rPr>
        <w:t>城管委</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kern w:val="0"/>
          <w:sz w:val="32"/>
          <w:szCs w:val="32"/>
        </w:rPr>
        <w:t>年工作将</w:t>
      </w:r>
      <w:r>
        <w:rPr>
          <w:rFonts w:hint="eastAsia" w:ascii="Times New Roman" w:hAnsi="Times New Roman" w:eastAsia="仿宋_GB2312" w:cs="Times New Roman"/>
          <w:kern w:val="0"/>
          <w:sz w:val="32"/>
          <w:szCs w:val="32"/>
          <w:lang w:eastAsia="zh-CN"/>
        </w:rPr>
        <w:t>继续</w:t>
      </w:r>
      <w:r>
        <w:rPr>
          <w:rFonts w:eastAsia="仿宋_GB2312"/>
          <w:sz w:val="32"/>
          <w:szCs w:val="32"/>
        </w:rPr>
        <w:t>坚持以习近平新时代中国特色社会主义思想为指导，深入学习贯彻党的二十大精神，在市委市政府和区委</w:t>
      </w:r>
      <w:r>
        <w:rPr>
          <w:rFonts w:hint="eastAsia" w:eastAsia="仿宋_GB2312"/>
          <w:sz w:val="32"/>
          <w:szCs w:val="32"/>
          <w:lang w:eastAsia="zh-CN"/>
        </w:rPr>
        <w:t>区政府</w:t>
      </w:r>
      <w:r>
        <w:rPr>
          <w:rFonts w:eastAsia="仿宋_GB2312"/>
          <w:sz w:val="32"/>
          <w:szCs w:val="32"/>
        </w:rPr>
        <w:t>的坚强领导下，坚定信心、开拓进取，踔厉奋发、勇毅前行</w:t>
      </w:r>
      <w:r>
        <w:rPr>
          <w:rFonts w:hint="eastAsia" w:ascii="Times New Roman" w:hAnsi="Times New Roman" w:eastAsia="仿宋_GB2312" w:cs="Times New Roman"/>
          <w:kern w:val="0"/>
          <w:sz w:val="32"/>
          <w:szCs w:val="32"/>
        </w:rPr>
        <w:t>，不断加强城市管理机制创新，全面提升人居环境与城市品质。</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914920"/>
    </w:sdtPr>
    <w:sdtContent>
      <w:p w14:paraId="6ED69307">
        <w:pPr>
          <w:pStyle w:val="4"/>
          <w:jc w:val="center"/>
        </w:pPr>
        <w:r>
          <w:fldChar w:fldCharType="begin"/>
        </w:r>
        <w:r>
          <w:instrText xml:space="preserve">PAGE   \* MERGEFORMAT</w:instrText>
        </w:r>
        <w:r>
          <w:fldChar w:fldCharType="separate"/>
        </w:r>
        <w:r>
          <w:rPr>
            <w:lang w:val="zh-CN"/>
          </w:rPr>
          <w:t>13</w:t>
        </w:r>
        <w:r>
          <w:fldChar w:fldCharType="end"/>
        </w:r>
      </w:p>
    </w:sdtContent>
  </w:sdt>
  <w:p w14:paraId="0BBA1D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E90B9"/>
    <w:multiLevelType w:val="singleLevel"/>
    <w:tmpl w:val="61CE90B9"/>
    <w:lvl w:ilvl="0" w:tentative="0">
      <w:start w:val="3"/>
      <w:numFmt w:val="chineseCounting"/>
      <w:suff w:val="nothing"/>
      <w:lvlText w:val="（%1）"/>
      <w:lvlJc w:val="left"/>
    </w:lvl>
  </w:abstractNum>
  <w:abstractNum w:abstractNumId="1">
    <w:nsid w:val="63BF7636"/>
    <w:multiLevelType w:val="singleLevel"/>
    <w:tmpl w:val="63BF763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5200C0"/>
    <w:rsid w:val="000C6CFF"/>
    <w:rsid w:val="000E4255"/>
    <w:rsid w:val="0010353C"/>
    <w:rsid w:val="001444D8"/>
    <w:rsid w:val="00211704"/>
    <w:rsid w:val="00240BCA"/>
    <w:rsid w:val="00245BE2"/>
    <w:rsid w:val="002635C3"/>
    <w:rsid w:val="002C38C1"/>
    <w:rsid w:val="003D7F09"/>
    <w:rsid w:val="00403630"/>
    <w:rsid w:val="004E3355"/>
    <w:rsid w:val="004F0F1A"/>
    <w:rsid w:val="00575F5C"/>
    <w:rsid w:val="005C702D"/>
    <w:rsid w:val="005D5321"/>
    <w:rsid w:val="005D69E0"/>
    <w:rsid w:val="00642542"/>
    <w:rsid w:val="007879AE"/>
    <w:rsid w:val="007D4C16"/>
    <w:rsid w:val="008376CF"/>
    <w:rsid w:val="008844D5"/>
    <w:rsid w:val="0090216A"/>
    <w:rsid w:val="00920634"/>
    <w:rsid w:val="009514D7"/>
    <w:rsid w:val="009A24C7"/>
    <w:rsid w:val="00A353EA"/>
    <w:rsid w:val="00A673EB"/>
    <w:rsid w:val="00AA3C9F"/>
    <w:rsid w:val="00B84BDE"/>
    <w:rsid w:val="00B94314"/>
    <w:rsid w:val="00BB102D"/>
    <w:rsid w:val="00BE519A"/>
    <w:rsid w:val="00C46E4C"/>
    <w:rsid w:val="00C7151F"/>
    <w:rsid w:val="00D67F40"/>
    <w:rsid w:val="00EA4FB3"/>
    <w:rsid w:val="00F047C3"/>
    <w:rsid w:val="00F55B1D"/>
    <w:rsid w:val="00FE5CA7"/>
    <w:rsid w:val="02CC36EE"/>
    <w:rsid w:val="09A63D02"/>
    <w:rsid w:val="0AE53FAC"/>
    <w:rsid w:val="122B3DBC"/>
    <w:rsid w:val="13615EA7"/>
    <w:rsid w:val="13D9126B"/>
    <w:rsid w:val="1B4C3582"/>
    <w:rsid w:val="22DD2871"/>
    <w:rsid w:val="231723D8"/>
    <w:rsid w:val="28857E4B"/>
    <w:rsid w:val="2C3913A9"/>
    <w:rsid w:val="34455DCE"/>
    <w:rsid w:val="384F62F1"/>
    <w:rsid w:val="385B25FC"/>
    <w:rsid w:val="3CB25D3A"/>
    <w:rsid w:val="3E177486"/>
    <w:rsid w:val="3E3379C1"/>
    <w:rsid w:val="3E647773"/>
    <w:rsid w:val="4DA40E37"/>
    <w:rsid w:val="4DB4360B"/>
    <w:rsid w:val="4F497F2C"/>
    <w:rsid w:val="55142243"/>
    <w:rsid w:val="56A9094B"/>
    <w:rsid w:val="583226EC"/>
    <w:rsid w:val="5EC84504"/>
    <w:rsid w:val="5EED3BA2"/>
    <w:rsid w:val="63B65A49"/>
    <w:rsid w:val="63F215F4"/>
    <w:rsid w:val="655200C0"/>
    <w:rsid w:val="6DB46957"/>
    <w:rsid w:val="710D1909"/>
    <w:rsid w:val="739F0524"/>
    <w:rsid w:val="73FB1360"/>
    <w:rsid w:val="77A92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cs="Calibri"/>
      <w:szCs w:val="21"/>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character" w:styleId="9">
    <w:name w:val="footnote reference"/>
    <w:basedOn w:val="8"/>
    <w:qFormat/>
    <w:uiPriority w:val="99"/>
    <w:rPr>
      <w:vertAlign w:val="superscript"/>
    </w:rPr>
  </w:style>
  <w:style w:type="character" w:customStyle="1" w:styleId="10">
    <w:name w:val="页眉 字符"/>
    <w:basedOn w:val="8"/>
    <w:link w:val="5"/>
    <w:qFormat/>
    <w:uiPriority w:val="0"/>
    <w:rPr>
      <w:rFonts w:ascii="Calibri" w:hAnsi="Calibri" w:cs="黑体"/>
      <w:kern w:val="2"/>
      <w:sz w:val="18"/>
      <w:szCs w:val="18"/>
    </w:rPr>
  </w:style>
  <w:style w:type="character" w:customStyle="1" w:styleId="11">
    <w:name w:val="页脚 字符"/>
    <w:basedOn w:val="8"/>
    <w:link w:val="4"/>
    <w:qFormat/>
    <w:uiPriority w:val="99"/>
    <w:rPr>
      <w:rFonts w:ascii="Calibri" w:hAnsi="Calibri" w:cs="黑体"/>
      <w:kern w:val="2"/>
      <w:sz w:val="18"/>
      <w:szCs w:val="18"/>
    </w:rPr>
  </w:style>
  <w:style w:type="paragraph" w:customStyle="1" w:styleId="12">
    <w:name w:val="列表段落1"/>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1705</Words>
  <Characters>1794</Characters>
  <Lines>50</Lines>
  <Paragraphs>14</Paragraphs>
  <TotalTime>0</TotalTime>
  <ScaleCrop>false</ScaleCrop>
  <LinksUpToDate>false</LinksUpToDate>
  <CharactersWithSpaces>1795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2022-11-24T02:42:00Z</dcterms:created>
  <dc:creator>admin</dc:creator>
  <cp:lastModifiedBy>依然</cp:lastModifiedBy>
  <dcterms:modified xsi:type="dcterms:W3CDTF">2025-03-25T09:39:20Z</dcterms:modified>
  <dc:title>东城区城市管理委员会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42BD758F28164EFDB2E2B85AC6F52BAE_12</vt:lpwstr>
  </property>
  <property fmtid="{D5CDD505-2E9C-101B-9397-08002B2CF9AE}" pid="4" name="KSOTemplateDocerSaveRecord">
    <vt:lpwstr>eyJoZGlkIjoiYTQwNDY3ZTAxMGZjMzU0NmYwOTUyZWY1MjcyMTJkMzYiLCJ1c2VySWQiOiIxMTc2MDE0ODk4In0=</vt:lpwstr>
  </property>
</Properties>
</file>