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328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东城区退役军人事务局</w:t>
      </w:r>
    </w:p>
    <w:p w14:paraId="1C087C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default" w:ascii="Times New Roman" w:hAnsi="Times New Roman" w:eastAsia="方正小标宋简体" w:cs="Times New Roman"/>
          <w:color w:val="auto"/>
          <w:sz w:val="44"/>
          <w:szCs w:val="44"/>
          <w:lang w:val="en-US" w:eastAsia="zh-CN"/>
        </w:rPr>
        <w:t>2022</w:t>
      </w:r>
      <w:r>
        <w:rPr>
          <w:rFonts w:hint="eastAsia" w:ascii="方正小标宋简体" w:hAnsi="方正小标宋简体" w:eastAsia="方正小标宋简体" w:cs="方正小标宋简体"/>
          <w:color w:val="auto"/>
          <w:sz w:val="44"/>
          <w:szCs w:val="44"/>
          <w:lang w:val="en-US" w:eastAsia="zh-CN"/>
        </w:rPr>
        <w:t>年</w:t>
      </w:r>
      <w:r>
        <w:rPr>
          <w:rFonts w:hint="eastAsia" w:ascii="方正小标宋简体" w:hAnsi="方正小标宋简体" w:eastAsia="方正小标宋简体" w:cs="方正小标宋简体"/>
          <w:color w:val="auto"/>
          <w:sz w:val="44"/>
          <w:szCs w:val="44"/>
          <w:lang w:eastAsia="zh-CN"/>
        </w:rPr>
        <w:t>法治政府建设年度情况</w:t>
      </w:r>
      <w:r>
        <w:rPr>
          <w:rFonts w:hint="eastAsia" w:ascii="方正小标宋简体" w:hAnsi="方正小标宋简体" w:eastAsia="方正小标宋简体" w:cs="方正小标宋简体"/>
          <w:color w:val="auto"/>
          <w:sz w:val="44"/>
          <w:szCs w:val="44"/>
        </w:rPr>
        <w:t>报告</w:t>
      </w:r>
    </w:p>
    <w:p w14:paraId="659D3A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rPr>
      </w:pPr>
    </w:p>
    <w:p w14:paraId="4512A3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color w:val="auto"/>
        </w:rPr>
      </w:pPr>
      <w:r>
        <w:rPr>
          <w:rFonts w:hint="eastAsia" w:ascii="Times New Roman" w:hAnsi="Times New Roman"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lang w:val="en-US" w:eastAsia="zh-CN"/>
        </w:rPr>
        <w:t>年是党的二十大召开之年，是实施“十四五”规划、</w:t>
      </w:r>
      <w:r>
        <w:rPr>
          <w:rFonts w:hint="eastAsia" w:ascii="仿宋_GB2312" w:hAnsi="仿宋_GB2312" w:eastAsia="仿宋_GB2312" w:cs="仿宋_GB2312"/>
          <w:color w:val="auto"/>
          <w:sz w:val="32"/>
          <w:szCs w:val="32"/>
          <w:lang w:val="en-US" w:eastAsia="zh-CN"/>
        </w:rPr>
        <w:t>《法治政府建设实施纲要（</w:t>
      </w:r>
      <w:r>
        <w:rPr>
          <w:rFonts w:hint="eastAsia" w:ascii="Times New Roman" w:hAnsi="Times New Roman"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lang w:val="en-US" w:eastAsia="zh-CN"/>
        </w:rPr>
        <w:t>）》和《北京市法治政府建设实施意见（</w:t>
      </w:r>
      <w:r>
        <w:rPr>
          <w:rFonts w:hint="eastAsia" w:ascii="Times New Roman" w:hAnsi="Times New Roman"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val="en-US" w:eastAsia="zh-CN"/>
        </w:rPr>
        <w:t>年-</w:t>
      </w:r>
      <w:r>
        <w:rPr>
          <w:rFonts w:hint="eastAsia" w:ascii="Times New Roman" w:hAnsi="Times New Roman"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val="en-US" w:eastAsia="zh-CN"/>
        </w:rPr>
        <w:t>年）》承上启下的重要一年。</w:t>
      </w:r>
      <w:r>
        <w:rPr>
          <w:rFonts w:hint="eastAsia" w:ascii="仿宋_GB2312" w:hAnsi="仿宋_GB2312" w:eastAsia="仿宋_GB2312" w:cs="仿宋_GB2312"/>
          <w:b w:val="0"/>
          <w:bCs w:val="0"/>
          <w:color w:val="auto"/>
          <w:sz w:val="32"/>
          <w:szCs w:val="32"/>
          <w:highlight w:val="none"/>
          <w:lang w:val="en-US" w:eastAsia="zh-CN"/>
        </w:rPr>
        <w:t>东城区退役军人事务局始终坚持以习近平新时代中国特色社会主义思想为指导，深入学习贯彻习近平法治思想，认真落实区委区政府关于法治政府建设的总体部署，加速“崇文争先”，做实“六字文章”，</w:t>
      </w:r>
      <w:r>
        <w:rPr>
          <w:rFonts w:hint="eastAsia" w:ascii="仿宋_GB2312" w:hAnsi="仿宋_GB2312" w:eastAsia="仿宋_GB2312" w:cs="仿宋_GB2312"/>
          <w:color w:val="auto"/>
          <w:sz w:val="32"/>
          <w:szCs w:val="32"/>
          <w:lang w:val="en-US" w:eastAsia="zh-CN"/>
        </w:rPr>
        <w:t>扎实推进</w:t>
      </w:r>
      <w:r>
        <w:rPr>
          <w:rFonts w:hint="eastAsia" w:ascii="仿宋_GB2312" w:hAnsi="仿宋_GB2312" w:eastAsia="仿宋_GB2312" w:cs="仿宋_GB2312"/>
          <w:color w:val="auto"/>
          <w:sz w:val="32"/>
          <w:szCs w:val="32"/>
        </w:rPr>
        <w:t>法治政府建设</w:t>
      </w:r>
      <w:r>
        <w:rPr>
          <w:rFonts w:hint="eastAsia" w:ascii="仿宋_GB2312" w:hAnsi="仿宋_GB2312" w:eastAsia="仿宋_GB2312" w:cs="仿宋_GB2312"/>
          <w:color w:val="auto"/>
          <w:sz w:val="32"/>
          <w:szCs w:val="32"/>
          <w:lang w:eastAsia="zh-CN"/>
        </w:rPr>
        <w:t>各项工作，为推进东城区退役军人工作高质量发展提供坚强法治保障。现将有关情况报告如下：</w:t>
      </w:r>
    </w:p>
    <w:p w14:paraId="609EEB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一、2022年推进法治政府建设的主要举措和成效</w:t>
      </w:r>
    </w:p>
    <w:p w14:paraId="68A771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（一）加强组织领导，推动法治政府建设深入开展</w:t>
      </w:r>
    </w:p>
    <w:p w14:paraId="1824FC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一是</w:t>
      </w:r>
      <w:r>
        <w:rPr>
          <w:rFonts w:hint="eastAsia" w:ascii="仿宋_GB2312" w:hAnsi="仿宋_GB2312" w:eastAsia="仿宋_GB2312" w:cs="仿宋_GB2312"/>
          <w:b/>
          <w:bCs w:val="0"/>
          <w:color w:val="auto"/>
          <w:sz w:val="32"/>
          <w:szCs w:val="32"/>
          <w:highlight w:val="none"/>
          <w:u w:val="none"/>
          <w:lang w:val="en-US" w:eastAsia="zh-CN"/>
        </w:rPr>
        <w:t>深入学习宣传贯彻习近平法治思想。</w:t>
      </w:r>
      <w:r>
        <w:rPr>
          <w:rFonts w:hint="eastAsia" w:ascii="仿宋_GB2312" w:hAnsi="仿宋_GB2312" w:eastAsia="仿宋_GB2312" w:cs="仿宋_GB2312"/>
          <w:color w:val="auto"/>
          <w:sz w:val="32"/>
          <w:szCs w:val="32"/>
          <w:highlight w:val="none"/>
          <w:u w:val="none"/>
          <w:lang w:val="en-US" w:eastAsia="zh-CN"/>
        </w:rPr>
        <w:t>坚持将学习宣传贯彻习近平法治思想作为全民普法的头等大事和首要任务,落实到全民普法的全过程、各方面，将普法工作与退役军人中心工作同筹划。</w:t>
      </w:r>
      <w:r>
        <w:rPr>
          <w:rFonts w:hint="eastAsia" w:ascii="仿宋_GB2312" w:hAnsi="仿宋_GB2312" w:eastAsia="仿宋_GB2312" w:cs="仿宋_GB2312"/>
          <w:b/>
          <w:bCs/>
          <w:color w:val="auto"/>
          <w:sz w:val="32"/>
          <w:szCs w:val="32"/>
          <w:highlight w:val="none"/>
          <w:u w:val="none"/>
          <w:lang w:val="en-US" w:eastAsia="zh-CN"/>
        </w:rPr>
        <w:t>二是坚持党对普法工作的全面领导。</w:t>
      </w:r>
      <w:r>
        <w:rPr>
          <w:rFonts w:hint="eastAsia" w:ascii="仿宋_GB2312" w:hAnsi="仿宋_GB2312" w:eastAsia="仿宋_GB2312" w:cs="仿宋_GB2312"/>
          <w:color w:val="auto"/>
          <w:sz w:val="32"/>
          <w:szCs w:val="32"/>
          <w:highlight w:val="none"/>
          <w:u w:val="none"/>
          <w:lang w:val="en-US" w:eastAsia="zh-CN"/>
        </w:rPr>
        <w:t>将普法宣传教育作为全面推进法治政府建设的一项重要举措，健全完善普法工作机制，督查指导各支部积极组织开展法治学习、宣传活动，推动普法任务落实。</w:t>
      </w:r>
      <w:r>
        <w:rPr>
          <w:rFonts w:hint="eastAsia" w:ascii="仿宋_GB2312" w:hAnsi="仿宋_GB2312" w:eastAsia="仿宋_GB2312" w:cs="仿宋_GB2312"/>
          <w:b/>
          <w:bCs/>
          <w:color w:val="auto"/>
          <w:sz w:val="32"/>
          <w:szCs w:val="32"/>
          <w:highlight w:val="none"/>
          <w:u w:val="none"/>
          <w:lang w:val="en-US" w:eastAsia="zh-CN"/>
        </w:rPr>
        <w:t>三是</w:t>
      </w:r>
      <w:r>
        <w:rPr>
          <w:rFonts w:hint="eastAsia" w:ascii="Times New Roman" w:hAnsi="Times New Roman" w:eastAsia="仿宋_GB2312" w:cs="Times New Roman"/>
          <w:b/>
          <w:bCs/>
          <w:color w:val="auto"/>
          <w:sz w:val="32"/>
          <w:szCs w:val="32"/>
          <w:lang w:val="en-US" w:eastAsia="zh-CN"/>
        </w:rPr>
        <w:t>调整法治政府建设工作领导小组。</w:t>
      </w:r>
      <w:r>
        <w:rPr>
          <w:rFonts w:hint="eastAsia" w:ascii="仿宋_GB2312" w:hAnsi="仿宋_GB2312" w:eastAsia="仿宋_GB2312" w:cs="仿宋_GB2312"/>
          <w:color w:val="auto"/>
          <w:sz w:val="32"/>
          <w:szCs w:val="32"/>
          <w:lang w:val="en-US" w:eastAsia="zh-CN"/>
        </w:rPr>
        <w:t>发挥领导干部在推进退役军人事务法治建设中的核心作用，</w:t>
      </w:r>
      <w:r>
        <w:rPr>
          <w:rFonts w:hint="eastAsia" w:ascii="Times New Roman" w:hAnsi="Times New Roman" w:eastAsia="仿宋_GB2312" w:cs="Times New Roman"/>
          <w:b w:val="0"/>
          <w:bCs w:val="0"/>
          <w:color w:val="auto"/>
          <w:kern w:val="2"/>
          <w:sz w:val="32"/>
          <w:szCs w:val="32"/>
          <w:lang w:val="en-US" w:eastAsia="zh-CN" w:bidi="ar-SA"/>
        </w:rPr>
        <w:t>召开专题会议研究部署全年法治工</w:t>
      </w:r>
      <w:r>
        <w:rPr>
          <w:rFonts w:hint="eastAsia" w:ascii="Times New Roman" w:hAnsi="Times New Roman" w:eastAsia="仿宋_GB2312" w:cs="Times New Roman"/>
          <w:b w:val="0"/>
          <w:color w:val="auto"/>
          <w:kern w:val="2"/>
          <w:sz w:val="32"/>
          <w:szCs w:val="32"/>
          <w:lang w:val="en-US" w:eastAsia="zh-CN" w:bidi="ar-SA"/>
        </w:rPr>
        <w:t>作任务，制定“党政主要负责人履行推进法治建设第一责任人职责工作清单”，形成主要领导负总责，分管领导直接抓，责任科室</w:t>
      </w:r>
      <w:r>
        <w:rPr>
          <w:rFonts w:hint="eastAsia" w:ascii="Times New Roman" w:hAnsi="Times New Roman" w:eastAsia="仿宋_GB2312" w:cs="Times New Roman"/>
          <w:b w:val="0"/>
          <w:bCs w:val="0"/>
          <w:color w:val="auto"/>
          <w:kern w:val="2"/>
          <w:sz w:val="32"/>
          <w:szCs w:val="32"/>
          <w:lang w:val="en-US" w:eastAsia="zh-CN" w:bidi="ar-SA"/>
        </w:rPr>
        <w:t>具体</w:t>
      </w:r>
      <w:r>
        <w:rPr>
          <w:rFonts w:hint="eastAsia" w:ascii="Times New Roman" w:hAnsi="Times New Roman" w:eastAsia="仿宋_GB2312" w:cs="Times New Roman"/>
          <w:b w:val="0"/>
          <w:bCs w:val="0"/>
          <w:color w:val="auto"/>
          <w:sz w:val="32"/>
          <w:szCs w:val="32"/>
          <w:lang w:val="en-US" w:eastAsia="zh-CN"/>
        </w:rPr>
        <w:t>办的工作机制，为整体推进普法依法治理工作提供坚实组织保障。</w:t>
      </w:r>
      <w:r>
        <w:rPr>
          <w:rFonts w:hint="eastAsia" w:ascii="Times New Roman" w:hAnsi="Times New Roman" w:eastAsia="仿宋_GB2312" w:cs="Times New Roman"/>
          <w:b/>
          <w:bCs/>
          <w:color w:val="auto"/>
          <w:sz w:val="32"/>
          <w:szCs w:val="32"/>
          <w:lang w:val="en-US" w:eastAsia="zh-CN"/>
        </w:rPr>
        <w:t>四是发挥议事协调机构作用推动法治政府建设。</w:t>
      </w:r>
      <w:r>
        <w:rPr>
          <w:rFonts w:hint="eastAsia" w:ascii="仿宋_GB2312" w:hAnsi="仿宋_GB2312" w:eastAsia="仿宋_GB2312" w:cs="仿宋_GB2312"/>
          <w:b w:val="0"/>
          <w:bCs w:val="0"/>
          <w:color w:val="auto"/>
          <w:sz w:val="32"/>
          <w:szCs w:val="32"/>
          <w:highlight w:val="none"/>
          <w:lang w:val="en-US" w:eastAsia="zh-CN"/>
        </w:rPr>
        <w:t>召开区委退役军人事务工作领导小组会，审议通过《东城区关于烈士纪念设施规划建设修缮管理维护的实施方案》和《</w:t>
      </w:r>
      <w:r>
        <w:rPr>
          <w:rFonts w:hint="eastAsia" w:ascii="Times New Roman" w:hAnsi="Times New Roman"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lang w:val="en-US" w:eastAsia="zh-CN"/>
        </w:rPr>
        <w:t>年东城区创建全国示范型退役军人服务站工作方案》；</w:t>
      </w:r>
      <w:r>
        <w:rPr>
          <w:rFonts w:hint="eastAsia" w:ascii="仿宋_GB2312" w:hAnsi="仿宋_GB2312" w:eastAsia="仿宋_GB2312" w:cs="仿宋_GB2312"/>
          <w:color w:val="auto"/>
          <w:sz w:val="32"/>
          <w:szCs w:val="32"/>
          <w:lang w:val="en-US" w:eastAsia="zh-CN"/>
        </w:rPr>
        <w:t>召</w:t>
      </w:r>
      <w:r>
        <w:rPr>
          <w:rFonts w:hint="eastAsia" w:ascii="仿宋_GB2312" w:hAnsi="仿宋_GB2312" w:eastAsia="仿宋_GB2312" w:cs="仿宋_GB2312"/>
          <w:color w:val="auto"/>
          <w:kern w:val="0"/>
          <w:sz w:val="32"/>
          <w:szCs w:val="32"/>
          <w:lang w:val="en-US" w:eastAsia="zh-CN" w:bidi="ar-SA"/>
        </w:rPr>
        <w:t>开</w:t>
      </w:r>
      <w:r>
        <w:rPr>
          <w:rFonts w:hint="eastAsia" w:ascii="Times New Roman" w:hAnsi="Times New Roman" w:eastAsia="仿宋_GB2312" w:cs="仿宋_GB2312"/>
          <w:color w:val="auto"/>
          <w:kern w:val="0"/>
          <w:sz w:val="32"/>
          <w:szCs w:val="32"/>
          <w:lang w:val="en-US" w:eastAsia="zh-CN" w:bidi="ar-SA"/>
        </w:rPr>
        <w:t>2022</w:t>
      </w:r>
      <w:r>
        <w:rPr>
          <w:rFonts w:hint="eastAsia" w:ascii="仿宋_GB2312" w:hAnsi="仿宋_GB2312" w:eastAsia="仿宋_GB2312" w:cs="仿宋_GB2312"/>
          <w:color w:val="auto"/>
          <w:kern w:val="0"/>
          <w:sz w:val="32"/>
          <w:szCs w:val="32"/>
          <w:lang w:val="en-US" w:eastAsia="zh-CN" w:bidi="ar-SA"/>
        </w:rPr>
        <w:t>年区双拥工作领导小组会暨军政座谈会，</w:t>
      </w:r>
      <w:r>
        <w:rPr>
          <w:rFonts w:hint="eastAsia" w:ascii="仿宋_GB2312" w:hAnsi="仿宋_GB2312" w:eastAsia="仿宋_GB2312" w:cs="仿宋_GB2312"/>
          <w:color w:val="auto"/>
          <w:sz w:val="32"/>
          <w:szCs w:val="32"/>
          <w:lang w:val="en-US" w:eastAsia="zh-CN"/>
        </w:rPr>
        <w:t>研究</w:t>
      </w:r>
      <w:r>
        <w:rPr>
          <w:rFonts w:hint="eastAsia" w:ascii="仿宋_GB2312" w:hAnsi="仿宋_GB2312" w:eastAsia="仿宋_GB2312" w:cs="仿宋_GB2312"/>
          <w:color w:val="auto"/>
          <w:kern w:val="0"/>
          <w:sz w:val="32"/>
          <w:szCs w:val="32"/>
          <w:lang w:val="en-US" w:eastAsia="zh-CN" w:bidi="ar-SA"/>
        </w:rPr>
        <w:t>制定《东城区迎接全国双拥模范城届中考评调研工作方案》和《届中考评调研重点指标量化细则及任务分工》；研究并发全区《北京市东城区退役军人事务局关于有序开展退役军人及其他优抚对象建档立卡和优待证申领工作方案》</w:t>
      </w:r>
      <w:r>
        <w:rPr>
          <w:rFonts w:hint="eastAsia" w:ascii="仿宋_GB2312" w:hAnsi="仿宋_GB2312" w:eastAsia="仿宋_GB2312" w:cs="仿宋_GB2312"/>
          <w:color w:val="auto"/>
          <w:sz w:val="32"/>
          <w:szCs w:val="32"/>
          <w:lang w:val="en-US" w:eastAsia="zh-CN"/>
        </w:rPr>
        <w:t>《东城区退役军人事务局</w:t>
      </w:r>
      <w:r>
        <w:rPr>
          <w:rFonts w:hint="eastAsia" w:ascii="Times New Roman" w:hAnsi="Times New Roman"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val="en-US" w:eastAsia="zh-CN"/>
        </w:rPr>
        <w:t>年接收安置军休干部工作方案》等</w:t>
      </w:r>
      <w:r>
        <w:rPr>
          <w:rFonts w:hint="eastAsia" w:ascii="仿宋_GB2312" w:hAnsi="仿宋_GB2312" w:eastAsia="仿宋_GB2312" w:cs="仿宋_GB2312"/>
          <w:color w:val="auto"/>
          <w:kern w:val="0"/>
          <w:sz w:val="32"/>
          <w:szCs w:val="32"/>
          <w:lang w:val="en-US" w:eastAsia="zh-CN" w:bidi="ar-SA"/>
        </w:rPr>
        <w:t>，全区</w:t>
      </w:r>
      <w:r>
        <w:rPr>
          <w:rFonts w:hint="eastAsia" w:ascii="仿宋_GB2312" w:hAnsi="仿宋_GB2312" w:eastAsia="仿宋_GB2312" w:cs="仿宋_GB2312"/>
          <w:b w:val="0"/>
          <w:bCs w:val="0"/>
          <w:color w:val="auto"/>
          <w:sz w:val="32"/>
          <w:szCs w:val="32"/>
          <w:highlight w:val="none"/>
          <w:lang w:val="en-US" w:eastAsia="zh-CN"/>
        </w:rPr>
        <w:t>各单位积极响应，</w:t>
      </w:r>
      <w:r>
        <w:rPr>
          <w:rFonts w:hint="eastAsia" w:ascii="仿宋_GB2312" w:hAnsi="仿宋_GB2312" w:eastAsia="仿宋_GB2312" w:cs="仿宋_GB2312"/>
          <w:color w:val="auto"/>
          <w:sz w:val="32"/>
          <w:szCs w:val="32"/>
          <w:lang w:val="en-US" w:eastAsia="zh-CN"/>
        </w:rPr>
        <w:t>形成领导重视、部门配合、上下联动的长效工作机制，</w:t>
      </w:r>
      <w:r>
        <w:rPr>
          <w:rFonts w:hint="eastAsia" w:ascii="仿宋_GB2312" w:hAnsi="仿宋_GB2312" w:eastAsia="仿宋_GB2312" w:cs="仿宋_GB2312"/>
          <w:b w:val="0"/>
          <w:bCs w:val="0"/>
          <w:color w:val="auto"/>
          <w:sz w:val="32"/>
          <w:szCs w:val="32"/>
          <w:highlight w:val="none"/>
          <w:lang w:val="en-US" w:eastAsia="zh-CN"/>
        </w:rPr>
        <w:t>各项年度重点工作纳入到制度轨道上来，</w:t>
      </w:r>
      <w:r>
        <w:rPr>
          <w:rFonts w:hint="eastAsia" w:ascii="仿宋_GB2312" w:hAnsi="仿宋_GB2312" w:eastAsia="仿宋_GB2312" w:cs="仿宋_GB2312"/>
          <w:color w:val="auto"/>
          <w:sz w:val="32"/>
          <w:szCs w:val="32"/>
          <w:lang w:val="en-US" w:eastAsia="zh-CN"/>
        </w:rPr>
        <w:t>为顺利开展法治政府建设工作奠定坚实基础。</w:t>
      </w:r>
    </w:p>
    <w:p w14:paraId="007D275C">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（二）坚持学习培训，提高法治政府建设工作能力</w:t>
      </w:r>
    </w:p>
    <w:p w14:paraId="4636BEEB">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b/>
          <w:bCs/>
          <w:i w:val="0"/>
          <w:iCs w:val="0"/>
          <w:color w:val="auto"/>
          <w:sz w:val="32"/>
          <w:szCs w:val="32"/>
          <w:lang w:val="en-US" w:eastAsia="zh-CN"/>
        </w:rPr>
        <w:t>一是明确年度学习要点任务。</w:t>
      </w:r>
      <w:r>
        <w:rPr>
          <w:rFonts w:hint="eastAsia" w:ascii="仿宋_GB2312" w:hAnsi="仿宋_GB2312" w:eastAsia="仿宋_GB2312" w:cs="仿宋_GB2312"/>
          <w:b w:val="0"/>
          <w:bCs w:val="0"/>
          <w:color w:val="auto"/>
          <w:sz w:val="32"/>
          <w:szCs w:val="32"/>
          <w:lang w:val="en-US" w:eastAsia="zh-CN"/>
        </w:rPr>
        <w:t>制定印发了年度法治建设工作要点、普法依法治理工作要点和年度学法清单，对全年重点任务工作进行细化分解，落实到科室，落实到责任人。</w:t>
      </w:r>
      <w:r>
        <w:rPr>
          <w:rFonts w:hint="eastAsia" w:ascii="仿宋_GB2312" w:hAnsi="仿宋_GB2312" w:eastAsia="仿宋_GB2312" w:cs="仿宋_GB2312"/>
          <w:b/>
          <w:bCs/>
          <w:color w:val="auto"/>
          <w:sz w:val="32"/>
          <w:szCs w:val="32"/>
          <w:lang w:val="en-US" w:eastAsia="zh-CN"/>
        </w:rPr>
        <w:t>二</w:t>
      </w:r>
      <w:r>
        <w:rPr>
          <w:rFonts w:hint="eastAsia" w:ascii="Times New Roman" w:hAnsi="Times New Roman" w:eastAsia="仿宋_GB2312" w:cs="Times New Roman"/>
          <w:b/>
          <w:bCs/>
          <w:color w:val="auto"/>
          <w:sz w:val="32"/>
          <w:szCs w:val="32"/>
          <w:lang w:val="en-US" w:eastAsia="zh-CN"/>
        </w:rPr>
        <w:t>是</w:t>
      </w:r>
      <w:r>
        <w:rPr>
          <w:rFonts w:hint="eastAsia" w:ascii="仿宋_GB2312" w:hAnsi="仿宋" w:eastAsia="仿宋_GB2312" w:cs="仿宋"/>
          <w:b/>
          <w:bCs/>
          <w:color w:val="auto"/>
          <w:sz w:val="32"/>
          <w:szCs w:val="32"/>
        </w:rPr>
        <w:t>健全</w:t>
      </w:r>
      <w:r>
        <w:rPr>
          <w:rFonts w:ascii="仿宋_GB2312" w:hAnsi="仿宋" w:eastAsia="仿宋_GB2312" w:cs="仿宋"/>
          <w:b/>
          <w:bCs/>
          <w:color w:val="auto"/>
          <w:sz w:val="32"/>
          <w:szCs w:val="32"/>
        </w:rPr>
        <w:t>局党组中心组学</w:t>
      </w:r>
      <w:r>
        <w:rPr>
          <w:rFonts w:hint="eastAsia" w:ascii="仿宋_GB2312" w:hAnsi="仿宋" w:eastAsia="仿宋_GB2312" w:cs="仿宋"/>
          <w:b/>
          <w:bCs/>
          <w:color w:val="auto"/>
          <w:sz w:val="32"/>
          <w:szCs w:val="32"/>
        </w:rPr>
        <w:t>法</w:t>
      </w:r>
      <w:r>
        <w:rPr>
          <w:rFonts w:ascii="仿宋_GB2312" w:hAnsi="仿宋" w:eastAsia="仿宋_GB2312" w:cs="仿宋"/>
          <w:b/>
          <w:bCs/>
          <w:color w:val="auto"/>
          <w:sz w:val="32"/>
          <w:szCs w:val="32"/>
        </w:rPr>
        <w:t>制度</w:t>
      </w:r>
      <w:r>
        <w:rPr>
          <w:rFonts w:hint="eastAsia" w:ascii="仿宋_GB2312" w:hAnsi="仿宋" w:eastAsia="仿宋_GB2312" w:cs="仿宋"/>
          <w:b/>
          <w:bCs/>
          <w:color w:val="auto"/>
          <w:sz w:val="32"/>
          <w:szCs w:val="32"/>
          <w:lang w:eastAsia="zh-CN"/>
        </w:rPr>
        <w:t>。</w:t>
      </w:r>
      <w:r>
        <w:rPr>
          <w:rFonts w:hint="eastAsia" w:ascii="仿宋_GB2312" w:hAnsi="仿宋" w:eastAsia="仿宋_GB2312" w:cs="仿宋"/>
          <w:color w:val="auto"/>
          <w:sz w:val="32"/>
          <w:szCs w:val="32"/>
        </w:rPr>
        <w:t>制定《领导干部学法工作计划》，明确学习时间、学习内容、学习形式等事项，实现领导干部学法工作制度化。截</w:t>
      </w:r>
      <w:r>
        <w:rPr>
          <w:rFonts w:hint="eastAsia" w:ascii="仿宋_GB2312" w:hAnsi="仿宋" w:eastAsia="仿宋_GB2312" w:cs="仿宋"/>
          <w:color w:val="auto"/>
          <w:sz w:val="32"/>
          <w:szCs w:val="32"/>
          <w:lang w:val="en-US" w:eastAsia="zh-CN"/>
        </w:rPr>
        <w:t>至</w:t>
      </w:r>
      <w:r>
        <w:rPr>
          <w:rFonts w:hint="eastAsia" w:ascii="仿宋_GB2312" w:hAnsi="仿宋" w:eastAsia="仿宋_GB2312" w:cs="仿宋"/>
          <w:color w:val="auto"/>
          <w:sz w:val="32"/>
          <w:szCs w:val="32"/>
          <w:lang w:eastAsia="zh-CN"/>
        </w:rPr>
        <w:t>目前</w:t>
      </w:r>
      <w:r>
        <w:rPr>
          <w:rFonts w:hint="eastAsia" w:ascii="仿宋_GB2312" w:hAnsi="仿宋" w:eastAsia="仿宋_GB2312" w:cs="仿宋"/>
          <w:color w:val="auto"/>
          <w:sz w:val="32"/>
          <w:szCs w:val="32"/>
        </w:rPr>
        <w:t>，已落实集中</w:t>
      </w:r>
      <w:r>
        <w:rPr>
          <w:rFonts w:ascii="仿宋_GB2312" w:hAnsi="仿宋" w:eastAsia="仿宋_GB2312" w:cs="仿宋"/>
          <w:color w:val="auto"/>
          <w:sz w:val="32"/>
          <w:szCs w:val="32"/>
        </w:rPr>
        <w:t>学习</w:t>
      </w:r>
      <w:r>
        <w:rPr>
          <w:rFonts w:hint="eastAsia" w:ascii="Times New Roman" w:hAnsi="Times New Roman" w:eastAsia="仿宋_GB2312" w:cs="仿宋"/>
          <w:color w:val="auto"/>
          <w:sz w:val="32"/>
          <w:szCs w:val="32"/>
          <w:lang w:val="en-US" w:eastAsia="zh-CN"/>
        </w:rPr>
        <w:t>12</w:t>
      </w:r>
      <w:r>
        <w:rPr>
          <w:rFonts w:hint="eastAsia" w:ascii="仿宋_GB2312" w:hAnsi="仿宋" w:eastAsia="仿宋_GB2312" w:cs="仿宋"/>
          <w:color w:val="auto"/>
          <w:sz w:val="32"/>
          <w:szCs w:val="32"/>
        </w:rPr>
        <w:t>次，会前学法</w:t>
      </w:r>
      <w:r>
        <w:rPr>
          <w:rFonts w:hint="eastAsia" w:ascii="Times New Roman" w:hAnsi="Times New Roman" w:eastAsia="仿宋_GB2312" w:cs="仿宋"/>
          <w:color w:val="auto"/>
          <w:sz w:val="32"/>
          <w:szCs w:val="32"/>
          <w:lang w:val="en-US" w:eastAsia="zh-CN"/>
        </w:rPr>
        <w:t>16</w:t>
      </w:r>
      <w:r>
        <w:rPr>
          <w:rFonts w:hint="eastAsia" w:ascii="仿宋_GB2312" w:hAnsi="仿宋" w:eastAsia="仿宋_GB2312" w:cs="仿宋"/>
          <w:color w:val="auto"/>
          <w:sz w:val="32"/>
          <w:szCs w:val="32"/>
        </w:rPr>
        <w:t>次，学习内容包括</w:t>
      </w:r>
      <w:r>
        <w:rPr>
          <w:rFonts w:ascii="仿宋_GB2312" w:hAnsi="仿宋" w:eastAsia="仿宋_GB2312" w:cs="仿宋"/>
          <w:color w:val="auto"/>
          <w:sz w:val="32"/>
          <w:szCs w:val="32"/>
        </w:rPr>
        <w:t>《宪法》《习近平新时代中国特色社会主义思想学习纲要》</w:t>
      </w:r>
      <w:r>
        <w:rPr>
          <w:rFonts w:hint="eastAsia" w:ascii="仿宋_GB2312" w:hAnsi="仿宋_GB2312" w:eastAsia="仿宋_GB2312" w:cs="仿宋_GB2312"/>
          <w:color w:val="auto"/>
          <w:sz w:val="32"/>
          <w:szCs w:val="32"/>
          <w:highlight w:val="none"/>
          <w:lang w:eastAsia="zh-CN"/>
        </w:rPr>
        <w:t>《退役军人保障法》《军人地位和权益保障法》</w:t>
      </w:r>
      <w:r>
        <w:rPr>
          <w:rFonts w:hint="eastAsia" w:ascii="仿宋_GB2312" w:hAnsi="仿宋" w:eastAsia="仿宋_GB2312" w:cs="仿宋"/>
          <w:color w:val="auto"/>
          <w:sz w:val="32"/>
          <w:szCs w:val="32"/>
        </w:rPr>
        <w:t>《英雄烈士保护法》</w:t>
      </w:r>
      <w:r>
        <w:rPr>
          <w:rFonts w:hint="eastAsia" w:ascii="仿宋_GB2312" w:hAnsi="仿宋_GB2312" w:eastAsia="仿宋_GB2312" w:cs="仿宋_GB2312"/>
          <w:color w:val="auto"/>
          <w:sz w:val="32"/>
          <w:szCs w:val="32"/>
          <w:lang w:eastAsia="zh-CN"/>
        </w:rPr>
        <w:t>和</w:t>
      </w:r>
      <w:r>
        <w:rPr>
          <w:rFonts w:ascii="仿宋_GB2312" w:hAnsi="仿宋" w:eastAsia="仿宋_GB2312" w:cs="仿宋"/>
          <w:color w:val="auto"/>
          <w:sz w:val="32"/>
          <w:szCs w:val="32"/>
        </w:rPr>
        <w:t>《接诉即办应急处理办法》</w:t>
      </w:r>
      <w:r>
        <w:rPr>
          <w:rFonts w:hint="eastAsia" w:ascii="仿宋_GB2312" w:hAnsi="仿宋" w:eastAsia="仿宋_GB2312" w:cs="仿宋"/>
          <w:color w:val="auto"/>
          <w:sz w:val="32"/>
          <w:szCs w:val="32"/>
        </w:rPr>
        <w:t>等法律法规和文件，</w:t>
      </w:r>
      <w:r>
        <w:rPr>
          <w:rFonts w:ascii="仿宋_GB2312" w:hAnsi="仿宋" w:eastAsia="仿宋_GB2312" w:cs="仿宋"/>
          <w:color w:val="auto"/>
          <w:sz w:val="32"/>
          <w:szCs w:val="32"/>
        </w:rPr>
        <w:t>进一步增强</w:t>
      </w:r>
      <w:r>
        <w:rPr>
          <w:rFonts w:hint="eastAsia" w:ascii="仿宋_GB2312" w:hAnsi="仿宋" w:eastAsia="仿宋_GB2312" w:cs="仿宋"/>
          <w:color w:val="auto"/>
          <w:sz w:val="32"/>
          <w:szCs w:val="32"/>
        </w:rPr>
        <w:t>了领导</w:t>
      </w:r>
      <w:r>
        <w:rPr>
          <w:rFonts w:ascii="仿宋_GB2312" w:hAnsi="仿宋" w:eastAsia="仿宋_GB2312" w:cs="仿宋"/>
          <w:color w:val="auto"/>
          <w:sz w:val="32"/>
          <w:szCs w:val="32"/>
        </w:rPr>
        <w:t>干部</w:t>
      </w:r>
      <w:r>
        <w:rPr>
          <w:rFonts w:hint="eastAsia" w:ascii="仿宋_GB2312" w:hAnsi="仿宋" w:eastAsia="仿宋_GB2312" w:cs="仿宋"/>
          <w:color w:val="auto"/>
          <w:sz w:val="32"/>
          <w:szCs w:val="32"/>
          <w:lang w:eastAsia="zh-CN"/>
        </w:rPr>
        <w:t>的</w:t>
      </w:r>
      <w:r>
        <w:rPr>
          <w:rFonts w:ascii="仿宋_GB2312" w:hAnsi="仿宋" w:eastAsia="仿宋_GB2312" w:cs="仿宋"/>
          <w:color w:val="auto"/>
          <w:sz w:val="32"/>
          <w:szCs w:val="32"/>
        </w:rPr>
        <w:t>宪法意识和法律观念</w:t>
      </w:r>
      <w:r>
        <w:rPr>
          <w:rFonts w:hint="eastAsia" w:ascii="仿宋_GB2312" w:hAnsi="仿宋" w:eastAsia="仿宋_GB2312" w:cs="仿宋"/>
          <w:color w:val="auto"/>
          <w:sz w:val="32"/>
          <w:szCs w:val="32"/>
        </w:rPr>
        <w:t>，</w:t>
      </w:r>
      <w:r>
        <w:rPr>
          <w:rFonts w:ascii="仿宋_GB2312" w:hAnsi="仿宋" w:eastAsia="仿宋_GB2312" w:cs="仿宋"/>
          <w:color w:val="auto"/>
          <w:sz w:val="32"/>
          <w:szCs w:val="32"/>
        </w:rPr>
        <w:t>切实提高</w:t>
      </w:r>
      <w:r>
        <w:rPr>
          <w:rFonts w:hint="eastAsia" w:ascii="仿宋_GB2312" w:hAnsi="仿宋" w:eastAsia="仿宋_GB2312" w:cs="仿宋"/>
          <w:color w:val="auto"/>
          <w:sz w:val="32"/>
          <w:szCs w:val="32"/>
        </w:rPr>
        <w:t>了</w:t>
      </w:r>
      <w:r>
        <w:rPr>
          <w:rFonts w:ascii="仿宋_GB2312" w:hAnsi="仿宋" w:eastAsia="仿宋_GB2312" w:cs="仿宋"/>
          <w:color w:val="auto"/>
          <w:sz w:val="32"/>
          <w:szCs w:val="32"/>
        </w:rPr>
        <w:t>领导干部运用法治思维指导工作</w:t>
      </w:r>
      <w:r>
        <w:rPr>
          <w:rFonts w:hint="eastAsia" w:ascii="仿宋_GB2312" w:hAnsi="仿宋" w:eastAsia="仿宋_GB2312" w:cs="仿宋"/>
          <w:color w:val="auto"/>
          <w:sz w:val="32"/>
          <w:szCs w:val="32"/>
        </w:rPr>
        <w:t>和</w:t>
      </w:r>
      <w:r>
        <w:rPr>
          <w:rFonts w:ascii="仿宋_GB2312" w:hAnsi="仿宋" w:eastAsia="仿宋_GB2312" w:cs="仿宋"/>
          <w:color w:val="auto"/>
          <w:sz w:val="32"/>
          <w:szCs w:val="32"/>
        </w:rPr>
        <w:t>解决问题的能力</w:t>
      </w:r>
      <w:r>
        <w:rPr>
          <w:rFonts w:hint="eastAsia" w:ascii="仿宋_GB2312" w:hAnsi="仿宋" w:eastAsia="仿宋_GB2312" w:cs="仿宋"/>
          <w:color w:val="auto"/>
          <w:sz w:val="32"/>
          <w:szCs w:val="32"/>
        </w:rPr>
        <w:t>。</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bCs/>
          <w:color w:val="auto"/>
          <w:sz w:val="32"/>
          <w:szCs w:val="32"/>
          <w:lang w:eastAsia="zh-CN"/>
        </w:rPr>
        <w:t>将法治培训纳入全局干部教育培训主要内容。</w:t>
      </w:r>
      <w:r>
        <w:rPr>
          <w:rFonts w:hint="eastAsia" w:ascii="Times New Roman" w:hAnsi="Times New Roman" w:eastAsia="仿宋_GB2312" w:cs="Times New Roman"/>
          <w:b w:val="0"/>
          <w:bCs w:val="0"/>
          <w:color w:val="auto"/>
          <w:sz w:val="32"/>
          <w:szCs w:val="32"/>
          <w:lang w:val="en-US" w:eastAsia="zh-CN"/>
        </w:rPr>
        <w:t>突出重点，扎实开展“美好生活·民法典相伴”“迎接二十大，送法进万家”“国家安全教育保密故事人人讲”“依法防控疫情，公民应知应会专题法治培训”“迎接冬奥，法治同行”等专题活动，转发相关宣传材料20余份，并组织全体机关人员开展专题学习10余次。</w:t>
      </w:r>
      <w:r>
        <w:rPr>
          <w:rFonts w:hint="eastAsia" w:ascii="仿宋_GB2312" w:hAnsi="仿宋_GB2312" w:eastAsia="仿宋_GB2312" w:cs="仿宋_GB2312"/>
          <w:color w:val="auto"/>
          <w:sz w:val="32"/>
          <w:szCs w:val="32"/>
          <w:lang w:eastAsia="zh-CN"/>
        </w:rPr>
        <w:t>订阅发放</w:t>
      </w:r>
      <w:r>
        <w:rPr>
          <w:rFonts w:hint="eastAsia" w:ascii="Times New Roman" w:hAnsi="Times New Roman" w:eastAsia="仿宋_GB2312" w:cs="仿宋_GB2312"/>
          <w:color w:val="auto"/>
          <w:sz w:val="32"/>
          <w:szCs w:val="32"/>
          <w:lang w:val="en-US" w:eastAsia="zh-CN"/>
        </w:rPr>
        <w:t>34</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lang w:eastAsia="zh-CN"/>
        </w:rPr>
        <w:t>《退役军人工作政策法规汇编》，组织各科室、中心、军休所针对思想权益、移交安置、就业创业、军休服务管理、褒扬纪念和拥军优抚等内容进行重点学习。</w:t>
      </w:r>
      <w:r>
        <w:rPr>
          <w:rFonts w:hint="eastAsia" w:ascii="Times New Roman" w:hAnsi="Times New Roman" w:eastAsia="仿宋_GB2312" w:cs="Times New Roman"/>
          <w:b w:val="0"/>
          <w:bCs w:val="0"/>
          <w:color w:val="auto"/>
          <w:sz w:val="32"/>
          <w:szCs w:val="32"/>
          <w:lang w:val="en-US" w:eastAsia="zh-CN"/>
        </w:rPr>
        <w:t>邀请律师顾问为执法人员开展相关法律解读授课和实时咨询，</w:t>
      </w:r>
      <w:r>
        <w:rPr>
          <w:rFonts w:hint="eastAsia" w:ascii="仿宋_GB2312" w:hAnsi="仿宋_GB2312" w:eastAsia="仿宋_GB2312" w:cs="仿宋_GB2312"/>
          <w:color w:val="auto"/>
          <w:sz w:val="32"/>
          <w:szCs w:val="32"/>
          <w:lang w:eastAsia="zh-CN"/>
        </w:rPr>
        <w:t>组织执法人员重点学习《北京市信访条例》《军人抚恤优待条例》《烈士褒扬条例》《退役士兵安置条例》等法律法规，听取中国政法大学杨伟东教授《坚持全面依法治国，推进法治中国建设》、中国政法大学曹鎏教授《行政复议法修改的重点和难点》、</w:t>
      </w:r>
      <w:r>
        <w:rPr>
          <w:rFonts w:hint="eastAsia" w:ascii="仿宋_GB2312" w:hAnsi="仿宋_GB2312" w:eastAsia="仿宋_GB2312" w:cs="仿宋_GB2312"/>
          <w:color w:val="auto"/>
          <w:sz w:val="32"/>
          <w:szCs w:val="32"/>
        </w:rPr>
        <w:t>清华大学余凌云教授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诚信法治政府</w:t>
      </w:r>
      <w:r>
        <w:rPr>
          <w:rFonts w:hint="eastAsia" w:ascii="仿宋_GB2312" w:hAnsi="仿宋_GB2312" w:eastAsia="仿宋_GB2312" w:cs="仿宋_GB2312"/>
          <w:color w:val="auto"/>
          <w:sz w:val="32"/>
          <w:szCs w:val="32"/>
          <w:lang w:eastAsia="zh-CN"/>
        </w:rPr>
        <w:t>》和清华大学于安教授《发展型行政法与新发展格局》线上培训讲座，进一步提高执法人员法治素养和能力水平。</w:t>
      </w:r>
    </w:p>
    <w:p w14:paraId="1FB8D1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（三）依据制度标准，扎实开展行政执法工作</w:t>
      </w:r>
    </w:p>
    <w:p w14:paraId="578A81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val="en-US" w:eastAsia="zh-CN"/>
        </w:rPr>
        <w:t>加强与北京市退役军人事务局政策法规处和区司法局沟通，修订</w:t>
      </w:r>
      <w:r>
        <w:rPr>
          <w:rFonts w:hint="eastAsia" w:ascii="Times New Roman" w:hAnsi="Times New Roman"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项行政处罚职权，对“处罚立案依据、实施程序和救济渠道”“行政处罚听证程序较大数额罚款标准”“行政处罚裁量基准”“重大行政执法决定法制审核目录清单”和“行政违法行为分类目录”等公开内容进行修订</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b/>
          <w:bCs/>
          <w:color w:val="auto"/>
          <w:kern w:val="2"/>
          <w:sz w:val="32"/>
          <w:szCs w:val="32"/>
          <w:lang w:val="en-US" w:eastAsia="zh-CN"/>
        </w:rPr>
        <w:t>二是</w:t>
      </w:r>
      <w:r>
        <w:rPr>
          <w:rFonts w:hint="eastAsia" w:ascii="仿宋_GB2312" w:hAnsi="仿宋_GB2312" w:eastAsia="仿宋_GB2312" w:cs="仿宋_GB2312"/>
          <w:color w:val="auto"/>
          <w:kern w:val="2"/>
          <w:sz w:val="32"/>
          <w:szCs w:val="32"/>
          <w:lang w:val="en-US" w:eastAsia="zh-CN"/>
        </w:rPr>
        <w:t>参加退役军人事务部组织的行政处罚裁量基准研讨会，结合基层工作实际梳理退役军人领域行政处罚裁量难点，讨论裁量基准和制定权限，并提出建议意见。</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b w:val="0"/>
          <w:bCs w:val="0"/>
          <w:color w:val="auto"/>
          <w:sz w:val="32"/>
          <w:szCs w:val="32"/>
          <w:lang w:val="en-US" w:eastAsia="zh-CN"/>
        </w:rPr>
        <w:t>完成</w:t>
      </w:r>
      <w:r>
        <w:rPr>
          <w:rFonts w:hint="eastAsia" w:ascii="Times New Roman" w:hAnsi="Times New Roman" w:eastAsia="仿宋_GB2312" w:cs="Times New Roman"/>
          <w:b w:val="0"/>
          <w:bCs w:val="0"/>
          <w:color w:val="auto"/>
          <w:sz w:val="32"/>
          <w:szCs w:val="32"/>
          <w:highlight w:val="none"/>
          <w:lang w:val="en-US" w:eastAsia="zh-CN"/>
        </w:rPr>
        <w:t>案件庭审判决，并进行案例分析，在执法人员培训会上做汇报。配合海淀区法院</w:t>
      </w:r>
      <w:r>
        <w:rPr>
          <w:rFonts w:hint="eastAsia" w:ascii="Times New Roman" w:hAnsi="Times New Roman" w:eastAsia="仿宋_GB2312" w:cs="Times New Roman"/>
          <w:color w:val="auto"/>
          <w:sz w:val="32"/>
          <w:szCs w:val="32"/>
          <w:highlight w:val="none"/>
          <w:lang w:val="en-US" w:eastAsia="zh-CN"/>
        </w:rPr>
        <w:t>协调解决我区优抚对象一次性抚恤金继承纠</w:t>
      </w:r>
      <w:r>
        <w:rPr>
          <w:rFonts w:hint="eastAsia" w:ascii="Times New Roman" w:hAnsi="Times New Roman" w:eastAsia="仿宋_GB2312" w:cs="Times New Roman"/>
          <w:color w:val="auto"/>
          <w:sz w:val="32"/>
          <w:szCs w:val="32"/>
          <w:lang w:val="en-US" w:eastAsia="zh-CN"/>
        </w:rPr>
        <w:t>纷案。</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rPr>
        <w:t>聘请</w:t>
      </w:r>
      <w:r>
        <w:rPr>
          <w:rFonts w:hint="eastAsia" w:ascii="仿宋_GB2312" w:hAnsi="仿宋_GB2312" w:eastAsia="仿宋_GB2312" w:cs="仿宋_GB2312"/>
          <w:color w:val="auto"/>
          <w:sz w:val="32"/>
          <w:szCs w:val="32"/>
          <w:lang w:eastAsia="zh-CN"/>
        </w:rPr>
        <w:t>专业</w:t>
      </w:r>
      <w:r>
        <w:rPr>
          <w:rFonts w:hint="eastAsia" w:ascii="仿宋_GB2312" w:hAnsi="仿宋_GB2312" w:eastAsia="仿宋_GB2312" w:cs="仿宋_GB2312"/>
          <w:color w:val="auto"/>
          <w:sz w:val="32"/>
          <w:szCs w:val="32"/>
        </w:rPr>
        <w:t>法律顾问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为依法决策、科学决策、民主决策提供</w:t>
      </w:r>
      <w:r>
        <w:rPr>
          <w:rFonts w:hint="eastAsia" w:ascii="仿宋_GB2312" w:hAnsi="仿宋_GB2312" w:eastAsia="仿宋_GB2312" w:cs="仿宋_GB2312"/>
          <w:color w:val="auto"/>
          <w:sz w:val="32"/>
          <w:szCs w:val="32"/>
          <w:lang w:eastAsia="zh-CN"/>
        </w:rPr>
        <w:t>法治</w:t>
      </w:r>
      <w:r>
        <w:rPr>
          <w:rFonts w:hint="eastAsia" w:ascii="仿宋_GB2312" w:hAnsi="仿宋_GB2312" w:eastAsia="仿宋_GB2312" w:cs="仿宋_GB2312"/>
          <w:color w:val="auto"/>
          <w:sz w:val="32"/>
          <w:szCs w:val="32"/>
        </w:rPr>
        <w:t>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坚持落实重大行政决策合法性审查、</w:t>
      </w:r>
      <w:r>
        <w:rPr>
          <w:rFonts w:hint="eastAsia" w:ascii="仿宋_GB2312" w:hAnsi="仿宋_GB2312" w:eastAsia="仿宋_GB2312" w:cs="仿宋_GB2312"/>
          <w:color w:val="auto"/>
          <w:sz w:val="32"/>
          <w:szCs w:val="32"/>
          <w:lang w:eastAsia="zh-CN"/>
        </w:rPr>
        <w:t>重大行政决策法治审核制度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b w:val="0"/>
          <w:bCs w:val="0"/>
          <w:color w:val="auto"/>
          <w:sz w:val="32"/>
          <w:szCs w:val="32"/>
          <w:highlight w:val="none"/>
          <w:lang w:val="en-US" w:eastAsia="zh-CN"/>
        </w:rPr>
        <w:t>制定出台《烈士遗属差额领取抚恤补助办法》</w:t>
      </w:r>
      <w:r>
        <w:rPr>
          <w:rFonts w:hint="eastAsia" w:ascii="仿宋_GB2312" w:hAnsi="仿宋_GB2312" w:eastAsia="仿宋_GB2312" w:cs="仿宋_GB2312"/>
          <w:color w:val="auto"/>
          <w:sz w:val="32"/>
          <w:szCs w:val="32"/>
          <w:lang w:val="en-US" w:eastAsia="zh-CN"/>
        </w:rPr>
        <w:t>《东城区优抚对象生活困难救助暂行办法》</w:t>
      </w:r>
      <w:r>
        <w:rPr>
          <w:rFonts w:hint="eastAsia" w:ascii="仿宋_GB2312" w:hAnsi="仿宋_GB2312" w:eastAsia="仿宋_GB2312" w:cs="仿宋_GB2312"/>
          <w:color w:val="auto"/>
          <w:kern w:val="0"/>
          <w:sz w:val="32"/>
          <w:szCs w:val="32"/>
          <w:lang w:val="en-US" w:eastAsia="zh-CN" w:bidi="ar-SA"/>
        </w:rPr>
        <w:t>《立功受奖军人家庭送喜报工作实施办法》等政策文件</w:t>
      </w:r>
      <w:r>
        <w:rPr>
          <w:rFonts w:hint="eastAsia" w:ascii="仿宋_GB2312" w:hAnsi="仿宋_GB2312" w:eastAsia="仿宋_GB2312" w:cs="仿宋_GB2312"/>
          <w:color w:val="auto"/>
          <w:sz w:val="32"/>
          <w:szCs w:val="32"/>
          <w:lang w:val="en-US" w:eastAsia="zh-CN"/>
        </w:rPr>
        <w:t>，持续落实</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rPr>
        <w:t>军休系统包户服务管理工作制度(试行)</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退役士兵教育培训政策摘要二十三条</w:t>
      </w:r>
      <w:r>
        <w:rPr>
          <w:rFonts w:hint="eastAsia" w:ascii="仿宋_GB2312" w:hAnsi="仿宋_GB2312" w:eastAsia="仿宋_GB2312" w:cs="仿宋_GB2312"/>
          <w:color w:val="auto"/>
          <w:sz w:val="32"/>
          <w:szCs w:val="32"/>
          <w:lang w:val="en-US" w:eastAsia="zh-CN"/>
        </w:rPr>
        <w:t>》《退役军人逐月领取退役金安置办法》等制度办法，退役军人</w:t>
      </w:r>
      <w:r>
        <w:rPr>
          <w:rFonts w:hint="eastAsia" w:ascii="仿宋_GB2312" w:hAnsi="仿宋_GB2312" w:eastAsia="仿宋_GB2312" w:cs="仿宋_GB2312"/>
          <w:b w:val="0"/>
          <w:bCs w:val="0"/>
          <w:color w:val="auto"/>
          <w:sz w:val="32"/>
          <w:szCs w:val="32"/>
          <w:highlight w:val="none"/>
          <w:lang w:val="en-US" w:eastAsia="zh-CN"/>
        </w:rPr>
        <w:t>权益得到进一步保障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val="0"/>
          <w:bCs w:val="0"/>
          <w:color w:val="auto"/>
          <w:sz w:val="32"/>
          <w:szCs w:val="32"/>
          <w:lang w:val="en-US" w:eastAsia="zh-CN"/>
        </w:rPr>
        <w:t>规范行政执法工作。</w:t>
      </w:r>
      <w:r>
        <w:rPr>
          <w:rFonts w:hint="eastAsia" w:ascii="Times New Roman" w:hAnsi="Times New Roman" w:eastAsia="仿宋_GB2312" w:cs="Times New Roman"/>
          <w:b w:val="0"/>
          <w:bCs w:val="0"/>
          <w:color w:val="auto"/>
          <w:sz w:val="32"/>
          <w:szCs w:val="32"/>
          <w:lang w:val="en-US" w:eastAsia="zh-CN"/>
        </w:rPr>
        <w:t>组织5名公务员参加执法人员考试，不断增强执法力量。</w:t>
      </w:r>
      <w:r>
        <w:rPr>
          <w:rFonts w:hint="eastAsia" w:ascii="仿宋_GB2312" w:hAnsi="仿宋_GB2312" w:eastAsia="仿宋_GB2312" w:cs="仿宋_GB2312"/>
          <w:b w:val="0"/>
          <w:bCs w:val="0"/>
          <w:color w:val="auto"/>
          <w:sz w:val="32"/>
          <w:szCs w:val="32"/>
          <w:lang w:val="en-US" w:eastAsia="zh-CN"/>
        </w:rPr>
        <w:t>召开执法工作专题会，全面梳理执法权限和要求，明确</w:t>
      </w:r>
      <w:r>
        <w:rPr>
          <w:rFonts w:hint="eastAsia" w:ascii="仿宋_GB2312" w:hAnsi="仿宋_GB2312" w:eastAsia="仿宋_GB2312" w:cs="仿宋_GB2312"/>
          <w:b w:val="0"/>
          <w:bCs w:val="0"/>
          <w:color w:val="auto"/>
          <w:sz w:val="32"/>
          <w:szCs w:val="32"/>
        </w:rPr>
        <w:t>执法</w:t>
      </w:r>
      <w:r>
        <w:rPr>
          <w:rFonts w:hint="eastAsia" w:ascii="仿宋_GB2312" w:hAnsi="仿宋_GB2312" w:eastAsia="仿宋_GB2312" w:cs="仿宋_GB2312"/>
          <w:b w:val="0"/>
          <w:bCs w:val="0"/>
          <w:color w:val="auto"/>
          <w:sz w:val="32"/>
          <w:szCs w:val="32"/>
          <w:lang w:eastAsia="zh-CN"/>
        </w:rPr>
        <w:t>岗位</w:t>
      </w:r>
      <w:r>
        <w:rPr>
          <w:rFonts w:hint="eastAsia" w:ascii="仿宋_GB2312" w:hAnsi="仿宋_GB2312" w:eastAsia="仿宋_GB2312" w:cs="仿宋_GB2312"/>
          <w:color w:val="auto"/>
          <w:sz w:val="32"/>
          <w:szCs w:val="32"/>
          <w:lang w:eastAsia="zh-CN"/>
        </w:rPr>
        <w:t>及年人均执法量。全年</w:t>
      </w:r>
      <w:r>
        <w:rPr>
          <w:rFonts w:hint="eastAsia" w:ascii="仿宋_GB2312" w:hAnsi="仿宋_GB2312" w:eastAsia="仿宋_GB2312" w:cs="仿宋_GB2312"/>
          <w:color w:val="auto"/>
          <w:sz w:val="32"/>
          <w:szCs w:val="32"/>
          <w:lang w:val="en-US" w:eastAsia="zh-CN"/>
        </w:rPr>
        <w:t>A岗人员参与执法率和违法行为纳入检查率均达</w:t>
      </w:r>
      <w:r>
        <w:rPr>
          <w:rFonts w:hint="eastAsia" w:ascii="Times New Roman" w:hAnsi="Times New Roman"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开展涉及移交安置、拥军优抚等</w:t>
      </w:r>
      <w:r>
        <w:rPr>
          <w:rFonts w:hint="eastAsia" w:ascii="Times New Roman" w:hAnsi="Times New Roman"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项</w:t>
      </w:r>
      <w:r>
        <w:rPr>
          <w:rFonts w:hint="eastAsia" w:ascii="仿宋_GB2312" w:hAnsi="仿宋_GB2312" w:eastAsia="仿宋_GB2312" w:cs="仿宋_GB2312"/>
          <w:color w:val="auto"/>
          <w:sz w:val="32"/>
          <w:szCs w:val="32"/>
          <w:lang w:eastAsia="zh-CN"/>
        </w:rPr>
        <w:t>行政执法检查</w:t>
      </w:r>
      <w:r>
        <w:rPr>
          <w:rFonts w:hint="eastAsia" w:ascii="Times New Roman" w:hAnsi="Times New Roman" w:eastAsia="仿宋_GB2312" w:cs="仿宋_GB2312"/>
          <w:color w:val="auto"/>
          <w:sz w:val="32"/>
          <w:szCs w:val="32"/>
          <w:lang w:val="en-US" w:eastAsia="zh-CN"/>
        </w:rPr>
        <w:t>406</w:t>
      </w:r>
      <w:r>
        <w:rPr>
          <w:rFonts w:hint="eastAsia" w:ascii="仿宋_GB2312" w:hAnsi="仿宋_GB2312" w:eastAsia="仿宋_GB2312" w:cs="仿宋_GB2312"/>
          <w:color w:val="auto"/>
          <w:sz w:val="32"/>
          <w:szCs w:val="32"/>
          <w:lang w:val="en-US" w:eastAsia="zh-CN"/>
        </w:rPr>
        <w:t>次，</w:t>
      </w:r>
      <w:r>
        <w:rPr>
          <w:rFonts w:hint="eastAsia" w:ascii="仿宋_GB2312" w:hAnsi="仿宋_GB2312" w:eastAsia="仿宋_GB2312" w:cs="仿宋_GB2312"/>
          <w:color w:val="auto"/>
          <w:sz w:val="32"/>
          <w:szCs w:val="32"/>
        </w:rPr>
        <w:t>未发生行政处罚、行政执法投诉和举报、行政诉讼案件。</w:t>
      </w:r>
    </w:p>
    <w:p w14:paraId="2C70F5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（四）强化宣传引导，不断提高依法行政氛围</w:t>
      </w:r>
    </w:p>
    <w:p w14:paraId="04D385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严格落实“谁执法谁普法”普法责任制。</w:t>
      </w:r>
      <w:r>
        <w:rPr>
          <w:rFonts w:hint="eastAsia" w:ascii="仿宋_GB2312" w:hAnsi="仿宋_GB2312" w:eastAsia="仿宋_GB2312" w:cs="仿宋_GB2312"/>
          <w:b/>
          <w:bCs/>
          <w:color w:val="auto"/>
          <w:kern w:val="2"/>
          <w:sz w:val="32"/>
          <w:szCs w:val="32"/>
          <w:lang w:val="en-US" w:eastAsia="zh-CN" w:bidi="ar-SA"/>
        </w:rPr>
        <w:t>一是扎实开展法治进军休、进军营、进社区活动。</w:t>
      </w:r>
      <w:r>
        <w:rPr>
          <w:rFonts w:hint="eastAsia" w:ascii="仿宋_GB2312" w:hAnsi="仿宋_GB2312" w:eastAsia="仿宋_GB2312" w:cs="仿宋_GB2312"/>
          <w:color w:val="auto"/>
          <w:kern w:val="2"/>
          <w:sz w:val="32"/>
          <w:szCs w:val="32"/>
          <w:lang w:val="en-US" w:eastAsia="zh-CN" w:bidi="ar-SA"/>
        </w:rPr>
        <w:t>为军休干部骨干发放宣传读本并组织现场讨论，全面提升军休干部法治意识；</w:t>
      </w:r>
      <w:r>
        <w:rPr>
          <w:rFonts w:hint="eastAsia" w:ascii="仿宋_GB2312" w:hAnsi="仿宋_GB2312" w:eastAsia="仿宋_GB2312" w:cs="仿宋_GB2312"/>
          <w:color w:val="auto"/>
          <w:sz w:val="32"/>
          <w:szCs w:val="32"/>
          <w:highlight w:val="none"/>
          <w:lang w:val="en-US" w:eastAsia="zh-CN"/>
        </w:rPr>
        <w:t>通过双拥工作平台积极对接驻区部队，引入区司法局、街道司法所等力量广泛开展法律讲堂，解决部队官兵法律难题；</w:t>
      </w:r>
      <w:r>
        <w:rPr>
          <w:rFonts w:hint="eastAsia" w:ascii="仿宋_GB2312" w:hAnsi="仿宋_GB2312" w:eastAsia="仿宋_GB2312" w:cs="仿宋_GB2312"/>
          <w:color w:val="auto"/>
          <w:sz w:val="32"/>
          <w:szCs w:val="32"/>
          <w:highlight w:val="none"/>
          <w:lang w:eastAsia="zh-CN"/>
        </w:rPr>
        <w:t>依托三级服务保障体系，为街道社区退役军人服务站</w:t>
      </w:r>
      <w:r>
        <w:rPr>
          <w:rFonts w:hint="eastAsia" w:ascii="仿宋_GB2312" w:hAnsi="仿宋_GB2312" w:eastAsia="仿宋_GB2312" w:cs="仿宋_GB2312"/>
          <w:color w:val="auto"/>
          <w:sz w:val="32"/>
          <w:szCs w:val="32"/>
        </w:rPr>
        <w:t>发放“优抚政策问答”“自主就业退役士兵服务指南”</w:t>
      </w:r>
      <w:r>
        <w:rPr>
          <w:rFonts w:hint="eastAsia" w:ascii="仿宋_GB2312" w:hAnsi="仿宋_GB2312" w:eastAsia="仿宋_GB2312" w:cs="仿宋_GB2312"/>
          <w:color w:val="auto"/>
          <w:sz w:val="32"/>
          <w:szCs w:val="32"/>
          <w:lang w:eastAsia="zh-CN"/>
        </w:rPr>
        <w:t>“优待证申领工作办理须知”</w:t>
      </w:r>
      <w:r>
        <w:rPr>
          <w:rFonts w:hint="eastAsia" w:ascii="仿宋_GB2312" w:hAnsi="仿宋_GB2312" w:eastAsia="仿宋_GB2312" w:cs="仿宋_GB2312"/>
          <w:color w:val="auto"/>
          <w:sz w:val="32"/>
          <w:szCs w:val="32"/>
        </w:rPr>
        <w:t>“部分退役士兵保险接续申请办理指南”等宣传折页和海报</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0000</w:t>
      </w:r>
      <w:r>
        <w:rPr>
          <w:rFonts w:hint="eastAsia" w:ascii="仿宋_GB2312" w:hAnsi="仿宋_GB2312" w:eastAsia="仿宋_GB2312" w:cs="仿宋_GB2312"/>
          <w:color w:val="auto"/>
          <w:sz w:val="32"/>
          <w:szCs w:val="32"/>
        </w:rPr>
        <w:t>余份，</w:t>
      </w:r>
      <w:r>
        <w:rPr>
          <w:rFonts w:hint="eastAsia" w:ascii="仿宋_GB2312" w:hAnsi="仿宋_GB2312" w:eastAsia="仿宋_GB2312" w:cs="仿宋_GB2312"/>
          <w:color w:val="auto"/>
          <w:sz w:val="32"/>
          <w:szCs w:val="32"/>
          <w:lang w:eastAsia="zh-CN"/>
        </w:rPr>
        <w:t>公开办理地址和电话，为</w:t>
      </w:r>
      <w:r>
        <w:rPr>
          <w:rFonts w:hint="eastAsia" w:ascii="仿宋_GB2312" w:hAnsi="仿宋" w:eastAsia="仿宋_GB2312" w:cs="仿宋"/>
          <w:color w:val="auto"/>
          <w:sz w:val="32"/>
          <w:szCs w:val="32"/>
        </w:rPr>
        <w:t>退役军人</w:t>
      </w:r>
      <w:r>
        <w:rPr>
          <w:rFonts w:hint="eastAsia" w:ascii="仿宋_GB2312" w:hAnsi="仿宋" w:eastAsia="仿宋_GB2312" w:cs="仿宋"/>
          <w:color w:val="auto"/>
          <w:sz w:val="32"/>
          <w:szCs w:val="32"/>
          <w:lang w:eastAsia="zh-CN"/>
        </w:rPr>
        <w:t>提供</w:t>
      </w:r>
      <w:r>
        <w:rPr>
          <w:rFonts w:hint="eastAsia" w:ascii="仿宋_GB2312" w:hAnsi="仿宋" w:eastAsia="仿宋_GB2312" w:cs="仿宋"/>
          <w:color w:val="auto"/>
          <w:sz w:val="32"/>
          <w:szCs w:val="32"/>
        </w:rPr>
        <w:t>家门口</w:t>
      </w:r>
      <w:r>
        <w:rPr>
          <w:rFonts w:hint="eastAsia" w:ascii="仿宋_GB2312" w:hAnsi="仿宋" w:eastAsia="仿宋_GB2312" w:cs="仿宋"/>
          <w:color w:val="auto"/>
          <w:sz w:val="32"/>
          <w:szCs w:val="32"/>
          <w:lang w:eastAsia="zh-CN"/>
        </w:rPr>
        <w:t>的便利服务</w:t>
      </w:r>
      <w:r>
        <w:rPr>
          <w:rFonts w:hint="eastAsia" w:ascii="仿宋_GB2312" w:hAnsi="仿宋" w:eastAsia="仿宋_GB2312" w:cs="仿宋"/>
          <w:color w:val="auto"/>
          <w:sz w:val="32"/>
          <w:szCs w:val="32"/>
        </w:rPr>
        <w:t>。</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bCs/>
          <w:color w:val="auto"/>
          <w:sz w:val="32"/>
          <w:szCs w:val="32"/>
        </w:rPr>
        <w:t>融合运用“报、网、端、微、屏”</w:t>
      </w:r>
      <w:r>
        <w:rPr>
          <w:rFonts w:hint="eastAsia" w:ascii="仿宋_GB2312" w:hAnsi="仿宋_GB2312" w:eastAsia="仿宋_GB2312" w:cs="仿宋_GB2312"/>
          <w:b/>
          <w:bCs/>
          <w:color w:val="auto"/>
          <w:sz w:val="32"/>
          <w:szCs w:val="32"/>
          <w:lang w:eastAsia="zh-CN"/>
        </w:rPr>
        <w:t>加强宣传。</w:t>
      </w:r>
      <w:r>
        <w:rPr>
          <w:rFonts w:hint="eastAsia" w:ascii="仿宋_GB2312" w:hAnsi="仿宋_GB2312" w:eastAsia="仿宋_GB2312" w:cs="仿宋_GB2312"/>
          <w:color w:val="auto"/>
          <w:sz w:val="32"/>
          <w:szCs w:val="32"/>
        </w:rPr>
        <w:t>通过数字东城、微信公众号等媒体及时发布政策信息，</w:t>
      </w:r>
      <w:r>
        <w:rPr>
          <w:rFonts w:hint="eastAsia" w:ascii="仿宋_GB2312" w:hAnsi="仿宋" w:eastAsia="仿宋_GB2312" w:cs="Times New Roman"/>
          <w:color w:val="auto"/>
          <w:sz w:val="32"/>
          <w:szCs w:val="32"/>
        </w:rPr>
        <w:t>在《新东城报》《北京日报》《中国社会报》宣传解读国防及退役军人事务有关法规，进一步提升</w:t>
      </w:r>
      <w:r>
        <w:rPr>
          <w:rFonts w:hint="eastAsia" w:ascii="仿宋_GB2312" w:hAnsi="仿宋" w:eastAsia="仿宋_GB2312" w:cs="仿宋"/>
          <w:color w:val="auto"/>
          <w:sz w:val="32"/>
          <w:szCs w:val="32"/>
        </w:rPr>
        <w:t>退役军人事务工作的知晓率支持率。</w:t>
      </w:r>
      <w:r>
        <w:rPr>
          <w:rFonts w:hint="eastAsia" w:ascii="仿宋_GB2312" w:hAnsi="仿宋_GB2312" w:eastAsia="仿宋_GB2312" w:cs="仿宋_GB2312"/>
          <w:color w:val="auto"/>
          <w:sz w:val="32"/>
          <w:szCs w:val="32"/>
          <w:lang w:val="en-US" w:eastAsia="zh-CN"/>
        </w:rPr>
        <w:t>成立东城区退役军人事务局“红色宣讲团”，积极开展宣讲活动。广泛开展“全国模范退役军人”聂新海、“兵妈妈”闫和平、</w:t>
      </w:r>
      <w:r>
        <w:rPr>
          <w:rFonts w:hint="eastAsia" w:ascii="仿宋_GB2312" w:hAnsi="仿宋_GB2312" w:eastAsia="仿宋_GB2312" w:cs="仿宋_GB2312"/>
          <w:color w:val="auto"/>
          <w:sz w:val="32"/>
          <w:szCs w:val="32"/>
          <w:highlight w:val="none"/>
          <w:shd w:val="clear" w:color="auto" w:fill="auto"/>
          <w:lang w:val="en-US" w:eastAsia="zh-CN"/>
        </w:rPr>
        <w:t>北京市“最美退役军人”掏粪班长李萌</w:t>
      </w:r>
      <w:r>
        <w:rPr>
          <w:rFonts w:hint="eastAsia" w:ascii="仿宋_GB2312" w:hAnsi="仿宋_GB2312" w:eastAsia="仿宋_GB2312" w:cs="仿宋_GB2312"/>
          <w:color w:val="auto"/>
          <w:sz w:val="32"/>
          <w:szCs w:val="32"/>
          <w:lang w:val="en-US" w:eastAsia="zh-CN"/>
        </w:rPr>
        <w:t>等典型人物宣传，努力营造尊军爱军、崇尚英烈社会氛围。</w:t>
      </w:r>
      <w:r>
        <w:rPr>
          <w:rFonts w:hint="eastAsia" w:ascii="仿宋_GB2312" w:hAnsi="仿宋_GB2312" w:eastAsia="仿宋_GB2312" w:cs="仿宋_GB2312"/>
          <w:b/>
          <w:bCs/>
          <w:color w:val="auto"/>
          <w:sz w:val="32"/>
          <w:szCs w:val="32"/>
          <w:lang w:val="en-US" w:eastAsia="zh-CN"/>
        </w:rPr>
        <w:t>三</w:t>
      </w:r>
      <w:r>
        <w:rPr>
          <w:rFonts w:hint="eastAsia" w:ascii="仿宋_GB2312" w:hAnsi="仿宋" w:eastAsia="仿宋_GB2312" w:cs="仿宋"/>
          <w:b/>
          <w:bCs/>
          <w:color w:val="auto"/>
          <w:sz w:val="32"/>
          <w:szCs w:val="32"/>
          <w:lang w:eastAsia="zh-CN"/>
        </w:rPr>
        <w:t>是将落实重点</w:t>
      </w:r>
      <w:r>
        <w:rPr>
          <w:rFonts w:hint="eastAsia" w:ascii="Times New Roman" w:hAnsi="Times New Roman" w:eastAsia="仿宋_GB2312" w:cs="Times New Roman"/>
          <w:b/>
          <w:bCs/>
          <w:color w:val="auto"/>
          <w:sz w:val="32"/>
          <w:szCs w:val="32"/>
          <w:lang w:val="en-US" w:eastAsia="zh-CN"/>
        </w:rPr>
        <w:t>工作与普法宣传相结合。</w:t>
      </w:r>
      <w:r>
        <w:rPr>
          <w:rFonts w:hint="eastAsia" w:ascii="Times New Roman" w:hAnsi="Times New Roman" w:eastAsia="仿宋_GB2312" w:cs="Times New Roman"/>
          <w:color w:val="auto"/>
          <w:sz w:val="32"/>
          <w:szCs w:val="32"/>
          <w:lang w:val="en-US" w:eastAsia="zh-CN"/>
        </w:rPr>
        <w:t>围绕8项行政处罚职权开展行政执法检查，同时向相对人普及</w:t>
      </w:r>
      <w:r>
        <w:rPr>
          <w:rFonts w:hint="eastAsia" w:ascii="Times New Roman" w:hAnsi="Times New Roman" w:eastAsia="仿宋_GB2312" w:cs="Times New Roman"/>
          <w:b w:val="0"/>
          <w:bCs w:val="0"/>
          <w:color w:val="auto"/>
          <w:sz w:val="32"/>
          <w:szCs w:val="32"/>
          <w:lang w:val="en-US" w:eastAsia="zh-CN"/>
        </w:rPr>
        <w:t>有关法律法规，提升退役军人法治素养。</w:t>
      </w:r>
      <w:r>
        <w:rPr>
          <w:rFonts w:hint="eastAsia" w:ascii="仿宋_GB2312" w:hAnsi="仿宋_GB2312" w:eastAsia="仿宋_GB2312" w:cs="仿宋_GB2312"/>
          <w:color w:val="auto"/>
          <w:sz w:val="32"/>
          <w:szCs w:val="32"/>
          <w:highlight w:val="none"/>
          <w:lang w:val="en-US" w:eastAsia="zh-CN"/>
        </w:rPr>
        <w:t>以务实举措扎实推进退役军人及其他优抚对象建档立卡和优待证制发工作。</w:t>
      </w:r>
      <w:r>
        <w:rPr>
          <w:rFonts w:hint="eastAsia" w:ascii="仿宋_GB2312" w:hAnsi="仿宋_GB2312" w:eastAsia="仿宋_GB2312" w:cs="仿宋_GB2312"/>
          <w:b w:val="0"/>
          <w:bCs w:val="0"/>
          <w:color w:val="auto"/>
          <w:sz w:val="32"/>
          <w:szCs w:val="32"/>
          <w:highlight w:val="none"/>
          <w:lang w:val="en-US" w:eastAsia="zh-CN"/>
        </w:rPr>
        <w:t>在全区街道退役军人服务站设立专门窗口，张贴宣传海报、发放优待证办理宣传折页</w:t>
      </w:r>
      <w:r>
        <w:rPr>
          <w:rFonts w:hint="eastAsia" w:ascii="Times New Roman" w:hAnsi="Times New Roman" w:eastAsia="仿宋_GB2312" w:cs="仿宋_GB2312"/>
          <w:b w:val="0"/>
          <w:bCs w:val="0"/>
          <w:color w:val="auto"/>
          <w:sz w:val="32"/>
          <w:szCs w:val="32"/>
          <w:highlight w:val="none"/>
          <w:lang w:val="en-US" w:eastAsia="zh-CN"/>
        </w:rPr>
        <w:t>3000</w:t>
      </w:r>
      <w:r>
        <w:rPr>
          <w:rFonts w:hint="eastAsia" w:ascii="仿宋_GB2312" w:hAnsi="仿宋_GB2312" w:eastAsia="仿宋_GB2312" w:cs="仿宋_GB2312"/>
          <w:b w:val="0"/>
          <w:bCs w:val="0"/>
          <w:color w:val="auto"/>
          <w:sz w:val="32"/>
          <w:szCs w:val="32"/>
          <w:highlight w:val="none"/>
          <w:lang w:val="en-US" w:eastAsia="zh-CN"/>
        </w:rPr>
        <w:t>余份。及时</w:t>
      </w:r>
      <w:r>
        <w:rPr>
          <w:rFonts w:hint="eastAsia" w:ascii="仿宋_GB2312" w:hAnsi="仿宋_GB2312" w:eastAsia="仿宋_GB2312" w:cs="仿宋_GB2312"/>
          <w:color w:val="auto"/>
          <w:kern w:val="2"/>
          <w:sz w:val="32"/>
          <w:szCs w:val="32"/>
          <w:lang w:val="en-US" w:eastAsia="zh-CN" w:bidi="ar-SA"/>
        </w:rPr>
        <w:t>为丢失、损毁和变更持证人的烈属补发烈士证明书，发放“协查函”</w:t>
      </w:r>
      <w:r>
        <w:rPr>
          <w:rFonts w:hint="eastAsia" w:ascii="Times New Roman" w:hAnsi="Times New Roman" w:eastAsia="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封，办理遗属烈士证明书</w:t>
      </w:r>
      <w:r>
        <w:rPr>
          <w:rFonts w:hint="eastAsia" w:ascii="Times New Roman" w:hAnsi="Times New Roman" w:eastAsia="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人，得到家属一致好评。</w:t>
      </w:r>
    </w:p>
    <w:p w14:paraId="7EAA85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二、</w:t>
      </w:r>
      <w:r>
        <w:rPr>
          <w:rFonts w:hint="default" w:ascii="Times New Roman" w:hAnsi="Times New Roman" w:eastAsia="黑体" w:cs="Times New Roman"/>
          <w:color w:val="auto"/>
          <w:kern w:val="0"/>
          <w:sz w:val="32"/>
          <w:szCs w:val="32"/>
          <w:lang w:val="en-US" w:eastAsia="zh-CN"/>
        </w:rPr>
        <w:t>2022</w:t>
      </w:r>
      <w:r>
        <w:rPr>
          <w:rFonts w:hint="default" w:ascii="Times New Roman" w:hAnsi="Times New Roman" w:eastAsia="黑体" w:cs="Times New Roman"/>
          <w:color w:val="auto"/>
          <w:kern w:val="0"/>
          <w:sz w:val="32"/>
          <w:szCs w:val="32"/>
        </w:rPr>
        <w:t>年推进法治政府建设存在的不足和原因</w:t>
      </w:r>
    </w:p>
    <w:p w14:paraId="05B749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我局在法治政府建设工作中虽取得了一定成绩，但受人员编制少、专业力量薄弱等因素影响，仍存在一些不足，</w:t>
      </w:r>
      <w:r>
        <w:rPr>
          <w:rFonts w:hint="eastAsia" w:ascii="仿宋_GB2312" w:hAnsi="仿宋_GB2312" w:eastAsia="仿宋_GB2312" w:cs="仿宋_GB2312"/>
          <w:b/>
          <w:bCs/>
          <w:color w:val="auto"/>
          <w:kern w:val="2"/>
          <w:sz w:val="32"/>
          <w:szCs w:val="32"/>
          <w:vertAlign w:val="baseline"/>
          <w:lang w:val="en-US" w:eastAsia="zh-CN" w:bidi="ar-SA"/>
        </w:rPr>
        <w:t>主要是</w:t>
      </w:r>
      <w:r>
        <w:rPr>
          <w:rFonts w:hint="eastAsia" w:ascii="仿宋_GB2312" w:hAnsi="仿宋_GB2312" w:eastAsia="仿宋_GB2312" w:cs="仿宋_GB2312"/>
          <w:color w:val="auto"/>
          <w:kern w:val="2"/>
          <w:sz w:val="32"/>
          <w:szCs w:val="32"/>
          <w:vertAlign w:val="baseline"/>
          <w:lang w:val="en-US" w:eastAsia="zh-CN" w:bidi="ar-SA"/>
        </w:rPr>
        <w:t>依法行政流程还需继续规范；法治宣传教育开展的范围和内容需继续丰富；</w:t>
      </w:r>
      <w:r>
        <w:rPr>
          <w:rFonts w:hint="eastAsia" w:ascii="仿宋_GB2312" w:hAnsi="仿宋_GB2312" w:eastAsia="仿宋_GB2312" w:cs="仿宋_GB2312"/>
          <w:color w:val="auto"/>
          <w:kern w:val="2"/>
          <w:sz w:val="32"/>
          <w:szCs w:val="32"/>
          <w:vertAlign w:val="baseline"/>
          <w:lang w:val="zh-CN" w:eastAsia="zh-CN" w:bidi="ar-SA"/>
        </w:rPr>
        <w:t>执法队伍经验不足，</w:t>
      </w:r>
      <w:r>
        <w:rPr>
          <w:rFonts w:hint="eastAsia" w:ascii="仿宋_GB2312" w:hAnsi="仿宋_GB2312" w:eastAsia="仿宋_GB2312" w:cs="仿宋_GB2312"/>
          <w:color w:val="auto"/>
          <w:kern w:val="2"/>
          <w:sz w:val="32"/>
          <w:szCs w:val="32"/>
          <w:vertAlign w:val="baseline"/>
          <w:lang w:val="en-US" w:eastAsia="zh-CN" w:bidi="ar-SA"/>
        </w:rPr>
        <w:t>与新形势下的工作要求仍存在一定差距，整体素质和专业性有待进一步提高。</w:t>
      </w:r>
    </w:p>
    <w:p w14:paraId="0CBAC8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三、</w:t>
      </w:r>
      <w:r>
        <w:rPr>
          <w:rFonts w:hint="default" w:ascii="Times New Roman" w:hAnsi="Times New Roman" w:eastAsia="黑体" w:cs="Times New Roman"/>
          <w:color w:val="auto"/>
          <w:kern w:val="0"/>
          <w:sz w:val="32"/>
          <w:szCs w:val="32"/>
          <w:lang w:val="en-US" w:eastAsia="zh-CN"/>
        </w:rPr>
        <w:t>2022年党政主要负责人履行推进法治建设第一责任人职责，加强法治政府建设的有关情况</w:t>
      </w:r>
    </w:p>
    <w:p w14:paraId="4142C4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中共中央办公厅国务院办公厅《党政主要负责人履行推进法治建设第一责任人职责规定》相关要求，我局紧紧抓住领导干部这个“关键少数”，充分发挥领导干部“带头人”和推进退役军人事务法治建设领导核心作用。</w:t>
      </w:r>
    </w:p>
    <w:p w14:paraId="396C98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2"/>
          <w:sz w:val="32"/>
          <w:szCs w:val="32"/>
          <w:shd w:val="clear" w:color="auto" w:fill="auto"/>
          <w:lang w:val="en-US" w:eastAsia="zh-CN" w:bidi="ar-SA"/>
        </w:rPr>
      </w:pPr>
      <w:r>
        <w:rPr>
          <w:rFonts w:hint="eastAsia" w:ascii="楷体_GB2312" w:hAnsi="楷体_GB2312" w:eastAsia="楷体_GB2312" w:cs="楷体_GB2312"/>
          <w:color w:val="auto"/>
          <w:kern w:val="2"/>
          <w:sz w:val="32"/>
          <w:szCs w:val="32"/>
          <w:shd w:val="clear" w:color="auto" w:fill="auto"/>
          <w:lang w:val="en-US" w:eastAsia="zh-CN" w:bidi="ar-SA"/>
        </w:rPr>
        <w:t>（一）带头学法，领导干部法治观念显著提升</w:t>
      </w:r>
    </w:p>
    <w:p w14:paraId="7750C8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kern w:val="2"/>
          <w:sz w:val="32"/>
          <w:szCs w:val="32"/>
          <w:lang w:val="en-US" w:eastAsia="zh-CN" w:bidi="ar-SA"/>
        </w:rPr>
        <w:t>深入贯彻落实习近平总书记提出的“领导干部要做</w:t>
      </w:r>
      <w:bookmarkStart w:id="0" w:name="_GoBack"/>
      <w:bookmarkEnd w:id="0"/>
      <w:r>
        <w:rPr>
          <w:rFonts w:hint="eastAsia" w:ascii="仿宋_GB2312" w:hAnsi="仿宋_GB2312" w:eastAsia="仿宋_GB2312" w:cs="仿宋_GB2312"/>
          <w:color w:val="auto"/>
          <w:kern w:val="2"/>
          <w:sz w:val="32"/>
          <w:szCs w:val="32"/>
          <w:lang w:val="en-US" w:eastAsia="zh-CN" w:bidi="ar-SA"/>
        </w:rPr>
        <w:t>尊法学法守法用法的模范”讲话精神，全面强化“八五”普法要求，增强领导干部法治意识，提高依法行政水平。</w:t>
      </w:r>
      <w:r>
        <w:rPr>
          <w:rFonts w:hint="eastAsia" w:ascii="仿宋_GB2312" w:hAnsi="仿宋_GB2312" w:eastAsia="仿宋_GB2312" w:cs="仿宋_GB2312"/>
          <w:i w:val="0"/>
          <w:caps w:val="0"/>
          <w:color w:val="auto"/>
          <w:spacing w:val="0"/>
          <w:sz w:val="32"/>
          <w:szCs w:val="32"/>
          <w:lang w:val="en-US" w:eastAsia="zh-CN"/>
        </w:rPr>
        <w:t>严格</w:t>
      </w:r>
      <w:r>
        <w:rPr>
          <w:rFonts w:hint="eastAsia" w:ascii="仿宋_GB2312" w:hAnsi="仿宋_GB2312" w:eastAsia="仿宋_GB2312" w:cs="仿宋_GB2312"/>
          <w:color w:val="auto"/>
          <w:sz w:val="32"/>
          <w:szCs w:val="32"/>
          <w:lang w:eastAsia="zh-CN"/>
        </w:rPr>
        <w:t>落实会前</w:t>
      </w:r>
      <w:r>
        <w:rPr>
          <w:rFonts w:hint="eastAsia" w:ascii="仿宋_GB2312" w:hAnsi="仿宋_GB2312" w:eastAsia="仿宋_GB2312" w:cs="仿宋_GB2312"/>
          <w:color w:val="auto"/>
          <w:sz w:val="32"/>
          <w:szCs w:val="32"/>
        </w:rPr>
        <w:t>学法</w:t>
      </w:r>
      <w:r>
        <w:rPr>
          <w:rFonts w:hint="eastAsia" w:ascii="仿宋_GB2312" w:hAnsi="仿宋_GB2312" w:eastAsia="仿宋_GB2312" w:cs="仿宋_GB2312"/>
          <w:color w:val="auto"/>
          <w:kern w:val="2"/>
          <w:sz w:val="32"/>
          <w:szCs w:val="32"/>
          <w:lang w:val="en-US" w:eastAsia="zh-CN" w:bidi="ar-SA"/>
        </w:rPr>
        <w:t>制度，制定《</w:t>
      </w:r>
      <w:r>
        <w:rPr>
          <w:rFonts w:hint="eastAsia" w:ascii="Times New Roman" w:hAnsi="Times New Roman" w:eastAsia="仿宋_GB2312" w:cs="仿宋_GB2312"/>
          <w:color w:val="auto"/>
          <w:kern w:val="2"/>
          <w:sz w:val="32"/>
          <w:szCs w:val="32"/>
          <w:lang w:val="en-US" w:eastAsia="zh-CN" w:bidi="ar-SA"/>
        </w:rPr>
        <w:t>2022</w:t>
      </w:r>
      <w:r>
        <w:rPr>
          <w:rFonts w:hint="eastAsia" w:ascii="仿宋_GB2312" w:hAnsi="仿宋_GB2312" w:eastAsia="仿宋_GB2312" w:cs="仿宋_GB2312"/>
          <w:color w:val="auto"/>
          <w:kern w:val="2"/>
          <w:sz w:val="32"/>
          <w:szCs w:val="32"/>
          <w:lang w:val="en-US" w:eastAsia="zh-CN" w:bidi="ar-SA"/>
        </w:rPr>
        <w:t>年东城区退役军人事务局党组会议会前学法计划》，采用集中讲授、分段领读、个人自学和讨论交流等多种形式开展法治学习，全年开展</w:t>
      </w:r>
      <w:r>
        <w:rPr>
          <w:rFonts w:hint="eastAsia" w:ascii="Times New Roman" w:hAnsi="Times New Roman"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lang w:val="en-US" w:eastAsia="zh-CN" w:bidi="ar-SA"/>
        </w:rPr>
        <w:t>次局党</w:t>
      </w:r>
      <w:r>
        <w:rPr>
          <w:rFonts w:hint="eastAsia" w:ascii="仿宋_GB2312" w:hAnsi="仿宋_GB2312" w:eastAsia="仿宋_GB2312" w:cs="仿宋_GB2312"/>
          <w:i w:val="0"/>
          <w:caps w:val="0"/>
          <w:color w:val="auto"/>
          <w:spacing w:val="0"/>
          <w:sz w:val="32"/>
          <w:szCs w:val="32"/>
          <w:lang w:eastAsia="zh-CN"/>
        </w:rPr>
        <w:t>组</w:t>
      </w:r>
      <w:r>
        <w:rPr>
          <w:rFonts w:hint="eastAsia" w:ascii="仿宋_GB2312" w:hAnsi="仿宋_GB2312" w:eastAsia="仿宋_GB2312" w:cs="仿宋_GB2312"/>
          <w:i w:val="0"/>
          <w:caps w:val="0"/>
          <w:color w:val="auto"/>
          <w:spacing w:val="0"/>
          <w:sz w:val="32"/>
          <w:szCs w:val="32"/>
        </w:rPr>
        <w:t>会</w:t>
      </w:r>
      <w:r>
        <w:rPr>
          <w:rFonts w:hint="eastAsia" w:ascii="仿宋_GB2312" w:hAnsi="仿宋_GB2312" w:eastAsia="仿宋_GB2312" w:cs="仿宋_GB2312"/>
          <w:i w:val="0"/>
          <w:caps w:val="0"/>
          <w:color w:val="auto"/>
          <w:spacing w:val="0"/>
          <w:sz w:val="32"/>
          <w:szCs w:val="32"/>
          <w:lang w:eastAsia="zh-CN"/>
        </w:rPr>
        <w:t>会前学法</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val="en-US" w:eastAsia="zh-CN"/>
        </w:rPr>
        <w:t>深入学习党的二十大精神、习近平法治思想、《退役军人保障法》《</w:t>
      </w:r>
      <w:r>
        <w:rPr>
          <w:rFonts w:hint="eastAsia" w:ascii="仿宋_GB2312" w:hAnsi="仿宋_GB2312" w:eastAsia="仿宋_GB2312" w:cs="仿宋_GB2312"/>
          <w:color w:val="auto"/>
          <w:sz w:val="32"/>
          <w:szCs w:val="32"/>
          <w:highlight w:val="none"/>
          <w:lang w:eastAsia="zh-CN"/>
        </w:rPr>
        <w:t>军人地位和权益保障法</w:t>
      </w:r>
      <w:r>
        <w:rPr>
          <w:rFonts w:hint="eastAsia" w:ascii="仿宋_GB2312" w:hAnsi="仿宋_GB2312" w:eastAsia="仿宋_GB2312" w:cs="仿宋_GB2312"/>
          <w:i w:val="0"/>
          <w:caps w:val="0"/>
          <w:color w:val="auto"/>
          <w:spacing w:val="0"/>
          <w:sz w:val="32"/>
          <w:szCs w:val="32"/>
          <w:lang w:val="en-US" w:eastAsia="zh-CN"/>
        </w:rPr>
        <w:t>》《北京市突发事件应急预案管理办法》等内容</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用</w:t>
      </w:r>
      <w:r>
        <w:rPr>
          <w:rFonts w:hint="eastAsia" w:ascii="仿宋_GB2312" w:hAnsi="仿宋_GB2312" w:eastAsia="仿宋_GB2312" w:cs="仿宋_GB2312"/>
          <w:i w:val="0"/>
          <w:caps w:val="0"/>
          <w:color w:val="auto"/>
          <w:spacing w:val="0"/>
          <w:sz w:val="32"/>
          <w:szCs w:val="32"/>
          <w:lang w:eastAsia="zh-CN"/>
        </w:rPr>
        <w:t>新</w:t>
      </w:r>
      <w:r>
        <w:rPr>
          <w:rFonts w:hint="eastAsia" w:ascii="仿宋_GB2312" w:hAnsi="仿宋_GB2312" w:eastAsia="仿宋_GB2312" w:cs="仿宋_GB2312"/>
          <w:i w:val="0"/>
          <w:caps w:val="0"/>
          <w:color w:val="auto"/>
          <w:spacing w:val="0"/>
          <w:sz w:val="32"/>
          <w:szCs w:val="32"/>
        </w:rPr>
        <w:t>思想</w:t>
      </w:r>
      <w:r>
        <w:rPr>
          <w:rFonts w:hint="eastAsia" w:ascii="仿宋_GB2312" w:hAnsi="仿宋_GB2312" w:eastAsia="仿宋_GB2312" w:cs="仿宋_GB2312"/>
          <w:i w:val="0"/>
          <w:caps w:val="0"/>
          <w:color w:val="auto"/>
          <w:spacing w:val="0"/>
          <w:sz w:val="32"/>
          <w:szCs w:val="32"/>
          <w:lang w:eastAsia="zh-CN"/>
        </w:rPr>
        <w:t>、新理论</w:t>
      </w:r>
      <w:r>
        <w:rPr>
          <w:rFonts w:hint="eastAsia" w:ascii="仿宋_GB2312" w:hAnsi="仿宋_GB2312" w:eastAsia="仿宋_GB2312" w:cs="仿宋_GB2312"/>
          <w:i w:val="0"/>
          <w:caps w:val="0"/>
          <w:color w:val="auto"/>
          <w:spacing w:val="0"/>
          <w:sz w:val="32"/>
          <w:szCs w:val="32"/>
        </w:rPr>
        <w:t>武装头脑、指导实践</w:t>
      </w:r>
      <w:r>
        <w:rPr>
          <w:rFonts w:hint="eastAsia" w:ascii="仿宋_GB2312" w:hAnsi="仿宋_GB2312" w:eastAsia="仿宋_GB2312" w:cs="仿宋_GB2312"/>
          <w:i w:val="0"/>
          <w:caps w:val="0"/>
          <w:color w:val="auto"/>
          <w:spacing w:val="0"/>
          <w:sz w:val="32"/>
          <w:szCs w:val="32"/>
          <w:lang w:eastAsia="zh-CN"/>
        </w:rPr>
        <w:t>。</w:t>
      </w:r>
    </w:p>
    <w:p w14:paraId="2D99AB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2"/>
          <w:sz w:val="32"/>
          <w:szCs w:val="32"/>
          <w:shd w:val="clear" w:color="auto" w:fill="auto"/>
          <w:lang w:val="en-US" w:eastAsia="zh-CN" w:bidi="ar-SA"/>
        </w:rPr>
      </w:pPr>
      <w:r>
        <w:rPr>
          <w:rFonts w:hint="eastAsia" w:ascii="楷体_GB2312" w:hAnsi="楷体_GB2312" w:eastAsia="楷体_GB2312" w:cs="楷体_GB2312"/>
          <w:color w:val="auto"/>
          <w:kern w:val="2"/>
          <w:sz w:val="32"/>
          <w:szCs w:val="32"/>
          <w:shd w:val="clear" w:color="auto" w:fill="auto"/>
          <w:lang w:val="en-US" w:eastAsia="zh-CN" w:bidi="ar-SA"/>
        </w:rPr>
        <w:t>（二）落实责任，行政权力运行不断规范</w:t>
      </w:r>
    </w:p>
    <w:p w14:paraId="0A58F4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局党政主要负责人严格履行法治建设组织者、推动者、实践者职责。充分发挥党组统揽全局、协调各方作用，督促领导班子成员和下属部门依法办事。坚持领导干部述职述廉制度和重大事项报告制度，深入贯彻落实各项廉政制度。截至目前，全年共召开局党组会</w:t>
      </w:r>
      <w:r>
        <w:rPr>
          <w:rFonts w:hint="eastAsia" w:ascii="Times New Roman" w:hAnsi="Times New Roman" w:eastAsia="仿宋_GB2312" w:cs="仿宋_GB2312"/>
          <w:color w:val="auto"/>
          <w:kern w:val="2"/>
          <w:sz w:val="32"/>
          <w:szCs w:val="32"/>
          <w:lang w:val="en-US" w:eastAsia="zh-CN" w:bidi="ar-SA"/>
        </w:rPr>
        <w:t>23</w:t>
      </w:r>
      <w:r>
        <w:rPr>
          <w:rFonts w:hint="eastAsia" w:ascii="仿宋_GB2312" w:hAnsi="仿宋_GB2312" w:eastAsia="仿宋_GB2312" w:cs="仿宋_GB2312"/>
          <w:color w:val="auto"/>
          <w:kern w:val="2"/>
          <w:sz w:val="32"/>
          <w:szCs w:val="32"/>
          <w:lang w:val="en-US" w:eastAsia="zh-CN" w:bidi="ar-SA"/>
        </w:rPr>
        <w:t>次、局长办公会</w:t>
      </w:r>
      <w:r>
        <w:rPr>
          <w:rFonts w:hint="eastAsia" w:ascii="Times New Roman" w:hAnsi="Times New Roman" w:eastAsia="仿宋_GB2312" w:cs="仿宋_GB2312"/>
          <w:color w:val="auto"/>
          <w:kern w:val="2"/>
          <w:sz w:val="32"/>
          <w:szCs w:val="32"/>
          <w:lang w:val="en-US" w:eastAsia="zh-CN" w:bidi="ar-SA"/>
        </w:rPr>
        <w:t>26</w:t>
      </w:r>
      <w:r>
        <w:rPr>
          <w:rFonts w:hint="eastAsia" w:ascii="仿宋_GB2312" w:hAnsi="仿宋_GB2312" w:eastAsia="仿宋_GB2312" w:cs="仿宋_GB2312"/>
          <w:color w:val="auto"/>
          <w:kern w:val="2"/>
          <w:sz w:val="32"/>
          <w:szCs w:val="32"/>
          <w:lang w:val="en-US" w:eastAsia="zh-CN" w:bidi="ar-SA"/>
        </w:rPr>
        <w:t>次、廉政形势分析会</w:t>
      </w:r>
      <w:r>
        <w:rPr>
          <w:rFonts w:hint="eastAsia" w:ascii="Times New Roman" w:hAnsi="Times New Roman" w:eastAsia="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次。</w:t>
      </w:r>
    </w:p>
    <w:p w14:paraId="0E680D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2"/>
          <w:sz w:val="32"/>
          <w:szCs w:val="32"/>
          <w:shd w:val="clear" w:color="auto" w:fill="auto"/>
          <w:lang w:val="en-US" w:eastAsia="zh-CN" w:bidi="ar-SA"/>
        </w:rPr>
      </w:pPr>
      <w:r>
        <w:rPr>
          <w:rFonts w:hint="eastAsia" w:ascii="楷体_GB2312" w:hAnsi="楷体_GB2312" w:eastAsia="楷体_GB2312" w:cs="楷体_GB2312"/>
          <w:color w:val="auto"/>
          <w:kern w:val="2"/>
          <w:sz w:val="32"/>
          <w:szCs w:val="32"/>
          <w:shd w:val="clear" w:color="auto" w:fill="auto"/>
          <w:lang w:val="en-US" w:eastAsia="zh-CN" w:bidi="ar-SA"/>
        </w:rPr>
        <w:t>（三）强化担当，确保重点工作落实到位</w:t>
      </w:r>
    </w:p>
    <w:p w14:paraId="2FDD3E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黑体" w:cs="Times New Roman"/>
          <w:color w:val="auto"/>
          <w:kern w:val="0"/>
          <w:sz w:val="32"/>
          <w:szCs w:val="32"/>
          <w:lang w:val="en-US" w:eastAsia="zh-CN"/>
        </w:rPr>
      </w:pPr>
      <w:r>
        <w:rPr>
          <w:rFonts w:hint="eastAsia" w:ascii="仿宋_GB2312" w:hAnsi="仿宋_GB2312" w:eastAsia="仿宋_GB2312" w:cs="仿宋_GB2312"/>
          <w:color w:val="auto"/>
          <w:sz w:val="32"/>
          <w:szCs w:val="32"/>
          <w:highlight w:val="none"/>
          <w:lang w:val="en-US" w:eastAsia="zh-CN"/>
        </w:rPr>
        <w:t>局党政主要负责人对法治建设重要工作亲自部署，重大问题亲自过问，重点环节亲自协调，重要任务亲自督办。圆满完成</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”纪念反法西斯战争胜利</w:t>
      </w:r>
      <w:r>
        <w:rPr>
          <w:rFonts w:hint="eastAsia" w:ascii="Times New Roman" w:hAnsi="Times New Roman" w:eastAsia="仿宋_GB2312" w:cs="仿宋_GB2312"/>
          <w:color w:val="auto"/>
          <w:sz w:val="32"/>
          <w:szCs w:val="32"/>
          <w:lang w:val="en-US" w:eastAsia="zh-CN"/>
        </w:rPr>
        <w:t>77</w:t>
      </w:r>
      <w:r>
        <w:rPr>
          <w:rFonts w:hint="eastAsia" w:ascii="仿宋_GB2312" w:hAnsi="仿宋_GB2312" w:eastAsia="仿宋_GB2312" w:cs="仿宋_GB2312"/>
          <w:color w:val="auto"/>
          <w:sz w:val="32"/>
          <w:szCs w:val="32"/>
          <w:lang w:val="en-US" w:eastAsia="zh-CN"/>
        </w:rPr>
        <w:t>周年</w:t>
      </w:r>
      <w:r>
        <w:rPr>
          <w:rFonts w:hint="eastAsia" w:ascii="仿宋_GB2312" w:hAnsi="仿宋_GB2312" w:eastAsia="仿宋_GB2312" w:cs="仿宋_GB2312"/>
          <w:color w:val="auto"/>
          <w:sz w:val="32"/>
          <w:szCs w:val="32"/>
          <w:highlight w:val="none"/>
          <w:lang w:eastAsia="zh-CN"/>
        </w:rPr>
        <w:t>保障任务；</w:t>
      </w:r>
      <w:r>
        <w:rPr>
          <w:rFonts w:hint="eastAsia" w:ascii="仿宋_GB2312" w:hAnsi="仿宋_GB2312" w:eastAsia="仿宋_GB2312" w:cs="仿宋_GB2312"/>
          <w:color w:val="auto"/>
          <w:sz w:val="32"/>
          <w:szCs w:val="32"/>
          <w:highlight w:val="none"/>
          <w:lang w:val="en-US" w:eastAsia="zh-CN"/>
        </w:rPr>
        <w:t>实现区、街、社区三级“全国示范型退役军人服务中心（站）”全覆盖，大力提升基层服务保障水平；协助社区开展防疫值守，组织行业内开展疫苗接种；</w:t>
      </w:r>
      <w:r>
        <w:rPr>
          <w:rFonts w:hint="eastAsia" w:ascii="仿宋_GB2312" w:hAnsi="仿宋_GB2312" w:eastAsia="仿宋_GB2312" w:cs="仿宋_GB2312"/>
          <w:color w:val="auto"/>
          <w:sz w:val="32"/>
          <w:szCs w:val="32"/>
          <w:lang w:val="en-US" w:eastAsia="zh-CN"/>
        </w:rPr>
        <w:t>与红其拉甫边防连结对共建，深入实地开展调研，看望慰问边防官兵；</w:t>
      </w:r>
      <w:r>
        <w:rPr>
          <w:rFonts w:hint="eastAsia" w:ascii="仿宋_GB2312" w:hAnsi="仿宋_GB2312" w:eastAsia="仿宋_GB2312" w:cs="仿宋_GB2312"/>
          <w:color w:val="auto"/>
          <w:sz w:val="32"/>
          <w:szCs w:val="32"/>
          <w:highlight w:val="none"/>
          <w:shd w:val="clear" w:color="auto" w:fill="auto"/>
          <w:lang w:val="en-US" w:eastAsia="zh-CN"/>
        </w:rPr>
        <w:t>修缮北京汇文中学“唐谢二君烈士纪念碑”；</w:t>
      </w:r>
      <w:r>
        <w:rPr>
          <w:rFonts w:hint="eastAsia" w:ascii="仿宋_GB2312" w:hAnsi="仿宋_GB2312" w:eastAsia="仿宋_GB2312" w:cs="仿宋_GB2312"/>
          <w:color w:val="auto"/>
          <w:sz w:val="32"/>
          <w:szCs w:val="32"/>
          <w:highlight w:val="none"/>
          <w:lang w:val="en-US" w:eastAsia="zh-CN"/>
        </w:rPr>
        <w:t>开展“爱心献功臣”“</w:t>
      </w:r>
      <w:r>
        <w:rPr>
          <w:rFonts w:hint="eastAsia" w:ascii="Times New Roman" w:hAnsi="Times New Roman"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val="en-US" w:eastAsia="zh-CN"/>
        </w:rPr>
        <w:t>烈士公祭”</w:t>
      </w:r>
      <w:r>
        <w:rPr>
          <w:rFonts w:hint="eastAsia" w:ascii="仿宋_GB2312" w:hAnsi="仿宋_GB2312" w:eastAsia="仿宋_GB2312" w:cs="仿宋_GB2312"/>
          <w:color w:val="auto"/>
          <w:sz w:val="32"/>
          <w:szCs w:val="32"/>
          <w:lang w:val="en-US" w:eastAsia="zh-CN"/>
        </w:rPr>
        <w:t>“情系边海防部队官兵”拥军优属和立功受奖军人家庭送喜报</w:t>
      </w:r>
      <w:r>
        <w:rPr>
          <w:rFonts w:hint="eastAsia" w:ascii="仿宋_GB2312" w:hAnsi="仿宋_GB2312" w:eastAsia="仿宋_GB2312" w:cs="仿宋_GB2312"/>
          <w:color w:val="auto"/>
          <w:sz w:val="32"/>
          <w:szCs w:val="32"/>
          <w:highlight w:val="none"/>
          <w:lang w:val="en-US" w:eastAsia="zh-CN"/>
        </w:rPr>
        <w:t>等活动。</w:t>
      </w:r>
    </w:p>
    <w:p w14:paraId="459333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四、</w:t>
      </w:r>
      <w:r>
        <w:rPr>
          <w:rFonts w:hint="default" w:ascii="Times New Roman" w:hAnsi="Times New Roman" w:eastAsia="黑体" w:cs="Times New Roman"/>
          <w:color w:val="auto"/>
          <w:kern w:val="0"/>
          <w:sz w:val="32"/>
          <w:szCs w:val="32"/>
          <w:lang w:val="en-US" w:eastAsia="zh-CN"/>
        </w:rPr>
        <w:t>2023年推进法治政府建设的主要安排</w:t>
      </w:r>
    </w:p>
    <w:p w14:paraId="2AA27B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年，我局将继续深入落实上级有关文件精神，坚持以退役军人为中心，紧紧围绕职能科学、权责法定、执法严明、公开公正、廉洁高效、守法诚信的法治政府建设目标，加快推进法治政府建设进程，重点做好以下几项工作：</w:t>
      </w:r>
    </w:p>
    <w:p w14:paraId="09F877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2"/>
          <w:sz w:val="32"/>
          <w:szCs w:val="32"/>
          <w:shd w:val="clear" w:color="auto" w:fill="auto"/>
          <w:lang w:val="en-US" w:eastAsia="zh-CN" w:bidi="ar-SA"/>
        </w:rPr>
      </w:pPr>
      <w:r>
        <w:rPr>
          <w:rFonts w:hint="eastAsia" w:ascii="楷体_GB2312" w:hAnsi="楷体_GB2312" w:eastAsia="楷体_GB2312" w:cs="楷体_GB2312"/>
          <w:color w:val="auto"/>
          <w:kern w:val="2"/>
          <w:sz w:val="32"/>
          <w:szCs w:val="32"/>
          <w:shd w:val="clear" w:color="auto" w:fill="auto"/>
          <w:lang w:val="en-US" w:eastAsia="zh-CN" w:bidi="ar-SA"/>
        </w:rPr>
        <w:t>（一）加强培训，提升依法行政能力</w:t>
      </w:r>
    </w:p>
    <w:p w14:paraId="507652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突出政策法规学习，及时与上级部门沟通，组建专班研究工作，动态掌握政策变化，及时做好政策解释。定期邀请专家开展法治讲座，提升工作人员综合素质。</w:t>
      </w:r>
      <w:r>
        <w:rPr>
          <w:rFonts w:hint="eastAsia" w:ascii="仿宋_GB2312" w:hAnsi="仿宋" w:eastAsia="仿宋_GB2312" w:cs="仿宋"/>
          <w:color w:val="auto"/>
          <w:sz w:val="32"/>
          <w:szCs w:val="32"/>
        </w:rPr>
        <w:t>着力提高干部</w:t>
      </w:r>
      <w:r>
        <w:rPr>
          <w:rFonts w:hint="eastAsia" w:ascii="仿宋_GB2312" w:hAnsi="仿宋" w:eastAsia="仿宋_GB2312" w:cs="仿宋"/>
          <w:color w:val="auto"/>
          <w:sz w:val="32"/>
          <w:szCs w:val="32"/>
          <w:lang w:eastAsia="zh-CN"/>
        </w:rPr>
        <w:t>职工</w:t>
      </w:r>
      <w:r>
        <w:rPr>
          <w:rFonts w:hint="eastAsia" w:ascii="仿宋_GB2312" w:hAnsi="仿宋" w:eastAsia="仿宋_GB2312" w:cs="仿宋"/>
          <w:color w:val="auto"/>
          <w:sz w:val="32"/>
          <w:szCs w:val="32"/>
        </w:rPr>
        <w:t>的法治理念，形成浓厚的</w:t>
      </w:r>
      <w:r>
        <w:rPr>
          <w:rFonts w:hint="eastAsia" w:ascii="仿宋_GB2312" w:hAnsi="仿宋" w:eastAsia="仿宋_GB2312" w:cs="仿宋"/>
          <w:color w:val="auto"/>
          <w:sz w:val="32"/>
          <w:szCs w:val="32"/>
          <w:lang w:eastAsia="zh-CN"/>
        </w:rPr>
        <w:t>法治</w:t>
      </w:r>
      <w:r>
        <w:rPr>
          <w:rFonts w:hint="eastAsia" w:ascii="仿宋_GB2312" w:hAnsi="仿宋" w:eastAsia="仿宋_GB2312" w:cs="仿宋"/>
          <w:color w:val="auto"/>
          <w:sz w:val="32"/>
          <w:szCs w:val="32"/>
        </w:rPr>
        <w:t>氛围。领导干部</w:t>
      </w:r>
      <w:r>
        <w:rPr>
          <w:rFonts w:hint="eastAsia" w:ascii="仿宋_GB2312" w:hAnsi="仿宋" w:eastAsia="仿宋_GB2312" w:cs="仿宋"/>
          <w:color w:val="auto"/>
          <w:sz w:val="32"/>
          <w:szCs w:val="32"/>
          <w:lang w:eastAsia="zh-CN"/>
        </w:rPr>
        <w:t>坚持</w:t>
      </w:r>
      <w:r>
        <w:rPr>
          <w:rFonts w:hint="eastAsia" w:ascii="仿宋_GB2312" w:hAnsi="仿宋" w:eastAsia="仿宋_GB2312" w:cs="仿宋"/>
          <w:color w:val="auto"/>
          <w:sz w:val="32"/>
          <w:szCs w:val="32"/>
        </w:rPr>
        <w:t>带头学法用法，做遵纪守法模范</w:t>
      </w:r>
      <w:r>
        <w:rPr>
          <w:rFonts w:hint="eastAsia" w:ascii="仿宋_GB2312" w:hAnsi="仿宋" w:eastAsia="仿宋_GB2312" w:cs="仿宋"/>
          <w:color w:val="auto"/>
          <w:sz w:val="32"/>
          <w:szCs w:val="32"/>
          <w:lang w:eastAsia="zh-CN"/>
        </w:rPr>
        <w:t>促进</w:t>
      </w:r>
      <w:r>
        <w:rPr>
          <w:rFonts w:hint="eastAsia" w:ascii="仿宋_GB2312" w:hAnsi="仿宋" w:eastAsia="仿宋_GB2312" w:cs="仿宋"/>
          <w:color w:val="auto"/>
          <w:sz w:val="32"/>
          <w:szCs w:val="32"/>
        </w:rPr>
        <w:t>形成干部</w:t>
      </w:r>
      <w:r>
        <w:rPr>
          <w:rFonts w:hint="eastAsia" w:ascii="仿宋_GB2312" w:hAnsi="仿宋" w:eastAsia="仿宋_GB2312" w:cs="仿宋"/>
          <w:color w:val="auto"/>
          <w:sz w:val="32"/>
          <w:szCs w:val="32"/>
          <w:lang w:eastAsia="zh-CN"/>
        </w:rPr>
        <w:t>职工</w:t>
      </w:r>
      <w:r>
        <w:rPr>
          <w:rFonts w:hint="eastAsia" w:ascii="仿宋_GB2312" w:hAnsi="仿宋" w:eastAsia="仿宋_GB2312" w:cs="仿宋"/>
          <w:color w:val="auto"/>
          <w:sz w:val="32"/>
          <w:szCs w:val="32"/>
        </w:rPr>
        <w:t>学法用法良好风尚。将法律知识纳入干部职工培训内容，</w:t>
      </w:r>
      <w:r>
        <w:rPr>
          <w:rFonts w:hint="eastAsia" w:ascii="仿宋_GB2312" w:hAnsi="仿宋_GB2312" w:eastAsia="仿宋_GB2312" w:cs="仿宋_GB2312"/>
          <w:color w:val="auto"/>
          <w:sz w:val="32"/>
          <w:szCs w:val="32"/>
          <w:lang w:val="en-US" w:eastAsia="zh-CN"/>
        </w:rPr>
        <w:t>按期组织执法人员培训，</w:t>
      </w:r>
      <w:r>
        <w:rPr>
          <w:rFonts w:hint="eastAsia" w:ascii="仿宋_GB2312" w:hAnsi="仿宋" w:eastAsia="仿宋_GB2312" w:cs="仿宋"/>
          <w:color w:val="auto"/>
          <w:sz w:val="32"/>
          <w:szCs w:val="32"/>
        </w:rPr>
        <w:t>把依法</w:t>
      </w:r>
      <w:r>
        <w:rPr>
          <w:rFonts w:hint="eastAsia" w:ascii="仿宋_GB2312" w:hAnsi="仿宋" w:eastAsia="仿宋_GB2312" w:cs="仿宋"/>
          <w:color w:val="auto"/>
          <w:sz w:val="32"/>
          <w:szCs w:val="32"/>
          <w:lang w:eastAsia="zh-CN"/>
        </w:rPr>
        <w:t>行政</w:t>
      </w:r>
      <w:r>
        <w:rPr>
          <w:rFonts w:hint="eastAsia" w:ascii="仿宋_GB2312" w:hAnsi="仿宋" w:eastAsia="仿宋_GB2312" w:cs="仿宋"/>
          <w:color w:val="auto"/>
          <w:sz w:val="32"/>
          <w:szCs w:val="32"/>
        </w:rPr>
        <w:t>能力和法律素养</w:t>
      </w:r>
      <w:r>
        <w:rPr>
          <w:rFonts w:hint="eastAsia" w:ascii="仿宋_GB2312" w:hAnsi="仿宋" w:eastAsia="仿宋_GB2312" w:cs="仿宋"/>
          <w:color w:val="auto"/>
          <w:sz w:val="32"/>
          <w:szCs w:val="32"/>
          <w:lang w:eastAsia="zh-CN"/>
        </w:rPr>
        <w:t>水平纳入</w:t>
      </w:r>
      <w:r>
        <w:rPr>
          <w:rFonts w:hint="eastAsia" w:ascii="仿宋_GB2312" w:hAnsi="仿宋" w:eastAsia="仿宋_GB2312" w:cs="仿宋"/>
          <w:color w:val="auto"/>
          <w:sz w:val="32"/>
          <w:szCs w:val="32"/>
        </w:rPr>
        <w:t>干部考核内容。</w:t>
      </w:r>
    </w:p>
    <w:p w14:paraId="1AFB78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2"/>
          <w:sz w:val="32"/>
          <w:szCs w:val="32"/>
          <w:shd w:val="clear" w:color="auto" w:fill="auto"/>
          <w:lang w:val="en-US" w:eastAsia="zh-CN" w:bidi="ar-SA"/>
        </w:rPr>
      </w:pPr>
      <w:r>
        <w:rPr>
          <w:rFonts w:hint="eastAsia" w:ascii="楷体_GB2312" w:hAnsi="楷体_GB2312" w:eastAsia="楷体_GB2312" w:cs="楷体_GB2312"/>
          <w:color w:val="auto"/>
          <w:kern w:val="2"/>
          <w:sz w:val="32"/>
          <w:szCs w:val="32"/>
          <w:shd w:val="clear" w:color="auto" w:fill="auto"/>
          <w:lang w:val="en-US" w:eastAsia="zh-CN" w:bidi="ar-SA"/>
        </w:rPr>
        <w:t>（二）多措并举，强化教育宣传效果</w:t>
      </w:r>
    </w:p>
    <w:p w14:paraId="6617A4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 w:eastAsia="仿宋_GB2312" w:cs="仿宋"/>
          <w:color w:val="auto"/>
          <w:sz w:val="32"/>
          <w:szCs w:val="32"/>
        </w:rPr>
        <w:t>认真贯彻落实国家政策法规，结合</w:t>
      </w:r>
      <w:r>
        <w:rPr>
          <w:rFonts w:hint="eastAsia" w:ascii="仿宋_GB2312" w:hAnsi="仿宋" w:eastAsia="仿宋_GB2312" w:cs="仿宋"/>
          <w:color w:val="auto"/>
          <w:sz w:val="32"/>
          <w:szCs w:val="32"/>
          <w:lang w:eastAsia="zh-CN"/>
        </w:rPr>
        <w:t>退役军人事务工作</w:t>
      </w:r>
      <w:r>
        <w:rPr>
          <w:rFonts w:hint="eastAsia" w:ascii="仿宋_GB2312" w:hAnsi="仿宋" w:eastAsia="仿宋_GB2312" w:cs="仿宋"/>
          <w:color w:val="auto"/>
          <w:sz w:val="32"/>
          <w:szCs w:val="32"/>
        </w:rPr>
        <w:t>实际，扎实推进法</w:t>
      </w:r>
      <w:r>
        <w:rPr>
          <w:rFonts w:hint="eastAsia" w:ascii="仿宋_GB2312" w:hAnsi="仿宋" w:eastAsia="仿宋_GB2312" w:cs="仿宋"/>
          <w:color w:val="auto"/>
          <w:sz w:val="32"/>
          <w:szCs w:val="32"/>
          <w:lang w:eastAsia="zh-CN"/>
        </w:rPr>
        <w:t>治</w:t>
      </w:r>
      <w:r>
        <w:rPr>
          <w:rFonts w:hint="eastAsia" w:ascii="仿宋_GB2312" w:hAnsi="仿宋" w:eastAsia="仿宋_GB2312" w:cs="仿宋"/>
          <w:color w:val="auto"/>
          <w:sz w:val="32"/>
          <w:szCs w:val="32"/>
        </w:rPr>
        <w:t>教育责任制，准确把握法</w:t>
      </w:r>
      <w:r>
        <w:rPr>
          <w:rFonts w:hint="eastAsia" w:ascii="仿宋_GB2312" w:hAnsi="仿宋" w:eastAsia="仿宋_GB2312" w:cs="仿宋"/>
          <w:color w:val="auto"/>
          <w:sz w:val="32"/>
          <w:szCs w:val="32"/>
          <w:lang w:eastAsia="zh-CN"/>
        </w:rPr>
        <w:t>治</w:t>
      </w:r>
      <w:r>
        <w:rPr>
          <w:rFonts w:hint="eastAsia" w:ascii="仿宋_GB2312" w:hAnsi="仿宋" w:eastAsia="仿宋_GB2312" w:cs="仿宋"/>
          <w:color w:val="auto"/>
          <w:sz w:val="32"/>
          <w:szCs w:val="32"/>
        </w:rPr>
        <w:t>教育的实质和涵义，完善各项制度，落实各项措施，规范教育形式和内容。</w:t>
      </w:r>
      <w:r>
        <w:rPr>
          <w:rFonts w:hint="eastAsia" w:ascii="仿宋_GB2312" w:hAnsi="仿宋_GB2312" w:eastAsia="仿宋_GB2312" w:cs="仿宋_GB2312"/>
          <w:color w:val="auto"/>
          <w:sz w:val="32"/>
          <w:szCs w:val="32"/>
          <w:lang w:val="en-US" w:eastAsia="zh-CN"/>
        </w:rPr>
        <w:t>全方位、多形式开展法治宣传活动，提供科学有效的法律援助，全面增强全区退役军人法治观念，为推进依法行政、建设法治政府营造良好社会氛围。</w:t>
      </w:r>
    </w:p>
    <w:p w14:paraId="4EE16F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2"/>
          <w:sz w:val="32"/>
          <w:szCs w:val="32"/>
          <w:shd w:val="clear" w:color="auto" w:fill="auto"/>
          <w:lang w:val="en-US" w:eastAsia="zh-CN" w:bidi="ar-SA"/>
        </w:rPr>
      </w:pPr>
      <w:r>
        <w:rPr>
          <w:rFonts w:hint="eastAsia" w:ascii="楷体_GB2312" w:hAnsi="楷体_GB2312" w:eastAsia="楷体_GB2312" w:cs="楷体_GB2312"/>
          <w:color w:val="auto"/>
          <w:kern w:val="2"/>
          <w:sz w:val="32"/>
          <w:szCs w:val="32"/>
          <w:shd w:val="clear" w:color="auto" w:fill="auto"/>
          <w:lang w:val="en-US" w:eastAsia="zh-CN" w:bidi="ar-SA"/>
        </w:rPr>
        <w:t>（三）创新理念，规范行政执法行为</w:t>
      </w:r>
    </w:p>
    <w:p w14:paraId="519F9E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lang w:val="en-US" w:eastAsia="zh-CN"/>
        </w:rPr>
      </w:pPr>
      <w:r>
        <w:rPr>
          <w:rFonts w:hint="eastAsia" w:ascii="仿宋_GB2312" w:hAnsi="仿宋" w:eastAsia="仿宋_GB2312" w:cs="仿宋"/>
          <w:color w:val="auto"/>
          <w:sz w:val="32"/>
          <w:szCs w:val="32"/>
        </w:rPr>
        <w:t>以“</w:t>
      </w:r>
      <w:r>
        <w:rPr>
          <w:rFonts w:hint="eastAsia" w:ascii="仿宋_GB2312" w:hAnsi="仿宋" w:eastAsia="仿宋_GB2312" w:cs="仿宋"/>
          <w:color w:val="auto"/>
          <w:sz w:val="32"/>
          <w:szCs w:val="32"/>
          <w:lang w:eastAsia="zh-CN"/>
        </w:rPr>
        <w:t>八</w:t>
      </w:r>
      <w:r>
        <w:rPr>
          <w:rFonts w:hint="eastAsia" w:ascii="仿宋_GB2312" w:hAnsi="仿宋" w:eastAsia="仿宋_GB2312" w:cs="仿宋"/>
          <w:color w:val="auto"/>
          <w:sz w:val="32"/>
          <w:szCs w:val="32"/>
        </w:rPr>
        <w:t>五”普法</w:t>
      </w:r>
      <w:r>
        <w:rPr>
          <w:rFonts w:hint="eastAsia" w:ascii="仿宋_GB2312" w:hAnsi="仿宋" w:eastAsia="仿宋_GB2312" w:cs="仿宋"/>
          <w:color w:val="auto"/>
          <w:sz w:val="32"/>
          <w:szCs w:val="32"/>
          <w:lang w:eastAsia="zh-CN"/>
        </w:rPr>
        <w:t>为契机，加强相关工作提升，</w:t>
      </w:r>
      <w:r>
        <w:rPr>
          <w:rFonts w:hint="eastAsia" w:ascii="仿宋_GB2312" w:hAnsi="仿宋_GB2312" w:eastAsia="仿宋_GB2312" w:cs="仿宋_GB2312"/>
          <w:color w:val="auto"/>
          <w:sz w:val="32"/>
          <w:szCs w:val="32"/>
          <w:lang w:val="en-US" w:eastAsia="zh-CN"/>
        </w:rPr>
        <w:t>进一步研究新时代背景下退役军人诉求新动向、新趋势、新要求，充分发挥三级退役军人服务保障体系作用，坚持执法与服务并举，迅速适应新执法体制环境，依法开展退役军人事务工作，提高依法行政工作能力和服务满意率、好</w:t>
      </w:r>
      <w:r>
        <w:rPr>
          <w:rFonts w:hint="eastAsia" w:ascii="仿宋_GB2312" w:hAnsi="仿宋" w:eastAsia="仿宋_GB2312" w:cs="仿宋"/>
          <w:color w:val="auto"/>
          <w:sz w:val="32"/>
          <w:szCs w:val="32"/>
          <w:lang w:val="en-US" w:eastAsia="zh-CN"/>
        </w:rPr>
        <w:t>评率。</w:t>
      </w:r>
      <w:r>
        <w:rPr>
          <w:rFonts w:hint="eastAsia" w:ascii="仿宋_GB2312" w:hAnsi="仿宋" w:eastAsia="仿宋_GB2312" w:cs="仿宋"/>
          <w:color w:val="auto"/>
          <w:sz w:val="32"/>
          <w:szCs w:val="32"/>
        </w:rPr>
        <w:t>积极</w:t>
      </w:r>
      <w:r>
        <w:rPr>
          <w:rFonts w:hint="eastAsia" w:ascii="仿宋_GB2312" w:hAnsi="仿宋" w:eastAsia="仿宋_GB2312" w:cs="仿宋"/>
          <w:color w:val="auto"/>
          <w:sz w:val="32"/>
          <w:szCs w:val="32"/>
          <w:lang w:eastAsia="zh-CN"/>
        </w:rPr>
        <w:t>配合区普法协调小组，认真开展我局普法工作，</w:t>
      </w:r>
      <w:r>
        <w:rPr>
          <w:rFonts w:hint="eastAsia" w:ascii="仿宋_GB2312" w:hAnsi="仿宋" w:eastAsia="仿宋_GB2312" w:cs="仿宋"/>
          <w:color w:val="auto"/>
          <w:sz w:val="32"/>
          <w:szCs w:val="32"/>
        </w:rPr>
        <w:t>真正在学法、知法、懂法、用法上下功夫，</w:t>
      </w:r>
      <w:r>
        <w:rPr>
          <w:rFonts w:hint="eastAsia" w:ascii="仿宋_GB2312" w:hAnsi="仿宋" w:eastAsia="仿宋_GB2312" w:cs="仿宋"/>
          <w:color w:val="auto"/>
          <w:sz w:val="32"/>
          <w:szCs w:val="32"/>
          <w:lang w:eastAsia="zh-CN"/>
        </w:rPr>
        <w:t>及时总结学法用法的好典型、好经验，发现存在的问题和不足，认真督促改进，不断健全完善普法工作机制，创新宣传形式，提升法治宣传效能，为深化法治宣传教育工作营造良好氛围。</w:t>
      </w:r>
    </w:p>
    <w:p w14:paraId="49AD2F4C">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auto"/>
          <w:kern w:val="2"/>
          <w:sz w:val="32"/>
          <w:szCs w:val="32"/>
          <w:lang w:val="en-US" w:eastAsia="zh-CN" w:bidi="ar-SA"/>
        </w:rPr>
      </w:pPr>
    </w:p>
    <w:p w14:paraId="7E34F4A8">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color w:val="auto"/>
          <w:kern w:val="2"/>
          <w:sz w:val="32"/>
          <w:szCs w:val="32"/>
          <w:lang w:val="en-US" w:eastAsia="zh-CN" w:bidi="ar-SA"/>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A7C0A">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2776220</wp:posOffset>
              </wp:positionH>
              <wp:positionV relativeFrom="paragraph">
                <wp:posOffset>-154940</wp:posOffset>
              </wp:positionV>
              <wp:extent cx="278130" cy="300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8130"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27814">
                          <w:pPr>
                            <w:snapToGrid w:val="0"/>
                            <w:rPr>
                              <w:rFonts w:hint="eastAsia" w:ascii="仿宋_GB2312" w:hAnsi="仿宋_GB2312" w:eastAsia="仿宋_GB2312" w:cs="仿宋_GB2312"/>
                              <w:sz w:val="28"/>
                              <w:szCs w:val="40"/>
                              <w:lang w:eastAsia="zh-CN"/>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PAGE  \* MERGEFORMAT </w:instrText>
                          </w:r>
                          <w:r>
                            <w:rPr>
                              <w:rFonts w:hint="eastAsia" w:ascii="仿宋_GB2312" w:hAnsi="仿宋_GB2312" w:eastAsia="仿宋_GB2312" w:cs="仿宋_GB2312"/>
                              <w:sz w:val="28"/>
                              <w:szCs w:val="40"/>
                              <w:lang w:eastAsia="zh-CN"/>
                            </w:rPr>
                            <w:fldChar w:fldCharType="separate"/>
                          </w:r>
                          <w:r>
                            <w:rPr>
                              <w:rFonts w:hint="eastAsia" w:ascii="仿宋_GB2312" w:hAnsi="仿宋_GB2312" w:eastAsia="仿宋_GB2312" w:cs="仿宋_GB2312"/>
                              <w:sz w:val="28"/>
                              <w:szCs w:val="40"/>
                              <w:lang w:eastAsia="zh-CN"/>
                            </w:rPr>
                            <w:t>1</w:t>
                          </w:r>
                          <w:r>
                            <w:rPr>
                              <w:rFonts w:hint="eastAsia" w:ascii="仿宋_GB2312" w:hAnsi="仿宋_GB2312" w:eastAsia="仿宋_GB2312" w:cs="仿宋_GB2312"/>
                              <w:sz w:val="28"/>
                              <w:szCs w:val="4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8.6pt;margin-top:-12.2pt;height:23.7pt;width:21.9pt;mso-position-horizontal-relative:margin;z-index:251659264;mso-width-relative:page;mso-height-relative:page;" filled="f" stroked="f" coordsize="21600,21600" o:gfxdata="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YzR32QAAAAoBAAAPAAAAAAAAAAEAIAAAACIAAABkcnMvZG93bnJl&#10;di54bWxQSwECFAAUAAAACACHTuJAeWWT9DUCAABhBAAADgAAAAAAAAABACAAAAAoAQAAZHJzL2Uy&#10;b0RvYy54bWxQSwUGAAAAAAYABgBZAQAAzwUAAAAA&#10;">
              <v:fill on="f" focussize="0,0"/>
              <v:stroke on="f" weight="0.5pt"/>
              <v:imagedata o:title=""/>
              <o:lock v:ext="edit" aspectratio="f"/>
              <v:textbox inset="0mm,0mm,0mm,0mm">
                <w:txbxContent>
                  <w:p w14:paraId="1BB27814">
                    <w:pPr>
                      <w:snapToGrid w:val="0"/>
                      <w:rPr>
                        <w:rFonts w:hint="eastAsia" w:ascii="仿宋_GB2312" w:hAnsi="仿宋_GB2312" w:eastAsia="仿宋_GB2312" w:cs="仿宋_GB2312"/>
                        <w:sz w:val="28"/>
                        <w:szCs w:val="40"/>
                        <w:lang w:eastAsia="zh-CN"/>
                      </w:rPr>
                    </w:pPr>
                    <w:r>
                      <w:rPr>
                        <w:rFonts w:hint="eastAsia" w:ascii="仿宋_GB2312" w:hAnsi="仿宋_GB2312" w:eastAsia="仿宋_GB2312" w:cs="仿宋_GB2312"/>
                        <w:sz w:val="28"/>
                        <w:szCs w:val="40"/>
                        <w:lang w:eastAsia="zh-CN"/>
                      </w:rPr>
                      <w:fldChar w:fldCharType="begin"/>
                    </w:r>
                    <w:r>
                      <w:rPr>
                        <w:rFonts w:hint="eastAsia" w:ascii="仿宋_GB2312" w:hAnsi="仿宋_GB2312" w:eastAsia="仿宋_GB2312" w:cs="仿宋_GB2312"/>
                        <w:sz w:val="28"/>
                        <w:szCs w:val="40"/>
                        <w:lang w:eastAsia="zh-CN"/>
                      </w:rPr>
                      <w:instrText xml:space="preserve"> PAGE  \* MERGEFORMAT </w:instrText>
                    </w:r>
                    <w:r>
                      <w:rPr>
                        <w:rFonts w:hint="eastAsia" w:ascii="仿宋_GB2312" w:hAnsi="仿宋_GB2312" w:eastAsia="仿宋_GB2312" w:cs="仿宋_GB2312"/>
                        <w:sz w:val="28"/>
                        <w:szCs w:val="40"/>
                        <w:lang w:eastAsia="zh-CN"/>
                      </w:rPr>
                      <w:fldChar w:fldCharType="separate"/>
                    </w:r>
                    <w:r>
                      <w:rPr>
                        <w:rFonts w:hint="eastAsia" w:ascii="仿宋_GB2312" w:hAnsi="仿宋_GB2312" w:eastAsia="仿宋_GB2312" w:cs="仿宋_GB2312"/>
                        <w:sz w:val="28"/>
                        <w:szCs w:val="40"/>
                        <w:lang w:eastAsia="zh-CN"/>
                      </w:rPr>
                      <w:t>1</w:t>
                    </w:r>
                    <w:r>
                      <w:rPr>
                        <w:rFonts w:hint="eastAsia" w:ascii="仿宋_GB2312" w:hAnsi="仿宋_GB2312" w:eastAsia="仿宋_GB2312" w:cs="仿宋_GB2312"/>
                        <w:sz w:val="28"/>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WM2ODlkOGIxNDU4YWZhMGU0OGY1MmM0MDZiYjIifQ=="/>
  </w:docVars>
  <w:rsids>
    <w:rsidRoot w:val="5EC550A7"/>
    <w:rsid w:val="001F6D51"/>
    <w:rsid w:val="00BF6028"/>
    <w:rsid w:val="01ED0D9C"/>
    <w:rsid w:val="03FE22F7"/>
    <w:rsid w:val="066D0096"/>
    <w:rsid w:val="0AAD0A4E"/>
    <w:rsid w:val="0F8E70DE"/>
    <w:rsid w:val="10407C78"/>
    <w:rsid w:val="10433C1A"/>
    <w:rsid w:val="11B1243D"/>
    <w:rsid w:val="13133522"/>
    <w:rsid w:val="132774A3"/>
    <w:rsid w:val="13391434"/>
    <w:rsid w:val="14C1191B"/>
    <w:rsid w:val="1558727D"/>
    <w:rsid w:val="161A7FD3"/>
    <w:rsid w:val="18FC026A"/>
    <w:rsid w:val="1CDD44AC"/>
    <w:rsid w:val="1D68609D"/>
    <w:rsid w:val="1E766746"/>
    <w:rsid w:val="1F7451E4"/>
    <w:rsid w:val="1F8644E9"/>
    <w:rsid w:val="20AE10A5"/>
    <w:rsid w:val="211E29EB"/>
    <w:rsid w:val="211F72C4"/>
    <w:rsid w:val="24350CEE"/>
    <w:rsid w:val="24AB5C84"/>
    <w:rsid w:val="262C7851"/>
    <w:rsid w:val="27813F2E"/>
    <w:rsid w:val="27A110D6"/>
    <w:rsid w:val="28063470"/>
    <w:rsid w:val="28B01208"/>
    <w:rsid w:val="2C213290"/>
    <w:rsid w:val="2E4168EC"/>
    <w:rsid w:val="2E7B53F5"/>
    <w:rsid w:val="2EEE2832"/>
    <w:rsid w:val="30062BE2"/>
    <w:rsid w:val="303E3A28"/>
    <w:rsid w:val="30935D91"/>
    <w:rsid w:val="31347B5E"/>
    <w:rsid w:val="34AE6FA2"/>
    <w:rsid w:val="35760E70"/>
    <w:rsid w:val="36457CED"/>
    <w:rsid w:val="36BE79CB"/>
    <w:rsid w:val="374B798E"/>
    <w:rsid w:val="37B31845"/>
    <w:rsid w:val="384D2CF1"/>
    <w:rsid w:val="3B0613E2"/>
    <w:rsid w:val="3C9D4E2C"/>
    <w:rsid w:val="3D9E01A0"/>
    <w:rsid w:val="3F007445"/>
    <w:rsid w:val="3F5F3581"/>
    <w:rsid w:val="402A2636"/>
    <w:rsid w:val="41360E14"/>
    <w:rsid w:val="414E7CF4"/>
    <w:rsid w:val="4156198D"/>
    <w:rsid w:val="43BD1FFF"/>
    <w:rsid w:val="43F81DFC"/>
    <w:rsid w:val="45950DF1"/>
    <w:rsid w:val="45CC7CF3"/>
    <w:rsid w:val="472C6729"/>
    <w:rsid w:val="476A24A2"/>
    <w:rsid w:val="47F51E48"/>
    <w:rsid w:val="4C1D10C3"/>
    <w:rsid w:val="4F520FB5"/>
    <w:rsid w:val="514B5773"/>
    <w:rsid w:val="52A81B3C"/>
    <w:rsid w:val="5647529D"/>
    <w:rsid w:val="5A5E3BCA"/>
    <w:rsid w:val="5B661194"/>
    <w:rsid w:val="5BB331A5"/>
    <w:rsid w:val="5BD61369"/>
    <w:rsid w:val="5C5731F9"/>
    <w:rsid w:val="5CBB2F1E"/>
    <w:rsid w:val="5D36479E"/>
    <w:rsid w:val="5E120A47"/>
    <w:rsid w:val="5EC550A7"/>
    <w:rsid w:val="618927F9"/>
    <w:rsid w:val="618B29E5"/>
    <w:rsid w:val="61F4201A"/>
    <w:rsid w:val="627F5791"/>
    <w:rsid w:val="62D221BF"/>
    <w:rsid w:val="640559E0"/>
    <w:rsid w:val="64072174"/>
    <w:rsid w:val="645B7B88"/>
    <w:rsid w:val="64776588"/>
    <w:rsid w:val="66B6458F"/>
    <w:rsid w:val="66BD6264"/>
    <w:rsid w:val="677C159A"/>
    <w:rsid w:val="681C7BE7"/>
    <w:rsid w:val="6BF945B8"/>
    <w:rsid w:val="6D4F6E08"/>
    <w:rsid w:val="6DB11425"/>
    <w:rsid w:val="6E4B48DD"/>
    <w:rsid w:val="6E54647F"/>
    <w:rsid w:val="6E8C5171"/>
    <w:rsid w:val="6F557C88"/>
    <w:rsid w:val="702845AB"/>
    <w:rsid w:val="70765974"/>
    <w:rsid w:val="719D5AF8"/>
    <w:rsid w:val="71A11B37"/>
    <w:rsid w:val="71DC0718"/>
    <w:rsid w:val="72AA747C"/>
    <w:rsid w:val="78BF32E2"/>
    <w:rsid w:val="7A895AE9"/>
    <w:rsid w:val="7AFC17C8"/>
    <w:rsid w:val="7C647DE1"/>
    <w:rsid w:val="7CE3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Body Text"/>
    <w:basedOn w:val="1"/>
    <w:qFormat/>
    <w:uiPriority w:val="0"/>
    <w:pPr>
      <w:spacing w:after="120"/>
    </w:pPr>
  </w:style>
  <w:style w:type="paragraph" w:styleId="4">
    <w:name w:val="Plain Text"/>
    <w:basedOn w:val="1"/>
    <w:next w:val="1"/>
    <w:qFormat/>
    <w:uiPriority w:val="0"/>
    <w:rPr>
      <w:rFonts w:ascii="宋体" w:hAnsi="Courier New"/>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4641</Words>
  <Characters>4714</Characters>
  <Lines>0</Lines>
  <Paragraphs>0</Paragraphs>
  <TotalTime>11</TotalTime>
  <ScaleCrop>false</ScaleCrop>
  <LinksUpToDate>false</LinksUpToDate>
  <CharactersWithSpaces>4714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2022-11-10T06:16:00Z</dcterms:created>
  <dc:creator>赵蕊</dc:creator>
  <cp:lastModifiedBy>名字不重要</cp:lastModifiedBy>
  <cp:lastPrinted>2022-11-15T07:18:00Z</cp:lastPrinted>
  <dcterms:modified xsi:type="dcterms:W3CDTF">2024-12-17T06:17:13Z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5EFD560DAD774E0ABB182CE58E2510D3_12</vt:lpwstr>
  </property>
</Properties>
</file>