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东城区发展和改革委员会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lang w:eastAsia="zh-CN"/>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lang w:eastAsia="zh-CN"/>
        </w:rPr>
        <w:t>法治政府建设年度情况</w:t>
      </w:r>
      <w:r>
        <w:rPr>
          <w:rFonts w:hint="eastAsia" w:ascii="方正小标宋简体" w:hAnsi="方正小标宋简体" w:eastAsia="方正小标宋简体" w:cs="方正小标宋简体"/>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一、2022年推进法治政府建设的主要举措和成效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1"/>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（一）</w:t>
      </w:r>
      <w:r>
        <w:rPr>
          <w:rFonts w:hint="eastAsia" w:ascii="Times New Roman" w:hAnsi="Times New Roman" w:eastAsia="楷体_GB2312" w:cs="Times New Roman"/>
          <w:color w:val="auto"/>
          <w:sz w:val="32"/>
          <w:szCs w:val="32"/>
          <w:lang w:val="en-US" w:eastAsia="zh-CN"/>
        </w:rPr>
        <w:t>参与法治政府建设示范创建实地迎检情况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区发改委在今年的</w:t>
      </w:r>
      <w:r>
        <w:rPr>
          <w:rFonts w:hint="eastAsia" w:ascii="仿宋_GB2312" w:hAnsi="仿宋_GB2312" w:eastAsia="仿宋_GB2312" w:cs="仿宋_GB2312"/>
          <w:color w:val="auto"/>
          <w:sz w:val="32"/>
          <w:szCs w:val="32"/>
          <w:lang w:eastAsia="zh-CN"/>
        </w:rPr>
        <w:t>东城区法治政府建设示范创建实地迎检</w:t>
      </w:r>
      <w:r>
        <w:rPr>
          <w:rFonts w:hint="eastAsia" w:ascii="仿宋_GB2312" w:hAnsi="仿宋_GB2312" w:eastAsia="仿宋_GB2312" w:cs="仿宋_GB2312"/>
          <w:color w:val="auto"/>
          <w:sz w:val="32"/>
          <w:szCs w:val="32"/>
          <w:lang w:val="en-US" w:eastAsia="zh-CN"/>
        </w:rPr>
        <w:t>中，作为成员单位，</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积极配合区司法局创建迎检工作，根据统一部署，向全委处级干部、科级干部、执法人员、新入职干部转发学法考试资料、分配学法考试账号，并最终抽选一名处级领导、一名科级干部、一名执法人员参加全区法治政府建设法律知识考试，取得了优异的成绩。</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在重大行政决策合法性审查现场评估环节，我委按要求报送了《北京市东城区国民经济和社</w:t>
      </w:r>
      <w:r>
        <w:rPr>
          <w:rFonts w:hint="eastAsia" w:ascii="仿宋_GB2312" w:hAnsi="仿宋_GB2312" w:eastAsia="仿宋_GB2312" w:cs="仿宋_GB2312"/>
          <w:color w:val="auto"/>
          <w:sz w:val="32"/>
          <w:szCs w:val="32"/>
          <w:highlight w:val="none"/>
        </w:rPr>
        <w:t>会发展第十四个五年规划和二〇三五年远景目标纲要</w:t>
      </w:r>
      <w:r>
        <w:rPr>
          <w:rFonts w:hint="eastAsia" w:ascii="仿宋_GB2312" w:hAnsi="仿宋_GB2312" w:eastAsia="仿宋_GB2312" w:cs="仿宋_GB2312"/>
          <w:color w:val="auto"/>
          <w:sz w:val="32"/>
          <w:szCs w:val="32"/>
          <w:highlight w:val="none"/>
          <w:lang w:eastAsia="zh-CN"/>
        </w:rPr>
        <w:t>》这一</w:t>
      </w:r>
      <w:r>
        <w:rPr>
          <w:rFonts w:hint="eastAsia" w:ascii="仿宋_GB2312" w:hAnsi="仿宋_GB2312" w:eastAsia="仿宋_GB2312" w:cs="仿宋_GB2312"/>
          <w:color w:val="auto"/>
          <w:sz w:val="32"/>
          <w:szCs w:val="32"/>
        </w:rPr>
        <w:t>重大行政决策</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网络征集意见、调查问卷、现场调研、座谈会纪要、专家论证会、法律顾问反馈等</w:t>
      </w:r>
      <w:r>
        <w:rPr>
          <w:rFonts w:hint="eastAsia" w:ascii="仿宋_GB2312" w:hAnsi="仿宋_GB2312" w:eastAsia="仿宋_GB2312" w:cs="仿宋_GB2312"/>
          <w:color w:val="auto"/>
          <w:sz w:val="32"/>
          <w:szCs w:val="32"/>
          <w:lang w:eastAsia="zh-CN"/>
        </w:rPr>
        <w:t>的全部资料，并由委主管领导、相关科室科长一起参加现场评估环节，保障了专家评审会的顺利通过。</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针对此次东城区法治政府建设示范创建实地迎检工作中规范性文件审查工作中，涉及由我委代拟以区政府或区政府办名义</w:t>
      </w:r>
      <w:r>
        <w:rPr>
          <w:rFonts w:hint="eastAsia" w:ascii="仿宋_GB2312" w:hAnsi="仿宋_GB2312" w:eastAsia="仿宋_GB2312" w:cs="仿宋_GB2312"/>
          <w:color w:val="auto"/>
          <w:sz w:val="32"/>
          <w:szCs w:val="32"/>
        </w:rPr>
        <w:t>制定和公布的</w:t>
      </w:r>
      <w:r>
        <w:rPr>
          <w:rFonts w:hint="eastAsia" w:ascii="仿宋_GB2312" w:hAnsi="仿宋_GB2312" w:eastAsia="仿宋_GB2312" w:cs="仿宋_GB2312"/>
          <w:color w:val="auto"/>
          <w:sz w:val="32"/>
          <w:szCs w:val="32"/>
          <w:lang w:eastAsia="zh-CN"/>
        </w:rPr>
        <w:t>行政规范性文件，</w:t>
      </w:r>
      <w:r>
        <w:rPr>
          <w:rFonts w:hint="eastAsia" w:ascii="仿宋_GB2312" w:hAnsi="仿宋_GB2312" w:eastAsia="仿宋_GB2312" w:cs="仿宋_GB2312"/>
          <w:i w:val="0"/>
          <w:iCs w:val="0"/>
          <w:caps w:val="0"/>
          <w:color w:val="auto"/>
          <w:spacing w:val="-4"/>
          <w:sz w:val="32"/>
          <w:szCs w:val="32"/>
          <w:shd w:val="clear" w:color="auto" w:fill="FFFFFF"/>
          <w:lang w:eastAsia="zh-CN"/>
        </w:rPr>
        <w:t>我委按要求报送了</w:t>
      </w:r>
      <w:r>
        <w:rPr>
          <w:rFonts w:hint="eastAsia" w:ascii="仿宋_GB2312" w:hAnsi="仿宋_GB2312" w:eastAsia="仿宋_GB2312" w:cs="仿宋_GB2312"/>
          <w:color w:val="auto"/>
          <w:spacing w:val="-4"/>
          <w:sz w:val="32"/>
          <w:szCs w:val="32"/>
          <w:lang w:eastAsia="zh-CN"/>
        </w:rPr>
        <w:t>提交文件送审初稿、起草说明、集体讨论</w:t>
      </w:r>
      <w:r>
        <w:rPr>
          <w:rFonts w:hint="eastAsia" w:ascii="仿宋_GB2312" w:hAnsi="仿宋_GB2312" w:eastAsia="仿宋_GB2312" w:cs="仿宋_GB2312"/>
          <w:color w:val="auto"/>
          <w:spacing w:val="-4"/>
          <w:sz w:val="32"/>
          <w:szCs w:val="32"/>
        </w:rPr>
        <w:t>决策草案</w:t>
      </w:r>
      <w:r>
        <w:rPr>
          <w:rFonts w:hint="eastAsia" w:ascii="仿宋_GB2312" w:hAnsi="仿宋_GB2312" w:eastAsia="仿宋_GB2312" w:cs="仿宋_GB2312"/>
          <w:color w:val="auto"/>
          <w:sz w:val="32"/>
          <w:szCs w:val="32"/>
          <w:lang w:val="en-US" w:eastAsia="zh-CN"/>
        </w:rPr>
        <w:t>、法律法规制定依据、</w:t>
      </w:r>
      <w:r>
        <w:rPr>
          <w:rFonts w:hint="eastAsia" w:ascii="仿宋_GB2312" w:hAnsi="仿宋_GB2312" w:eastAsia="仿宋_GB2312" w:cs="仿宋_GB2312"/>
          <w:color w:val="auto"/>
          <w:spacing w:val="-4"/>
          <w:sz w:val="32"/>
          <w:szCs w:val="32"/>
        </w:rPr>
        <w:t>公众参与</w:t>
      </w:r>
      <w:r>
        <w:rPr>
          <w:rFonts w:hint="eastAsia" w:ascii="仿宋_GB2312" w:hAnsi="仿宋_GB2312" w:eastAsia="仿宋_GB2312" w:cs="仿宋_GB2312"/>
          <w:color w:val="auto"/>
          <w:spacing w:val="-4"/>
          <w:sz w:val="32"/>
          <w:szCs w:val="32"/>
          <w:lang w:eastAsia="zh-CN"/>
        </w:rPr>
        <w:t>证明</w:t>
      </w:r>
      <w:r>
        <w:rPr>
          <w:rFonts w:hint="eastAsia" w:ascii="仿宋_GB2312" w:hAnsi="仿宋_GB2312" w:eastAsia="仿宋_GB2312" w:cs="仿宋_GB2312"/>
          <w:color w:val="auto"/>
          <w:spacing w:val="-4"/>
          <w:sz w:val="32"/>
          <w:szCs w:val="32"/>
        </w:rPr>
        <w:t>、专家论证</w:t>
      </w:r>
      <w:r>
        <w:rPr>
          <w:rFonts w:hint="eastAsia" w:ascii="仿宋_GB2312" w:hAnsi="仿宋_GB2312" w:eastAsia="仿宋_GB2312" w:cs="仿宋_GB2312"/>
          <w:color w:val="auto"/>
          <w:spacing w:val="-4"/>
          <w:sz w:val="32"/>
          <w:szCs w:val="32"/>
          <w:lang w:eastAsia="zh-CN"/>
        </w:rPr>
        <w:t>意见</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eastAsia="zh-CN"/>
        </w:rPr>
        <w:t>征求意见及意见采纳情况说明、法律顾问出具的</w:t>
      </w:r>
      <w:r>
        <w:rPr>
          <w:rFonts w:hint="eastAsia" w:ascii="仿宋_GB2312" w:hAnsi="仿宋_GB2312" w:eastAsia="仿宋_GB2312" w:cs="仿宋_GB2312"/>
          <w:color w:val="auto"/>
          <w:sz w:val="32"/>
          <w:szCs w:val="32"/>
          <w:lang w:val="en-US" w:eastAsia="zh-CN"/>
        </w:rPr>
        <w:t>法律意见书、</w:t>
      </w:r>
      <w:r>
        <w:rPr>
          <w:rFonts w:hint="eastAsia" w:ascii="仿宋_GB2312" w:hAnsi="仿宋_GB2312" w:eastAsia="仿宋_GB2312" w:cs="仿宋_GB2312"/>
          <w:color w:val="auto"/>
          <w:spacing w:val="-4"/>
          <w:sz w:val="32"/>
          <w:szCs w:val="32"/>
        </w:rPr>
        <w:t>风险评估</w:t>
      </w:r>
      <w:r>
        <w:rPr>
          <w:rFonts w:hint="eastAsia" w:ascii="仿宋_GB2312" w:hAnsi="仿宋_GB2312" w:eastAsia="仿宋_GB2312" w:cs="仿宋_GB2312"/>
          <w:color w:val="auto"/>
          <w:spacing w:val="-4"/>
          <w:sz w:val="32"/>
          <w:szCs w:val="32"/>
          <w:lang w:eastAsia="zh-CN"/>
        </w:rPr>
        <w:t>结论、政策解读、公平竞争审查表、</w:t>
      </w:r>
      <w:r>
        <w:rPr>
          <w:rFonts w:hint="eastAsia" w:ascii="仿宋_GB2312" w:hAnsi="仿宋_GB2312" w:eastAsia="仿宋_GB2312" w:cs="仿宋_GB2312"/>
          <w:color w:val="auto"/>
          <w:sz w:val="32"/>
          <w:szCs w:val="32"/>
          <w:lang w:val="en-US" w:eastAsia="zh-CN"/>
        </w:rPr>
        <w:t>合法性审查表等材料，并指派相关科室科长参与现场评审环节，圆满通过了专家审查。</w:t>
      </w:r>
      <w:r>
        <w:rPr>
          <w:rFonts w:hint="eastAsia" w:ascii="Times New Roman" w:hAnsi="Times New Roman" w:eastAsia="仿宋_GB2312" w:cs="Times New Roman"/>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从</w:t>
      </w:r>
      <w:r>
        <w:rPr>
          <w:rFonts w:hint="default" w:ascii="仿宋_GB2312" w:hAnsi="仿宋_GB2312" w:eastAsia="仿宋_GB2312" w:cs="仿宋_GB2312"/>
          <w:color w:val="auto"/>
          <w:sz w:val="32"/>
          <w:szCs w:val="32"/>
          <w:lang w:val="en-US" w:eastAsia="zh-CN"/>
        </w:rPr>
        <w:t>学习宣传习近平法治思想、重大行政决策和行政规范性文件制定程序等</w:t>
      </w:r>
      <w:r>
        <w:rPr>
          <w:rFonts w:hint="eastAsia" w:ascii="仿宋_GB2312" w:hAnsi="仿宋_GB2312" w:eastAsia="仿宋_GB2312" w:cs="仿宋_GB2312"/>
          <w:color w:val="auto"/>
          <w:sz w:val="32"/>
          <w:szCs w:val="32"/>
          <w:lang w:val="en-US" w:eastAsia="zh-CN"/>
        </w:rPr>
        <w:t>九个方面编制</w:t>
      </w:r>
      <w:r>
        <w:rPr>
          <w:rFonts w:hint="eastAsia" w:ascii="仿宋_GB2312" w:hAnsi="仿宋_GB2312" w:eastAsia="仿宋_GB2312" w:cs="仿宋_GB2312"/>
          <w:color w:val="auto"/>
          <w:sz w:val="32"/>
          <w:szCs w:val="32"/>
          <w:lang w:eastAsia="zh-CN"/>
        </w:rPr>
        <w:t>东城区法治政府建设示范创建实地迎检单位领导谈话提纲</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（二）本部门开展双随机执法检查情况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color w:val="auto"/>
          <w:sz w:val="32"/>
          <w:szCs w:val="32"/>
          <w:lang w:eastAsia="zh-CN"/>
        </w:rPr>
        <w:t>区发改委</w:t>
      </w:r>
      <w:r>
        <w:rPr>
          <w:rFonts w:hint="eastAsia" w:ascii="仿宋_GB2312" w:hAnsi="仿宋_GB2312" w:eastAsia="仿宋_GB2312" w:cs="仿宋_GB2312"/>
          <w:color w:val="auto"/>
          <w:sz w:val="32"/>
          <w:szCs w:val="32"/>
        </w:rPr>
        <w:t>按照“谁审批谁监管，谁主管谁监管”的原则，</w:t>
      </w:r>
      <w:r>
        <w:rPr>
          <w:rFonts w:hint="eastAsia" w:ascii="仿宋_GB2312" w:hAnsi="仿宋_GB2312" w:eastAsia="仿宋_GB2312" w:cs="仿宋_GB2312"/>
          <w:color w:val="auto"/>
          <w:sz w:val="32"/>
          <w:szCs w:val="32"/>
          <w:lang w:eastAsia="zh-CN"/>
        </w:rPr>
        <w:t>开展行政执法检查工作，在政府投资和社会投资领域所审批、核准、备案的各类项目，作为我委行政执法检查的对象，由北京市发展改革委员会所属的北京市发展改革系统互联网</w:t>
      </w:r>
      <w:r>
        <w:rPr>
          <w:rFonts w:hint="eastAsia" w:ascii="仿宋_GB2312" w:hAnsi="仿宋_GB2312" w:eastAsia="仿宋_GB2312" w:cs="仿宋_GB2312"/>
          <w:color w:val="auto"/>
          <w:sz w:val="32"/>
          <w:szCs w:val="32"/>
          <w:lang w:val="en-US" w:eastAsia="zh-CN"/>
        </w:rPr>
        <w:t>+监管平台作为执法数据录入平台开展具体的项目类行政执法检查工作。</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年合计开展项目类执法检查</w:t>
      </w:r>
      <w:r>
        <w:rPr>
          <w:rFonts w:hint="default" w:ascii="Times New Roman" w:hAnsi="Times New Roman" w:eastAsia="仿宋_GB2312" w:cs="Times New Roman"/>
          <w:b w:val="0"/>
          <w:bCs w:val="0"/>
          <w:color w:val="auto"/>
          <w:sz w:val="32"/>
          <w:szCs w:val="32"/>
          <w:highlight w:val="none"/>
          <w:lang w:val="en-US" w:eastAsia="zh-CN"/>
        </w:rPr>
        <w:t>519</w:t>
      </w:r>
      <w:r>
        <w:rPr>
          <w:rFonts w:hint="eastAsia" w:ascii="仿宋_GB2312" w:hAnsi="仿宋_GB2312" w:eastAsia="仿宋_GB2312" w:cs="仿宋_GB2312"/>
          <w:b w:val="0"/>
          <w:bCs w:val="0"/>
          <w:color w:val="auto"/>
          <w:sz w:val="32"/>
          <w:szCs w:val="32"/>
          <w:highlight w:val="none"/>
          <w:lang w:val="en-US" w:eastAsia="zh-CN"/>
        </w:rPr>
        <w:t>个项目，共检查单位</w:t>
      </w:r>
      <w:r>
        <w:rPr>
          <w:rFonts w:hint="default" w:ascii="Times New Roman" w:hAnsi="Times New Roman" w:eastAsia="仿宋_GB2312" w:cs="Times New Roman"/>
          <w:b w:val="0"/>
          <w:bCs w:val="0"/>
          <w:color w:val="auto"/>
          <w:sz w:val="32"/>
          <w:szCs w:val="32"/>
          <w:highlight w:val="none"/>
          <w:lang w:val="en-US" w:eastAsia="zh-CN"/>
        </w:rPr>
        <w:t>201</w:t>
      </w:r>
      <w:r>
        <w:rPr>
          <w:rFonts w:hint="eastAsia" w:ascii="仿宋_GB2312" w:hAnsi="仿宋_GB2312" w:eastAsia="仿宋_GB2312" w:cs="仿宋_GB2312"/>
          <w:b w:val="0"/>
          <w:bCs w:val="0"/>
          <w:color w:val="auto"/>
          <w:sz w:val="32"/>
          <w:szCs w:val="32"/>
          <w:highlight w:val="none"/>
          <w:lang w:val="en-US" w:eastAsia="zh-CN"/>
        </w:rPr>
        <w:t>户次，（共涉及单位</w:t>
      </w:r>
      <w:r>
        <w:rPr>
          <w:rFonts w:hint="default" w:ascii="Times New Roman" w:hAnsi="Times New Roman" w:eastAsia="仿宋_GB2312" w:cs="Times New Roman"/>
          <w:b w:val="0"/>
          <w:bCs w:val="0"/>
          <w:color w:val="auto"/>
          <w:sz w:val="32"/>
          <w:szCs w:val="32"/>
          <w:highlight w:val="none"/>
          <w:lang w:val="en-US" w:eastAsia="zh-CN"/>
        </w:rPr>
        <w:t>64</w:t>
      </w:r>
      <w:r>
        <w:rPr>
          <w:rFonts w:hint="eastAsia" w:ascii="仿宋_GB2312" w:hAnsi="仿宋_GB2312" w:eastAsia="仿宋_GB2312" w:cs="仿宋_GB2312"/>
          <w:b w:val="0"/>
          <w:bCs w:val="0"/>
          <w:color w:val="auto"/>
          <w:sz w:val="32"/>
          <w:szCs w:val="32"/>
          <w:highlight w:val="none"/>
          <w:lang w:val="en-US" w:eastAsia="zh-CN"/>
        </w:rPr>
        <w:t>家，其中项目类执法涉及</w:t>
      </w:r>
      <w:r>
        <w:rPr>
          <w:rFonts w:hint="default" w:ascii="Times New Roman" w:hAnsi="Times New Roman" w:eastAsia="仿宋_GB2312" w:cs="Times New Roman"/>
          <w:b w:val="0"/>
          <w:bCs w:val="0"/>
          <w:color w:val="auto"/>
          <w:sz w:val="32"/>
          <w:szCs w:val="32"/>
          <w:highlight w:val="none"/>
          <w:lang w:val="en-US" w:eastAsia="zh-CN"/>
        </w:rPr>
        <w:t>45</w:t>
      </w:r>
      <w:r>
        <w:rPr>
          <w:rFonts w:hint="eastAsia" w:ascii="仿宋_GB2312" w:hAnsi="仿宋_GB2312" w:eastAsia="仿宋_GB2312" w:cs="仿宋_GB2312"/>
          <w:b w:val="0"/>
          <w:bCs w:val="0"/>
          <w:color w:val="auto"/>
          <w:sz w:val="32"/>
          <w:szCs w:val="32"/>
          <w:highlight w:val="none"/>
          <w:lang w:val="en-US" w:eastAsia="zh-CN"/>
        </w:rPr>
        <w:t>家单位，价格监测执法涉及</w:t>
      </w:r>
      <w:r>
        <w:rPr>
          <w:rFonts w:hint="default" w:ascii="Times New Roman" w:hAnsi="Times New Roman" w:eastAsia="仿宋_GB2312"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家单位，节能监察执法涉及</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家单位。）</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（三）开展跨部门联合双随机执法检查情况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区发改委开展部门联合双随机执法检查工作依托北京市“双随机、一公开”监管工作平台开展，根据区市场监管局下发的《北京市东城区</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年度部门联合双随机抽查工作计划》，</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lang w:val="en-US" w:eastAsia="zh-CN"/>
        </w:rPr>
        <w:t>区发改委主动发起</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批次节能法律法规执行情况检查，与区统计局配合对我区符合年综合能源消费总量</w:t>
      </w:r>
      <w:r>
        <w:rPr>
          <w:rFonts w:hint="default" w:ascii="Times New Roman" w:hAnsi="Times New Roman" w:eastAsia="仿宋_GB2312" w:cs="Times New Roman"/>
          <w:color w:val="auto"/>
          <w:sz w:val="32"/>
          <w:szCs w:val="32"/>
          <w:highlight w:val="none"/>
          <w:lang w:val="en-US" w:eastAsia="zh-CN"/>
        </w:rPr>
        <w:t>2000</w:t>
      </w:r>
      <w:r>
        <w:rPr>
          <w:rFonts w:hint="eastAsia" w:ascii="仿宋_GB2312" w:hAnsi="仿宋_GB2312" w:eastAsia="仿宋_GB2312" w:cs="仿宋_GB2312"/>
          <w:color w:val="auto"/>
          <w:sz w:val="32"/>
          <w:szCs w:val="32"/>
          <w:highlight w:val="none"/>
          <w:lang w:val="en-US" w:eastAsia="zh-CN"/>
        </w:rPr>
        <w:t>吨以上不满</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万吨标煤的用能单位（市级重点用能单位除外）的节能情况检查，共涉及被检查主体</w:t>
      </w:r>
      <w:r>
        <w:rPr>
          <w:rFonts w:hint="default" w:ascii="Times New Roman" w:hAnsi="Times New Roman" w:eastAsia="仿宋_GB2312" w:cs="Times New Roman"/>
          <w:color w:val="auto"/>
          <w:sz w:val="32"/>
          <w:szCs w:val="32"/>
          <w:highlight w:val="none"/>
          <w:lang w:val="en-US" w:eastAsia="zh-CN"/>
        </w:rPr>
        <w:t>47</w:t>
      </w:r>
      <w:r>
        <w:rPr>
          <w:rFonts w:hint="eastAsia" w:ascii="仿宋_GB2312" w:hAnsi="仿宋_GB2312" w:eastAsia="仿宋_GB2312" w:cs="仿宋_GB2312"/>
          <w:color w:val="auto"/>
          <w:sz w:val="32"/>
          <w:szCs w:val="32"/>
          <w:highlight w:val="none"/>
          <w:lang w:val="en-US" w:eastAsia="zh-CN"/>
        </w:rPr>
        <w:t>家，检查结果为合格。</w:t>
      </w:r>
      <w:r>
        <w:rPr>
          <w:rFonts w:hint="eastAsia" w:ascii="仿宋_GB2312" w:hAnsi="仿宋_GB2312" w:eastAsia="仿宋_GB2312" w:cs="仿宋_GB2312"/>
          <w:color w:val="auto"/>
          <w:sz w:val="32"/>
          <w:szCs w:val="32"/>
          <w:highlight w:val="none"/>
        </w:rPr>
        <w:t>涉及</w:t>
      </w:r>
      <w:r>
        <w:rPr>
          <w:rFonts w:hint="eastAsia" w:ascii="仿宋_GB2312" w:hAnsi="仿宋_GB2312" w:eastAsia="仿宋_GB2312" w:cs="仿宋_GB2312"/>
          <w:color w:val="auto"/>
          <w:sz w:val="32"/>
          <w:szCs w:val="32"/>
          <w:highlight w:val="none"/>
          <w:lang w:eastAsia="zh-CN"/>
        </w:rPr>
        <w:t>我委</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项抽查事项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对节能法律法规和节能标准执行情况的检查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根据区市场监管局的《高风险主体库》名单，对</w:t>
      </w:r>
      <w:r>
        <w:rPr>
          <w:rFonts w:hint="default" w:ascii="仿宋_GB2312" w:hAnsi="仿宋_GB2312" w:eastAsia="仿宋_GB2312" w:cs="仿宋_GB2312"/>
          <w:color w:val="auto"/>
          <w:sz w:val="32"/>
          <w:szCs w:val="32"/>
          <w:lang w:val="en-US" w:eastAsia="zh-CN"/>
        </w:rPr>
        <w:t>高风险主体户</w:t>
      </w:r>
      <w:r>
        <w:rPr>
          <w:rFonts w:hint="default" w:ascii="Times New Roman" w:hAnsi="Times New Roman" w:eastAsia="仿宋_GB2312" w:cs="Times New Roman"/>
          <w:color w:val="auto"/>
          <w:sz w:val="32"/>
          <w:szCs w:val="32"/>
          <w:lang w:val="en-US" w:eastAsia="zh-CN"/>
        </w:rPr>
        <w:t>1</w:t>
      </w:r>
      <w:r>
        <w:rPr>
          <w:rFonts w:hint="default" w:ascii="仿宋_GB2312" w:hAnsi="仿宋_GB2312" w:eastAsia="仿宋_GB2312" w:cs="仿宋_GB2312"/>
          <w:color w:val="auto"/>
          <w:sz w:val="32"/>
          <w:szCs w:val="32"/>
          <w:lang w:val="en-US" w:eastAsia="zh-CN"/>
        </w:rPr>
        <w:t>户（北京佳源投资经营有限责任公司）</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年申报的“东城区天坛地区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栋直管公房简易楼解危排险腾退和环境改善项目”和“东城区东直门外北二里庄申请式退租及街区更新试点项目”两个项目，从</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否依法在线报送项目开工建设信息</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是否依法在线报送项目建设进度信息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是否依法在线报送项目竣工信息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三个方面进行执法检查，共开展</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val="en-US" w:eastAsia="zh-CN"/>
        </w:rPr>
        <w:t>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在部门联合“双随机、一公开”监管工作中，我委</w:t>
      </w:r>
      <w:r>
        <w:rPr>
          <w:rFonts w:hint="eastAsia" w:ascii="仿宋_GB2312" w:hAnsi="仿宋_GB2312" w:eastAsia="仿宋_GB2312" w:cs="仿宋_GB2312"/>
          <w:color w:val="auto"/>
          <w:sz w:val="32"/>
          <w:szCs w:val="32"/>
          <w:highlight w:val="none"/>
        </w:rPr>
        <w:t>强化与</w:t>
      </w:r>
      <w:r>
        <w:rPr>
          <w:rFonts w:hint="eastAsia" w:ascii="仿宋_GB2312" w:hAnsi="仿宋_GB2312" w:eastAsia="仿宋_GB2312" w:cs="仿宋_GB2312"/>
          <w:color w:val="auto"/>
          <w:sz w:val="32"/>
          <w:szCs w:val="32"/>
          <w:highlight w:val="none"/>
          <w:lang w:eastAsia="zh-CN"/>
        </w:rPr>
        <w:t>发起</w:t>
      </w:r>
      <w:r>
        <w:rPr>
          <w:rFonts w:hint="eastAsia" w:ascii="仿宋_GB2312" w:hAnsi="仿宋_GB2312" w:eastAsia="仿宋_GB2312" w:cs="仿宋_GB2312"/>
          <w:color w:val="auto"/>
          <w:sz w:val="32"/>
          <w:szCs w:val="32"/>
          <w:highlight w:val="none"/>
        </w:rPr>
        <w:t>部门的统筹协调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积极配合开展工作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配合参与区住建委发起的</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批次</w:t>
      </w:r>
      <w:r>
        <w:rPr>
          <w:rFonts w:hint="eastAsia" w:ascii="仿宋_GB2312" w:hAnsi="仿宋_GB2312" w:eastAsia="仿宋_GB2312" w:cs="仿宋_GB2312"/>
          <w:color w:val="auto"/>
          <w:sz w:val="32"/>
          <w:szCs w:val="32"/>
          <w:highlight w:val="none"/>
        </w:rPr>
        <w:t>对建筑市场的监督执法检查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共涉及被检查主体</w:t>
      </w:r>
      <w:r>
        <w:rPr>
          <w:rFonts w:hint="default" w:ascii="Times New Roman" w:hAnsi="Times New Roman" w:eastAsia="仿宋_GB2312" w:cs="Times New Roman"/>
          <w:color w:val="auto"/>
          <w:sz w:val="32"/>
          <w:szCs w:val="32"/>
          <w:highlight w:val="none"/>
          <w:lang w:val="en-US" w:eastAsia="zh-CN"/>
        </w:rPr>
        <w:t>28</w:t>
      </w:r>
      <w:r>
        <w:rPr>
          <w:rFonts w:hint="eastAsia" w:ascii="仿宋_GB2312" w:hAnsi="仿宋_GB2312" w:eastAsia="仿宋_GB2312" w:cs="仿宋_GB2312"/>
          <w:color w:val="auto"/>
          <w:sz w:val="32"/>
          <w:szCs w:val="32"/>
          <w:highlight w:val="none"/>
          <w:lang w:val="en-US" w:eastAsia="zh-CN"/>
        </w:rPr>
        <w:t>家，检查结果为合格。</w:t>
      </w:r>
      <w:r>
        <w:rPr>
          <w:rFonts w:hint="eastAsia" w:ascii="仿宋_GB2312" w:hAnsi="仿宋_GB2312" w:eastAsia="仿宋_GB2312" w:cs="仿宋_GB2312"/>
          <w:color w:val="auto"/>
          <w:sz w:val="32"/>
          <w:szCs w:val="32"/>
          <w:highlight w:val="none"/>
        </w:rPr>
        <w:t>涉及</w:t>
      </w:r>
      <w:r>
        <w:rPr>
          <w:rFonts w:hint="eastAsia" w:ascii="仿宋_GB2312" w:hAnsi="仿宋_GB2312" w:eastAsia="仿宋_GB2312" w:cs="仿宋_GB2312"/>
          <w:color w:val="auto"/>
          <w:sz w:val="32"/>
          <w:szCs w:val="32"/>
          <w:highlight w:val="none"/>
          <w:lang w:eastAsia="zh-CN"/>
        </w:rPr>
        <w:t>我委</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项抽查事项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对政府固定资产投资项目的检查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上述</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批次跨部门执法检查，我委共涉及被检查主体</w:t>
      </w:r>
      <w:r>
        <w:rPr>
          <w:rFonts w:hint="default" w:ascii="Times New Roman" w:hAnsi="Times New Roman" w:eastAsia="仿宋_GB2312" w:cs="Times New Roman"/>
          <w:color w:val="auto"/>
          <w:sz w:val="32"/>
          <w:szCs w:val="32"/>
          <w:highlight w:val="none"/>
          <w:lang w:val="en-US" w:eastAsia="zh-CN"/>
        </w:rPr>
        <w:t>75</w:t>
      </w:r>
      <w:r>
        <w:rPr>
          <w:rFonts w:hint="eastAsia" w:ascii="仿宋_GB2312" w:hAnsi="仿宋_GB2312" w:eastAsia="仿宋_GB2312" w:cs="仿宋_GB2312"/>
          <w:color w:val="auto"/>
          <w:sz w:val="32"/>
          <w:szCs w:val="32"/>
          <w:highlight w:val="none"/>
          <w:lang w:val="en-US" w:eastAsia="zh-CN"/>
        </w:rPr>
        <w:t>家，参与抽查工作执法人员</w:t>
      </w:r>
      <w:r>
        <w:rPr>
          <w:rFonts w:hint="default" w:ascii="Times New Roman" w:hAnsi="Times New Roman" w:eastAsia="仿宋_GB2312" w:cs="Times New Roman"/>
          <w:color w:val="auto"/>
          <w:sz w:val="32"/>
          <w:szCs w:val="32"/>
          <w:highlight w:val="none"/>
          <w:lang w:val="en-US" w:eastAsia="zh-CN"/>
        </w:rPr>
        <w:t>162</w:t>
      </w:r>
      <w:r>
        <w:rPr>
          <w:rFonts w:hint="eastAsia" w:ascii="仿宋_GB2312" w:hAnsi="仿宋_GB2312" w:eastAsia="仿宋_GB2312" w:cs="仿宋_GB2312"/>
          <w:color w:val="auto"/>
          <w:sz w:val="32"/>
          <w:szCs w:val="32"/>
          <w:highlight w:val="none"/>
          <w:lang w:val="en-US" w:eastAsia="zh-CN"/>
        </w:rPr>
        <w:t>人次。</w:t>
      </w:r>
      <w:r>
        <w:rPr>
          <w:rFonts w:hint="eastAsia" w:ascii="仿宋_GB2312" w:hAnsi="仿宋_GB2312" w:eastAsia="仿宋_GB2312" w:cs="仿宋_GB2312"/>
          <w:color w:val="auto"/>
          <w:sz w:val="32"/>
          <w:szCs w:val="32"/>
          <w:highlight w:val="none"/>
          <w:lang w:eastAsia="zh-CN"/>
        </w:rPr>
        <w:t>在检查中未发现</w:t>
      </w:r>
      <w:r>
        <w:rPr>
          <w:rFonts w:hint="eastAsia" w:ascii="仿宋_GB2312" w:hAnsi="仿宋_GB2312" w:eastAsia="仿宋_GB2312" w:cs="仿宋_GB2312"/>
          <w:color w:val="auto"/>
          <w:sz w:val="32"/>
          <w:szCs w:val="32"/>
          <w:highlight w:val="none"/>
          <w:lang w:val="en-US" w:eastAsia="zh-CN"/>
        </w:rPr>
        <w:t>违法失信行为，未实施实施部门联合惩戒</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color w:val="auto"/>
          <w:sz w:val="32"/>
          <w:szCs w:val="32"/>
          <w:lang w:val="en-US" w:eastAsia="zh-CN"/>
        </w:rPr>
        <w:t>（四）开展规范文件审查工作情况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区发改委统一建立审核台账，对已审核的行政规范性文件实行目录化、动态化管理。</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年以来，先后组织开展清理现行有效的区政府主动公开政策文件，其中保留区政府、区政府办名义文件</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件，本委名义文件</w:t>
      </w: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lang w:val="en-US" w:eastAsia="zh-CN"/>
        </w:rPr>
        <w:t>件；清理出与《外商投资法》不符的文件</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件；清理与计划生育政策不符的文件，其中，</w:t>
      </w:r>
      <w:r>
        <w:rPr>
          <w:rFonts w:hint="eastAsia" w:ascii="仿宋_GB2312" w:hAnsi="仿宋_GB2312" w:eastAsia="仿宋_GB2312" w:cs="仿宋_GB2312"/>
          <w:color w:val="auto"/>
          <w:sz w:val="32"/>
          <w:szCs w:val="32"/>
          <w:lang w:eastAsia="zh-CN"/>
        </w:rPr>
        <w:t>保留区政府、区政府办名义文件</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件，本委名义文件</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件；清理与《优化营商环境条例》《北京市优化营商环境条例》不符的文件，清理保留涉及</w:t>
      </w:r>
      <w:r>
        <w:rPr>
          <w:rFonts w:hint="eastAsia" w:ascii="仿宋_GB2312" w:hAnsi="仿宋_GB2312" w:eastAsia="仿宋_GB2312" w:cs="仿宋_GB2312"/>
          <w:color w:val="auto"/>
          <w:sz w:val="32"/>
          <w:szCs w:val="32"/>
        </w:rPr>
        <w:t>营商环境文件</w:t>
      </w:r>
      <w:r>
        <w:rPr>
          <w:rFonts w:hint="default" w:ascii="Times New Roman" w:hAnsi="Times New Roman" w:eastAsia="仿宋_GB2312" w:cs="Times New Roman"/>
          <w:color w:val="auto"/>
          <w:sz w:val="32"/>
          <w:szCs w:val="32"/>
          <w:lang w:val="en-US" w:eastAsia="zh-CN"/>
        </w:rPr>
        <w:t>18</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废止</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件。经过上述几轮文件清理工作，全年共清理本委名义制发文件</w:t>
      </w:r>
      <w:r>
        <w:rPr>
          <w:rFonts w:hint="default" w:ascii="Times New Roman" w:hAnsi="Times New Roman" w:eastAsia="仿宋_GB2312" w:cs="Times New Roman"/>
          <w:color w:val="auto"/>
          <w:sz w:val="32"/>
          <w:szCs w:val="32"/>
          <w:lang w:val="en-US" w:eastAsia="zh-CN"/>
        </w:rPr>
        <w:t>80</w:t>
      </w:r>
      <w:r>
        <w:rPr>
          <w:rFonts w:hint="eastAsia" w:ascii="仿宋_GB2312" w:hAnsi="仿宋_GB2312" w:eastAsia="仿宋_GB2312" w:cs="仿宋_GB2312"/>
          <w:color w:val="auto"/>
          <w:sz w:val="32"/>
          <w:szCs w:val="32"/>
          <w:lang w:val="en-US" w:eastAsia="zh-CN"/>
        </w:rPr>
        <w:t>件，其中东发改发</w:t>
      </w:r>
      <w:r>
        <w:rPr>
          <w:rFonts w:hint="default" w:ascii="Times New Roman" w:hAnsi="Times New Roman" w:eastAsia="仿宋_GB2312" w:cs="Times New Roman"/>
          <w:color w:val="auto"/>
          <w:sz w:val="32"/>
          <w:szCs w:val="32"/>
          <w:lang w:val="en-US" w:eastAsia="zh-CN"/>
        </w:rPr>
        <w:t>44</w:t>
      </w:r>
      <w:r>
        <w:rPr>
          <w:rFonts w:hint="eastAsia" w:ascii="仿宋_GB2312" w:hAnsi="仿宋_GB2312" w:eastAsia="仿宋_GB2312" w:cs="仿宋_GB2312"/>
          <w:color w:val="auto"/>
          <w:sz w:val="32"/>
          <w:szCs w:val="32"/>
          <w:lang w:val="en-US" w:eastAsia="zh-CN"/>
        </w:rPr>
        <w:t>件、东发改文</w:t>
      </w:r>
      <w:r>
        <w:rPr>
          <w:rFonts w:hint="default"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lang w:val="en-US" w:eastAsia="zh-CN"/>
        </w:rPr>
        <w:t>件，共清理保留行政规范性文件</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（五）行政复议行政诉讼开展情况</w:t>
      </w:r>
    </w:p>
    <w:p>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6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年，区发改委涉及行政复议案件</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件，为张丹妮不服我委《</w:t>
      </w:r>
      <w:r>
        <w:rPr>
          <w:rFonts w:hint="eastAsia" w:ascii="仿宋_GB2312" w:hAnsi="仿宋_GB2312" w:eastAsia="仿宋_GB2312" w:cs="仿宋_GB2312"/>
          <w:color w:val="auto"/>
          <w:sz w:val="32"/>
          <w:szCs w:val="32"/>
          <w:highlight w:val="none"/>
          <w:lang w:eastAsia="zh-CN"/>
        </w:rPr>
        <w:t>政府信息不存在告知书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eastAsia="zh-CN"/>
        </w:rPr>
        <w:t>（东发改</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2021</w:t>
      </w:r>
      <w:r>
        <w:rPr>
          <w:rFonts w:hint="eastAsia" w:ascii="仿宋_GB2312" w:hAnsi="仿宋_GB2312" w:eastAsia="仿宋_GB2312" w:cs="仿宋_GB2312"/>
          <w:color w:val="auto"/>
          <w:sz w:val="32"/>
          <w:szCs w:val="32"/>
          <w:highlight w:val="none"/>
          <w:lang w:val="en-US" w:eastAsia="zh-CN"/>
        </w:rPr>
        <w:t>]第</w:t>
      </w:r>
      <w:r>
        <w:rPr>
          <w:rFonts w:hint="default" w:ascii="Times New Roman" w:hAnsi="Times New Roman" w:eastAsia="仿宋_GB2312" w:cs="Times New Roman"/>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val="en-US" w:eastAsia="zh-CN"/>
        </w:rPr>
        <w:t>号</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en-US" w:eastAsia="zh-CN"/>
        </w:rPr>
        <w:t>日，张丹妮撤回行政复议申请，市发改委作出行政复议终止通知书。</w:t>
      </w:r>
    </w:p>
    <w:p>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6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涉及行政诉讼案件</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件，为陈玉兰诉</w:t>
      </w:r>
      <w:r>
        <w:rPr>
          <w:rFonts w:hint="eastAsia" w:ascii="仿宋_GB2312" w:hAnsi="仿宋_GB2312" w:eastAsia="仿宋_GB2312" w:cs="仿宋_GB2312"/>
          <w:color w:val="auto"/>
          <w:sz w:val="32"/>
          <w:szCs w:val="32"/>
          <w:lang w:val="en-US" w:eastAsia="zh-CN"/>
        </w:rPr>
        <w:t>东城区计划经济委员会 东城区建设管理委员会《关于南馆危改小区一区一期项目建议书（代可行性研究报告）的批复》（</w:t>
      </w:r>
      <w:r>
        <w:rPr>
          <w:rFonts w:hint="default" w:ascii="Times New Roman" w:hAnsi="Times New Roman" w:eastAsia="仿宋_GB2312" w:cs="Times New Roman"/>
          <w:color w:val="auto"/>
          <w:sz w:val="32"/>
          <w:szCs w:val="32"/>
          <w:lang w:val="en-US" w:eastAsia="zh-CN"/>
        </w:rPr>
        <w:t>2000</w:t>
      </w:r>
      <w:r>
        <w:rPr>
          <w:rFonts w:hint="eastAsia" w:ascii="仿宋_GB2312" w:hAnsi="仿宋_GB2312" w:eastAsia="仿宋_GB2312" w:cs="仿宋_GB2312"/>
          <w:color w:val="auto"/>
          <w:sz w:val="32"/>
          <w:szCs w:val="32"/>
          <w:lang w:val="en-US" w:eastAsia="zh-CN"/>
        </w:rPr>
        <w:t>东政计字第</w:t>
      </w:r>
      <w:r>
        <w:rPr>
          <w:rFonts w:hint="default" w:ascii="Times New Roman" w:hAnsi="Times New Roman" w:eastAsia="仿宋_GB2312" w:cs="Times New Roman"/>
          <w:color w:val="auto"/>
          <w:sz w:val="32"/>
          <w:szCs w:val="32"/>
          <w:lang w:val="en-US" w:eastAsia="zh-CN"/>
        </w:rPr>
        <w:t>59</w:t>
      </w:r>
      <w:r>
        <w:rPr>
          <w:rFonts w:hint="eastAsia" w:ascii="仿宋_GB2312" w:hAnsi="仿宋_GB2312" w:eastAsia="仿宋_GB2312" w:cs="仿宋_GB2312"/>
          <w:color w:val="auto"/>
          <w:sz w:val="32"/>
          <w:szCs w:val="32"/>
          <w:lang w:val="en-US" w:eastAsia="zh-CN"/>
        </w:rPr>
        <w:t>号）（</w:t>
      </w:r>
      <w:r>
        <w:rPr>
          <w:rFonts w:hint="default" w:ascii="Times New Roman" w:hAnsi="Times New Roman" w:eastAsia="仿宋_GB2312" w:cs="Times New Roman"/>
          <w:color w:val="auto"/>
          <w:sz w:val="32"/>
          <w:szCs w:val="32"/>
          <w:lang w:val="en-US" w:eastAsia="zh-CN"/>
        </w:rPr>
        <w:t>2000</w:t>
      </w:r>
      <w:r>
        <w:rPr>
          <w:rFonts w:hint="eastAsia" w:ascii="仿宋_GB2312" w:hAnsi="仿宋_GB2312" w:eastAsia="仿宋_GB2312" w:cs="仿宋_GB2312"/>
          <w:color w:val="auto"/>
          <w:sz w:val="32"/>
          <w:szCs w:val="32"/>
          <w:lang w:val="en-US" w:eastAsia="zh-CN"/>
        </w:rPr>
        <w:t>东政建字第</w:t>
      </w:r>
      <w:r>
        <w:rPr>
          <w:rFonts w:hint="default" w:ascii="Times New Roman" w:hAnsi="Times New Roman" w:eastAsia="仿宋_GB2312" w:cs="Times New Roman"/>
          <w:color w:val="auto"/>
          <w:sz w:val="32"/>
          <w:szCs w:val="32"/>
          <w:lang w:val="en-US" w:eastAsia="zh-CN"/>
        </w:rPr>
        <w:t>29</w:t>
      </w:r>
      <w:r>
        <w:rPr>
          <w:rFonts w:hint="eastAsia" w:ascii="仿宋_GB2312" w:hAnsi="仿宋_GB2312" w:eastAsia="仿宋_GB2312" w:cs="仿宋_GB2312"/>
          <w:color w:val="auto"/>
          <w:sz w:val="32"/>
          <w:szCs w:val="32"/>
          <w:lang w:val="en-US" w:eastAsia="zh-CN"/>
        </w:rPr>
        <w:t>号），东城区人民法院于</w:t>
      </w: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29</w:t>
      </w:r>
      <w:r>
        <w:rPr>
          <w:rFonts w:hint="eastAsia" w:ascii="仿宋_GB2312" w:hAnsi="仿宋_GB2312" w:eastAsia="仿宋_GB2312" w:cs="仿宋_GB2312"/>
          <w:color w:val="auto"/>
          <w:sz w:val="32"/>
          <w:szCs w:val="32"/>
          <w:lang w:val="en-US" w:eastAsia="zh-CN"/>
        </w:rPr>
        <w:t>日作出</w:t>
      </w:r>
      <w:r>
        <w:rPr>
          <w:rFonts w:hint="default" w:ascii="Times New Roman" w:hAnsi="Times New Roman" w:eastAsia="仿宋_GB2312" w:cs="Times New Roman"/>
          <w:color w:val="auto"/>
          <w:sz w:val="32"/>
          <w:szCs w:val="32"/>
          <w:highlight w:val="none"/>
          <w:lang w:val="en-US" w:eastAsia="zh-CN"/>
        </w:rPr>
        <w:t>2021</w:t>
      </w:r>
      <w:r>
        <w:rPr>
          <w:rFonts w:hint="eastAsia" w:ascii="仿宋_GB2312" w:hAnsi="仿宋_GB2312" w:eastAsia="仿宋_GB2312" w:cs="仿宋_GB2312"/>
          <w:color w:val="auto"/>
          <w:sz w:val="32"/>
          <w:szCs w:val="32"/>
          <w:highlight w:val="none"/>
          <w:lang w:val="en-US" w:eastAsia="zh-CN"/>
        </w:rPr>
        <w:t>京</w:t>
      </w:r>
      <w:r>
        <w:rPr>
          <w:rFonts w:hint="default" w:ascii="Times New Roman" w:hAnsi="Times New Roman" w:eastAsia="仿宋_GB2312" w:cs="Times New Roman"/>
          <w:color w:val="auto"/>
          <w:sz w:val="32"/>
          <w:szCs w:val="32"/>
          <w:highlight w:val="none"/>
          <w:lang w:val="en-US" w:eastAsia="zh-CN"/>
        </w:rPr>
        <w:t>0101</w:t>
      </w:r>
      <w:r>
        <w:rPr>
          <w:rFonts w:hint="eastAsia" w:ascii="仿宋_GB2312" w:hAnsi="仿宋_GB2312" w:eastAsia="仿宋_GB2312" w:cs="仿宋_GB2312"/>
          <w:color w:val="auto"/>
          <w:sz w:val="32"/>
          <w:szCs w:val="32"/>
          <w:highlight w:val="none"/>
          <w:lang w:val="en-US" w:eastAsia="zh-CN"/>
        </w:rPr>
        <w:t>行初</w:t>
      </w:r>
      <w:r>
        <w:rPr>
          <w:rFonts w:hint="default" w:ascii="Times New Roman" w:hAnsi="Times New Roman" w:eastAsia="仿宋_GB2312" w:cs="Times New Roman"/>
          <w:color w:val="auto"/>
          <w:sz w:val="32"/>
          <w:szCs w:val="32"/>
          <w:highlight w:val="none"/>
          <w:lang w:val="en-US" w:eastAsia="zh-CN"/>
        </w:rPr>
        <w:t>503</w:t>
      </w:r>
      <w:r>
        <w:rPr>
          <w:rFonts w:hint="eastAsia" w:ascii="仿宋_GB2312" w:hAnsi="仿宋_GB2312" w:eastAsia="仿宋_GB2312" w:cs="仿宋_GB2312"/>
          <w:color w:val="auto"/>
          <w:sz w:val="32"/>
          <w:szCs w:val="32"/>
          <w:highlight w:val="none"/>
          <w:lang w:val="en-US" w:eastAsia="zh-CN"/>
        </w:rPr>
        <w:t>号判决，驳回当事人起诉，北京市第二中级人民法院于</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en-US" w:eastAsia="zh-CN"/>
        </w:rPr>
        <w:t>日作出（</w:t>
      </w:r>
      <w:r>
        <w:rPr>
          <w:rFonts w:hint="default" w:ascii="Times New Roman" w:hAnsi="Times New Roman" w:eastAsia="仿宋_GB2312" w:cs="Times New Roman"/>
          <w:color w:val="auto"/>
          <w:sz w:val="32"/>
          <w:szCs w:val="32"/>
          <w:highlight w:val="none"/>
          <w:lang w:val="en-US" w:eastAsia="zh-CN"/>
        </w:rPr>
        <w:t>2021</w:t>
      </w:r>
      <w:r>
        <w:rPr>
          <w:rFonts w:hint="eastAsia" w:ascii="仿宋_GB2312" w:hAnsi="仿宋_GB2312" w:eastAsia="仿宋_GB2312" w:cs="仿宋_GB2312"/>
          <w:color w:val="auto"/>
          <w:sz w:val="32"/>
          <w:szCs w:val="32"/>
          <w:highlight w:val="none"/>
          <w:lang w:val="en-US" w:eastAsia="zh-CN"/>
        </w:rPr>
        <w:t>）京</w:t>
      </w:r>
      <w:r>
        <w:rPr>
          <w:rFonts w:hint="default" w:ascii="Times New Roman" w:hAnsi="Times New Roman" w:eastAsia="仿宋_GB2312" w:cs="Times New Roman"/>
          <w:color w:val="auto"/>
          <w:sz w:val="32"/>
          <w:szCs w:val="32"/>
          <w:highlight w:val="none"/>
          <w:lang w:val="en-US" w:eastAsia="zh-CN"/>
        </w:rPr>
        <w:t>02</w:t>
      </w:r>
      <w:r>
        <w:rPr>
          <w:rFonts w:hint="eastAsia" w:ascii="仿宋_GB2312" w:hAnsi="仿宋_GB2312" w:eastAsia="仿宋_GB2312" w:cs="仿宋_GB2312"/>
          <w:color w:val="auto"/>
          <w:sz w:val="32"/>
          <w:szCs w:val="32"/>
          <w:highlight w:val="none"/>
          <w:lang w:val="en-US" w:eastAsia="zh-CN"/>
        </w:rPr>
        <w:t>行终</w:t>
      </w:r>
      <w:r>
        <w:rPr>
          <w:rFonts w:hint="default" w:ascii="Times New Roman" w:hAnsi="Times New Roman" w:eastAsia="仿宋_GB2312" w:cs="Times New Roman"/>
          <w:color w:val="auto"/>
          <w:sz w:val="32"/>
          <w:szCs w:val="32"/>
          <w:highlight w:val="none"/>
          <w:lang w:val="en-US" w:eastAsia="zh-CN"/>
        </w:rPr>
        <w:t>2156</w:t>
      </w:r>
      <w:r>
        <w:rPr>
          <w:rFonts w:hint="eastAsia" w:ascii="仿宋_GB2312" w:hAnsi="仿宋_GB2312" w:eastAsia="仿宋_GB2312" w:cs="仿宋_GB2312"/>
          <w:color w:val="auto"/>
          <w:sz w:val="32"/>
          <w:szCs w:val="32"/>
          <w:highlight w:val="none"/>
          <w:lang w:val="en-US" w:eastAsia="zh-CN"/>
        </w:rPr>
        <w:t>号判决，驳回当事人上诉。</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val="0"/>
          <w:bCs w:val="0"/>
          <w:color w:val="auto"/>
          <w:sz w:val="32"/>
          <w:szCs w:val="32"/>
          <w:highlight w:val="none"/>
          <w:lang w:val="en-US" w:eastAsia="zh-CN"/>
        </w:rPr>
        <w:t>（六）权力清单工作情况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区发改委权力清单共</w:t>
      </w:r>
      <w:r>
        <w:rPr>
          <w:rFonts w:hint="default" w:ascii="Times New Roman" w:hAnsi="Times New Roman" w:eastAsia="仿宋_GB2312" w:cs="Times New Roman"/>
          <w:color w:val="auto"/>
          <w:sz w:val="32"/>
          <w:szCs w:val="32"/>
          <w:lang w:val="en-US" w:eastAsia="zh-CN"/>
        </w:rPr>
        <w:t>61</w:t>
      </w:r>
      <w:r>
        <w:rPr>
          <w:rFonts w:hint="eastAsia" w:ascii="仿宋_GB2312" w:hAnsi="仿宋_GB2312" w:eastAsia="仿宋_GB2312" w:cs="仿宋_GB2312"/>
          <w:color w:val="auto"/>
          <w:sz w:val="32"/>
          <w:szCs w:val="32"/>
          <w:lang w:val="en-US" w:eastAsia="zh-CN"/>
        </w:rPr>
        <w:t>项职权：其中行政许可</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项、行政强制</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项、行政征收</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项、行政给付</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项、行政检查</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项、行政确认</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项、行政奖励</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项、行政裁决</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项、其他职权</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项、行政处罚</w:t>
      </w:r>
      <w:r>
        <w:rPr>
          <w:rFonts w:hint="default" w:ascii="Times New Roman" w:hAnsi="Times New Roman" w:eastAsia="仿宋_GB2312" w:cs="Times New Roman"/>
          <w:color w:val="auto"/>
          <w:sz w:val="32"/>
          <w:szCs w:val="32"/>
          <w:lang w:val="en-US" w:eastAsia="zh-CN"/>
        </w:rPr>
        <w:t>44</w:t>
      </w:r>
      <w:r>
        <w:rPr>
          <w:rFonts w:hint="eastAsia" w:ascii="仿宋_GB2312" w:hAnsi="仿宋_GB2312" w:eastAsia="仿宋_GB2312" w:cs="仿宋_GB2312"/>
          <w:color w:val="auto"/>
          <w:sz w:val="32"/>
          <w:szCs w:val="32"/>
          <w:lang w:val="en-US" w:eastAsia="zh-CN"/>
        </w:rPr>
        <w:t>项（以数字东城公布为准）。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年全年，</w:t>
      </w:r>
      <w:r>
        <w:rPr>
          <w:rFonts w:hint="eastAsia" w:ascii="仿宋_GB2312" w:hAnsi="仿宋_GB2312" w:eastAsia="仿宋_GB2312" w:cs="仿宋_GB2312"/>
          <w:color w:val="auto"/>
          <w:sz w:val="32"/>
          <w:szCs w:val="32"/>
          <w:highlight w:val="none"/>
          <w:lang w:eastAsia="zh-CN"/>
        </w:rPr>
        <w:t>区发改委完成政务服务事项共</w:t>
      </w:r>
      <w:r>
        <w:rPr>
          <w:rFonts w:hint="default" w:ascii="Times New Roman" w:hAnsi="Times New Roman" w:eastAsia="仿宋_GB2312" w:cs="Times New Roman"/>
          <w:color w:val="auto"/>
          <w:sz w:val="32"/>
          <w:szCs w:val="32"/>
          <w:highlight w:val="none"/>
          <w:lang w:val="en-US" w:eastAsia="zh-CN"/>
        </w:rPr>
        <w:t>93</w:t>
      </w:r>
      <w:r>
        <w:rPr>
          <w:rFonts w:hint="eastAsia" w:ascii="仿宋_GB2312" w:hAnsi="仿宋_GB2312" w:eastAsia="仿宋_GB2312" w:cs="仿宋_GB2312"/>
          <w:color w:val="auto"/>
          <w:sz w:val="32"/>
          <w:szCs w:val="32"/>
          <w:highlight w:val="none"/>
          <w:lang w:eastAsia="zh-CN"/>
        </w:rPr>
        <w:t>件，其中政府投资项目审批事项</w:t>
      </w:r>
      <w:r>
        <w:rPr>
          <w:rFonts w:hint="default" w:ascii="Times New Roman" w:hAnsi="Times New Roman" w:eastAsia="仿宋_GB2312" w:cs="Times New Roman"/>
          <w:color w:val="auto"/>
          <w:sz w:val="32"/>
          <w:szCs w:val="32"/>
          <w:highlight w:val="none"/>
          <w:lang w:val="en-US" w:eastAsia="zh-CN"/>
        </w:rPr>
        <w:t>48</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color w:val="auto"/>
          <w:sz w:val="32"/>
          <w:szCs w:val="32"/>
          <w:highlight w:val="none"/>
        </w:rPr>
        <w:t>，企业投资备案事项</w:t>
      </w:r>
      <w:r>
        <w:rPr>
          <w:rFonts w:hint="default" w:ascii="Times New Roman" w:hAnsi="Times New Roman" w:eastAsia="仿宋_GB2312" w:cs="Times New Roman"/>
          <w:color w:val="auto"/>
          <w:sz w:val="32"/>
          <w:szCs w:val="32"/>
          <w:highlight w:val="none"/>
        </w:rPr>
        <w:t>21</w:t>
      </w:r>
      <w:r>
        <w:rPr>
          <w:rFonts w:hint="eastAsia" w:ascii="仿宋_GB2312" w:hAnsi="仿宋_GB2312" w:eastAsia="仿宋_GB2312" w:cs="仿宋_GB2312"/>
          <w:color w:val="auto"/>
          <w:sz w:val="32"/>
          <w:szCs w:val="32"/>
          <w:highlight w:val="none"/>
        </w:rPr>
        <w:t>件，企业投资项目核准</w:t>
      </w:r>
      <w:r>
        <w:rPr>
          <w:rFonts w:hint="default" w:ascii="Times New Roman" w:hAnsi="Times New Roman" w:eastAsia="仿宋_GB2312" w:cs="Times New Roman"/>
          <w:color w:val="auto"/>
          <w:sz w:val="32"/>
          <w:szCs w:val="32"/>
          <w:highlight w:val="none"/>
        </w:rPr>
        <w:t>24</w:t>
      </w:r>
      <w:r>
        <w:rPr>
          <w:rFonts w:hint="eastAsia" w:ascii="仿宋_GB2312" w:hAnsi="仿宋_GB2312" w:eastAsia="仿宋_GB2312" w:cs="仿宋_GB2312"/>
          <w:color w:val="auto"/>
          <w:sz w:val="32"/>
          <w:szCs w:val="32"/>
          <w:highlight w:val="none"/>
          <w:lang w:eastAsia="zh-CN"/>
        </w:rPr>
        <w:t>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（七）我委牵头的持续优化营商环境的</w:t>
      </w:r>
      <w:r>
        <w:rPr>
          <w:rFonts w:hint="eastAsia" w:ascii="楷体_GB2312" w:hAnsi="楷体_GB2312" w:eastAsia="楷体_GB2312" w:cs="楷体_GB2312"/>
          <w:color w:val="auto"/>
          <w:sz w:val="32"/>
          <w:szCs w:val="32"/>
          <w:lang w:eastAsia="zh-CN"/>
        </w:rPr>
        <w:t>主要</w:t>
      </w:r>
      <w:r>
        <w:rPr>
          <w:rFonts w:hint="eastAsia" w:ascii="楷体_GB2312" w:hAnsi="楷体_GB2312" w:eastAsia="楷体_GB2312" w:cs="楷体_GB2312"/>
          <w:color w:val="auto"/>
          <w:sz w:val="32"/>
          <w:szCs w:val="32"/>
        </w:rPr>
        <w:t>举措</w:t>
      </w:r>
      <w:r>
        <w:rPr>
          <w:rFonts w:hint="eastAsia" w:ascii="楷体_GB2312" w:hAnsi="楷体_GB2312" w:eastAsia="楷体_GB2312" w:cs="楷体_GB2312"/>
          <w:color w:val="auto"/>
          <w:sz w:val="32"/>
          <w:szCs w:val="32"/>
          <w:lang w:eastAsia="zh-CN"/>
        </w:rPr>
        <w:t>和成效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Times New Roman" w:hAnsi="Times New Roman" w:eastAsia="仿宋_GB2312" w:cs="Times New Roman"/>
          <w:b/>
          <w:bCs/>
          <w:color w:val="auto"/>
          <w:sz w:val="32"/>
          <w:szCs w:val="32"/>
          <w:lang w:eastAsia="zh-CN"/>
        </w:rPr>
      </w:pPr>
      <w:r>
        <w:rPr>
          <w:rFonts w:hint="eastAsia" w:ascii="仿宋_GB2312" w:hAnsi="仿宋_GB2312" w:eastAsia="仿宋_GB2312" w:cs="仿宋_GB2312"/>
          <w:color w:val="auto"/>
          <w:sz w:val="32"/>
          <w:szCs w:val="32"/>
          <w:lang w:eastAsia="zh-CN"/>
        </w:rPr>
        <w:t>区发改委根据《东城区</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lang w:eastAsia="zh-CN"/>
        </w:rPr>
        <w:t>年推进法治政府建设工作要点及任务分解》中区司法局明确由我委承担的推进法治政府建设工作要点第八项：</w:t>
      </w:r>
      <w:r>
        <w:rPr>
          <w:rFonts w:hint="eastAsia" w:ascii="仿宋_GB2312" w:hAnsi="仿宋_GB2312" w:eastAsia="仿宋_GB2312" w:cs="仿宋_GB2312"/>
          <w:color w:val="auto"/>
          <w:sz w:val="32"/>
          <w:szCs w:val="32"/>
        </w:rPr>
        <w:t>持续优化营商环境。以迎接世行新一轮营商环境评价为契机，全面落实北京市营商环境创新试点工作，推动落实优化营商环境</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版改革方案</w:t>
      </w:r>
      <w:r>
        <w:rPr>
          <w:rFonts w:hint="eastAsia" w:ascii="仿宋_GB2312" w:hAnsi="仿宋_GB2312" w:eastAsia="仿宋_GB2312" w:cs="仿宋_GB2312"/>
          <w:color w:val="auto"/>
          <w:sz w:val="32"/>
          <w:szCs w:val="32"/>
          <w:lang w:eastAsia="zh-CN"/>
        </w:rPr>
        <w:t>的内容，在该项工作中的</w:t>
      </w:r>
      <w:r>
        <w:rPr>
          <w:rFonts w:hint="eastAsia" w:ascii="Times New Roman" w:hAnsi="Times New Roman" w:eastAsia="仿宋_GB2312" w:cs="Times New Roman"/>
          <w:b w:val="0"/>
          <w:bCs w:val="0"/>
          <w:color w:val="auto"/>
          <w:sz w:val="32"/>
          <w:szCs w:val="32"/>
          <w:lang w:eastAsia="zh-CN"/>
        </w:rPr>
        <w:t>主要举措是</w:t>
      </w:r>
      <w:r>
        <w:rPr>
          <w:rFonts w:hint="eastAsia" w:ascii="Times New Roman" w:hAnsi="Times New Roman" w:eastAsia="仿宋_GB2312"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lang w:eastAsia="zh-CN"/>
        </w:rPr>
        <w:t>一是高位推动，</w:t>
      </w:r>
      <w:r>
        <w:rPr>
          <w:rFonts w:hint="default" w:ascii="Times New Roman" w:hAnsi="Times New Roman" w:eastAsia="仿宋_GB2312" w:cs="Times New Roman"/>
          <w:color w:val="auto"/>
          <w:sz w:val="32"/>
          <w:szCs w:val="32"/>
          <w:lang w:eastAsia="zh-CN"/>
        </w:rPr>
        <w:t>建立书记、区长任组长，四套班子领导共同参与、协同推进的领导小组架构，</w:t>
      </w:r>
      <w:r>
        <w:rPr>
          <w:rFonts w:hint="default" w:ascii="Times New Roman" w:hAnsi="Times New Roman" w:eastAsia="仿宋_GB2312" w:cs="Times New Roman"/>
          <w:color w:val="auto"/>
          <w:sz w:val="32"/>
          <w:szCs w:val="32"/>
        </w:rPr>
        <w:t>设置16个专项小组，</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领域协调推进改革任务。</w:t>
      </w:r>
      <w:r>
        <w:rPr>
          <w:rFonts w:hint="default" w:ascii="Times New Roman" w:hAnsi="Times New Roman" w:eastAsia="仿宋_GB2312" w:cs="Times New Roman"/>
          <w:color w:val="auto"/>
          <w:sz w:val="32"/>
          <w:szCs w:val="32"/>
          <w:lang w:eastAsia="zh-CN"/>
        </w:rPr>
        <w:t>调整由区长任组长的迎接世界银行新评价工作领导小组，强化工作调度。</w:t>
      </w:r>
      <w:r>
        <w:rPr>
          <w:rFonts w:hint="default" w:ascii="Times New Roman" w:hAnsi="Times New Roman" w:eastAsia="仿宋_GB2312" w:cs="Times New Roman"/>
          <w:b/>
          <w:bCs/>
          <w:color w:val="auto"/>
          <w:sz w:val="32"/>
          <w:szCs w:val="32"/>
          <w:lang w:eastAsia="zh-CN"/>
        </w:rPr>
        <w:t>二是高点谋划，</w:t>
      </w:r>
      <w:r>
        <w:rPr>
          <w:rFonts w:hint="default" w:ascii="Times New Roman" w:hAnsi="Times New Roman" w:eastAsia="仿宋_GB2312" w:cs="Times New Roman"/>
          <w:color w:val="auto"/>
          <w:spacing w:val="-4"/>
          <w:sz w:val="32"/>
          <w:szCs w:val="32"/>
        </w:rPr>
        <w:t>研究</w:t>
      </w:r>
      <w:r>
        <w:rPr>
          <w:rFonts w:hint="default" w:ascii="Times New Roman" w:hAnsi="Times New Roman" w:eastAsia="仿宋_GB2312" w:cs="Times New Roman"/>
          <w:color w:val="auto"/>
          <w:sz w:val="32"/>
          <w:szCs w:val="32"/>
        </w:rPr>
        <w:t>出台</w:t>
      </w:r>
      <w:r>
        <w:rPr>
          <w:rFonts w:hint="default"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区2022年营商环境改革创新工作实施方案</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color w:val="auto"/>
          <w:sz w:val="32"/>
          <w:szCs w:val="32"/>
        </w:rPr>
        <w:t>明确重点改革任务243项，</w:t>
      </w:r>
      <w:r>
        <w:rPr>
          <w:rFonts w:hint="default" w:ascii="Times New Roman" w:hAnsi="Times New Roman" w:eastAsia="仿宋_GB2312" w:cs="Times New Roman"/>
          <w:b w:val="0"/>
          <w:bCs w:val="0"/>
          <w:color w:val="auto"/>
          <w:sz w:val="32"/>
          <w:szCs w:val="32"/>
          <w:lang w:eastAsia="zh-CN"/>
        </w:rPr>
        <w:t>着力构建多项领跑、单项冠军、特色凸显、全面优化的营商环境改革新格局。制定迎接世界银行营商环境新评价工作方案，明确指标责任分工。</w:t>
      </w:r>
      <w:r>
        <w:rPr>
          <w:rFonts w:hint="default" w:ascii="Times New Roman" w:hAnsi="Times New Roman" w:eastAsia="仿宋_GB2312" w:cs="Times New Roman"/>
          <w:b/>
          <w:bCs/>
          <w:color w:val="auto"/>
          <w:sz w:val="32"/>
          <w:szCs w:val="32"/>
          <w:lang w:eastAsia="zh-CN"/>
        </w:rPr>
        <w:t>三是高效统筹，</w:t>
      </w:r>
      <w:r>
        <w:rPr>
          <w:rFonts w:hint="default" w:ascii="Times New Roman" w:hAnsi="Times New Roman" w:eastAsia="仿宋_GB2312" w:cs="Times New Roman"/>
          <w:b w:val="0"/>
          <w:bCs w:val="0"/>
          <w:color w:val="auto"/>
          <w:sz w:val="32"/>
          <w:szCs w:val="32"/>
          <w:highlight w:val="none"/>
          <w:lang w:eastAsia="zh-CN"/>
        </w:rPr>
        <w:t>坚持重点任务清单式管理、常态化监测，加快任务落地见效。统筹</w:t>
      </w:r>
      <w:r>
        <w:rPr>
          <w:rFonts w:hint="default" w:ascii="Times New Roman" w:hAnsi="Times New Roman" w:eastAsia="仿宋_GB2312" w:cs="Times New Roman"/>
          <w:b w:val="0"/>
          <w:bCs w:val="0"/>
          <w:color w:val="auto"/>
          <w:sz w:val="32"/>
          <w:szCs w:val="32"/>
          <w:lang w:eastAsia="zh-CN"/>
        </w:rPr>
        <w:t>开展政策宣传培训近千场次，覆盖2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万余人次；各级</w:t>
      </w:r>
      <w:r>
        <w:rPr>
          <w:rFonts w:hint="default" w:ascii="Times New Roman" w:hAnsi="Times New Roman" w:eastAsia="仿宋_GB2312" w:cs="Times New Roman"/>
          <w:color w:val="auto"/>
          <w:sz w:val="32"/>
          <w:szCs w:val="32"/>
        </w:rPr>
        <w:t>主流媒体刊发</w:t>
      </w:r>
      <w:r>
        <w:rPr>
          <w:rFonts w:hint="default" w:ascii="Times New Roman" w:hAnsi="Times New Roman" w:eastAsia="仿宋_GB2312" w:cs="Times New Roman"/>
          <w:color w:val="auto"/>
          <w:sz w:val="32"/>
          <w:szCs w:val="32"/>
          <w:lang w:eastAsia="zh-CN"/>
        </w:rPr>
        <w:t>亮点成效</w:t>
      </w:r>
      <w:r>
        <w:rPr>
          <w:rFonts w:hint="default" w:ascii="Times New Roman" w:hAnsi="Times New Roman" w:eastAsia="仿宋_GB2312" w:cs="Times New Roman"/>
          <w:color w:val="auto"/>
          <w:sz w:val="32"/>
          <w:szCs w:val="32"/>
        </w:rPr>
        <w:t>报道</w:t>
      </w:r>
      <w:r>
        <w:rPr>
          <w:rFonts w:hint="default"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余篇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开展各领域全覆盖督查检查，</w:t>
      </w:r>
      <w:r>
        <w:rPr>
          <w:rFonts w:hint="default" w:ascii="Times New Roman" w:hAnsi="Times New Roman" w:eastAsia="仿宋_GB2312" w:cs="Times New Roman"/>
          <w:color w:val="auto"/>
          <w:sz w:val="32"/>
          <w:szCs w:val="32"/>
        </w:rPr>
        <w:t>常态化</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局科长走流程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93次，发现问题50个，</w:t>
      </w:r>
      <w:r>
        <w:rPr>
          <w:rFonts w:hint="default" w:ascii="Times New Roman" w:hAnsi="Times New Roman" w:eastAsia="仿宋_GB2312" w:cs="Times New Roman"/>
          <w:color w:val="auto"/>
          <w:sz w:val="32"/>
          <w:szCs w:val="32"/>
          <w:lang w:eastAsia="zh-CN"/>
        </w:rPr>
        <w:t>并强化问题整改，打通政策落地“最后一公里”</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eastAsia="zh-CN"/>
        </w:rPr>
        <w:t>工作成效：</w:t>
      </w:r>
      <w:r>
        <w:rPr>
          <w:rFonts w:hint="default" w:ascii="Times New Roman" w:hAnsi="Times New Roman" w:eastAsia="仿宋_GB2312" w:cs="Times New Roman"/>
          <w:color w:val="auto"/>
          <w:sz w:val="32"/>
          <w:szCs w:val="32"/>
          <w:lang w:val="en-US" w:eastAsia="zh-CN"/>
        </w:rPr>
        <w:t>截至目前，</w:t>
      </w:r>
      <w:r>
        <w:rPr>
          <w:rFonts w:hint="default" w:ascii="Times New Roman" w:hAnsi="Times New Roman" w:eastAsia="仿宋_GB2312" w:cs="Times New Roman"/>
          <w:color w:val="auto"/>
          <w:sz w:val="32"/>
          <w:szCs w:val="32"/>
        </w:rPr>
        <w:t>243项</w:t>
      </w:r>
      <w:r>
        <w:rPr>
          <w:rFonts w:hint="default" w:ascii="Times New Roman" w:hAnsi="Times New Roman" w:eastAsia="仿宋_GB2312" w:cs="Times New Roman"/>
          <w:color w:val="auto"/>
          <w:sz w:val="32"/>
          <w:szCs w:val="32"/>
          <w:lang w:eastAsia="zh-CN"/>
        </w:rPr>
        <w:t>改革任务</w:t>
      </w:r>
      <w:r>
        <w:rPr>
          <w:rFonts w:hint="default" w:ascii="Times New Roman" w:hAnsi="Times New Roman" w:eastAsia="仿宋_GB2312" w:cs="Times New Roman"/>
          <w:color w:val="auto"/>
          <w:sz w:val="32"/>
          <w:szCs w:val="32"/>
          <w:lang w:val="en-US" w:eastAsia="zh-CN"/>
        </w:rPr>
        <w:t>已完成2</w:t>
      </w:r>
      <w:r>
        <w:rPr>
          <w:rFonts w:hint="eastAsia"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lang w:val="en-US" w:eastAsia="zh-CN"/>
        </w:rPr>
        <w:t>项，完成率9</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lang w:val="en-US" w:eastAsia="zh-CN"/>
        </w:rPr>
        <w:t>%，形成了一批特色亮点经验。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highlight w:val="yellow"/>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实现多项领跑。商事制度改革领域，</w:t>
      </w:r>
      <w:r>
        <w:rPr>
          <w:rFonts w:hint="default" w:ascii="Times New Roman" w:hAnsi="Times New Roman" w:eastAsia="仿宋_GB2312" w:cs="Times New Roman"/>
          <w:b w:val="0"/>
          <w:bCs w:val="0"/>
          <w:color w:val="auto"/>
          <w:sz w:val="32"/>
          <w:szCs w:val="32"/>
          <w:lang w:eastAsia="zh-CN"/>
        </w:rPr>
        <w:t>发挥改革</w:t>
      </w:r>
      <w:r>
        <w:rPr>
          <w:rFonts w:hint="default" w:ascii="Times New Roman" w:hAnsi="Times New Roman" w:eastAsia="仿宋_GB2312" w:cs="Times New Roman"/>
          <w:i w:val="0"/>
          <w:iCs w:val="0"/>
          <w:caps w:val="0"/>
          <w:color w:val="auto"/>
          <w:spacing w:val="0"/>
          <w:sz w:val="32"/>
          <w:szCs w:val="32"/>
          <w:shd w:val="clear" w:color="auto" w:fill="auto"/>
        </w:rPr>
        <w:t>政策叠加效应</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b w:val="0"/>
          <w:bCs w:val="0"/>
          <w:color w:val="auto"/>
          <w:sz w:val="32"/>
          <w:szCs w:val="32"/>
          <w:lang w:eastAsia="zh-CN"/>
        </w:rPr>
        <w:t>为大型连锁企业分支机构集中应用“证照联办”，实现环节减半、0.5天办结（</w:t>
      </w:r>
      <w:r>
        <w:rPr>
          <w:rFonts w:hint="default" w:ascii="Times New Roman" w:hAnsi="Times New Roman" w:eastAsia="楷体_GB2312" w:cs="Times New Roman"/>
          <w:color w:val="auto"/>
          <w:sz w:val="32"/>
          <w:szCs w:val="32"/>
        </w:rPr>
        <w:t>为14家肯德基和必胜客分店、26家711便利店、21家瑞幸咖啡门店</w:t>
      </w:r>
      <w:r>
        <w:rPr>
          <w:rFonts w:hint="default" w:ascii="Times New Roman" w:hAnsi="Times New Roman" w:eastAsia="楷体_GB2312" w:cs="Times New Roman"/>
          <w:color w:val="auto"/>
          <w:sz w:val="32"/>
          <w:szCs w:val="32"/>
          <w:lang w:eastAsia="zh-CN"/>
        </w:rPr>
        <w:t>等大型连锁企业一次性</w:t>
      </w:r>
      <w:r>
        <w:rPr>
          <w:rFonts w:hint="default" w:ascii="Times New Roman" w:hAnsi="Times New Roman" w:eastAsia="楷体_GB2312" w:cs="Times New Roman"/>
          <w:color w:val="auto"/>
          <w:sz w:val="32"/>
          <w:szCs w:val="32"/>
        </w:rPr>
        <w:t>批量办理营业执照和食品经营许可证变更业务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28"/>
          <w:highlight w:val="none"/>
          <w:lang w:eastAsia="zh-CN"/>
        </w:rPr>
        <w:t>加快完善市场主体休眠、退出机制，</w:t>
      </w:r>
      <w:r>
        <w:rPr>
          <w:rFonts w:hint="default" w:ascii="Times New Roman" w:hAnsi="Times New Roman" w:eastAsia="仿宋_GB2312" w:cs="Times New Roman"/>
          <w:b w:val="0"/>
          <w:bCs w:val="0"/>
          <w:color w:val="auto"/>
          <w:sz w:val="32"/>
          <w:szCs w:val="32"/>
          <w:lang w:eastAsia="zh-CN"/>
        </w:rPr>
        <w:t>全市率先落地市场主体歇业备案制度和除名制度，已办理歇业备案</w:t>
      </w:r>
      <w:r>
        <w:rPr>
          <w:rFonts w:hint="eastAsia" w:ascii="Times New Roman" w:hAnsi="Times New Roman"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lang w:val="en-US" w:eastAsia="zh-CN"/>
        </w:rPr>
        <w:t>户</w:t>
      </w:r>
      <w:r>
        <w:rPr>
          <w:rFonts w:hint="default" w:ascii="Times New Roman" w:hAnsi="Times New Roman" w:eastAsia="仿宋_GB2312" w:cs="Times New Roman"/>
          <w:b w:val="0"/>
          <w:bCs w:val="0"/>
          <w:color w:val="auto"/>
          <w:sz w:val="32"/>
          <w:szCs w:val="32"/>
          <w:lang w:val="en-US" w:eastAsia="zh-CN"/>
        </w:rPr>
        <w:t>，除名31户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bCs/>
          <w:color w:val="auto"/>
          <w:sz w:val="32"/>
          <w:szCs w:val="32"/>
          <w:lang w:eastAsia="zh-CN"/>
        </w:rPr>
        <w:t>市政设施接入领域，</w:t>
      </w:r>
      <w:r>
        <w:rPr>
          <w:rFonts w:hint="default" w:ascii="Times New Roman" w:hAnsi="Times New Roman" w:eastAsia="仿宋_GB2312" w:cs="Times New Roman"/>
          <w:color w:val="auto"/>
          <w:sz w:val="32"/>
          <w:szCs w:val="32"/>
          <w:lang w:val="en-US" w:eastAsia="zh-CN"/>
        </w:rPr>
        <w:t>全市率先突破落地10千伏高压电力接入</w:t>
      </w:r>
      <w:r>
        <w:rPr>
          <w:rFonts w:hint="default" w:ascii="Times New Roman" w:hAnsi="Times New Roman" w:eastAsia="仿宋_GB2312" w:cs="Times New Roman"/>
          <w:b w:val="0"/>
          <w:bCs w:val="0"/>
          <w:color w:val="auto"/>
          <w:sz w:val="32"/>
          <w:szCs w:val="32"/>
          <w:lang w:eastAsia="zh-CN"/>
        </w:rPr>
        <w:t>“非禁免批”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b w:val="0"/>
          <w:bCs w:val="0"/>
          <w:color w:val="auto"/>
          <w:sz w:val="32"/>
          <w:szCs w:val="32"/>
          <w:lang w:eastAsia="zh-CN"/>
        </w:rPr>
        <w:t>北京王府井置业投资有限公司北湾子胡同西口电力接入工程项目</w:t>
      </w:r>
      <w:r>
        <w:rPr>
          <w:rFonts w:hint="default" w:ascii="Times New Roman" w:hAnsi="Times New Roman" w:eastAsia="仿宋_GB2312" w:cs="Times New Roman"/>
          <w:color w:val="auto"/>
          <w:sz w:val="32"/>
          <w:szCs w:val="32"/>
          <w:lang w:val="en-US" w:eastAsia="zh-CN"/>
        </w:rPr>
        <w:t>），办事时间压缩10个工作日，实现当天即时办结。</w:t>
      </w:r>
      <w:r>
        <w:rPr>
          <w:rFonts w:hint="default" w:ascii="Times New Roman" w:hAnsi="Times New Roman" w:eastAsia="仿宋_GB2312" w:cs="Times New Roman"/>
          <w:b/>
          <w:bCs/>
          <w:color w:val="auto"/>
          <w:sz w:val="32"/>
          <w:szCs w:val="32"/>
          <w:lang w:val="en-US" w:eastAsia="zh-CN"/>
        </w:rPr>
        <w:t>政府采购和招标投标领域，</w:t>
      </w:r>
      <w:r>
        <w:rPr>
          <w:rFonts w:hint="default" w:ascii="Times New Roman" w:hAnsi="Times New Roman" w:eastAsia="仿宋_GB2312" w:cs="Times New Roman"/>
          <w:b w:val="0"/>
          <w:bCs w:val="0"/>
          <w:color w:val="auto"/>
          <w:kern w:val="2"/>
          <w:sz w:val="32"/>
          <w:szCs w:val="32"/>
          <w:highlight w:val="none"/>
          <w:lang w:val="en-US" w:eastAsia="zh-CN"/>
        </w:rPr>
        <w:t>全市</w:t>
      </w:r>
      <w:r>
        <w:rPr>
          <w:rFonts w:hint="default" w:ascii="Times New Roman" w:hAnsi="Times New Roman" w:eastAsia="仿宋_GB2312" w:cs="Times New Roman"/>
          <w:b w:val="0"/>
          <w:bCs w:val="0"/>
          <w:color w:val="auto"/>
          <w:sz w:val="32"/>
          <w:szCs w:val="32"/>
          <w:lang w:eastAsia="zh-CN"/>
        </w:rPr>
        <w:t>率先上线</w:t>
      </w:r>
      <w:r>
        <w:rPr>
          <w:rFonts w:hint="default" w:ascii="Times New Roman" w:hAnsi="Times New Roman" w:eastAsia="仿宋_GB2312" w:cs="Times New Roman"/>
          <w:b w:val="0"/>
          <w:bCs w:val="0"/>
          <w:color w:val="auto"/>
          <w:sz w:val="32"/>
          <w:szCs w:val="32"/>
        </w:rPr>
        <w:t>政府采购电子交易平台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推进招投标全流程电子化，实现</w:t>
      </w:r>
      <w:r>
        <w:rPr>
          <w:rFonts w:hint="default" w:ascii="Times New Roman" w:hAnsi="Times New Roman" w:eastAsia="仿宋_GB2312" w:cs="Times New Roman"/>
          <w:color w:val="auto"/>
          <w:sz w:val="32"/>
          <w:szCs w:val="32"/>
          <w:lang w:val="en-US" w:eastAsia="zh-CN"/>
        </w:rPr>
        <w:t>远程在线开标。</w:t>
      </w:r>
      <w:r>
        <w:rPr>
          <w:rFonts w:hint="default" w:ascii="Times New Roman" w:hAnsi="Times New Roman" w:eastAsia="仿宋_GB2312" w:cs="Times New Roman"/>
          <w:b/>
          <w:bCs/>
          <w:color w:val="auto"/>
          <w:sz w:val="32"/>
          <w:szCs w:val="32"/>
          <w:lang w:val="en-US" w:eastAsia="zh-CN"/>
        </w:rPr>
        <w:t>人才服务领域，</w:t>
      </w:r>
      <w:r>
        <w:rPr>
          <w:rFonts w:hint="default" w:ascii="Times New Roman" w:hAnsi="Times New Roman" w:eastAsia="仿宋_GB2312" w:cs="Times New Roman"/>
          <w:b w:val="0"/>
          <w:bCs w:val="0"/>
          <w:color w:val="auto"/>
          <w:sz w:val="32"/>
          <w:szCs w:val="32"/>
          <w:lang w:val="en-US" w:eastAsia="zh-CN"/>
        </w:rPr>
        <w:t>全市</w:t>
      </w:r>
      <w:r>
        <w:rPr>
          <w:rFonts w:hint="default" w:ascii="Times New Roman" w:hAnsi="Times New Roman" w:eastAsia="仿宋_GB2312" w:cs="Times New Roman"/>
          <w:b w:val="0"/>
          <w:bCs w:val="0"/>
          <w:color w:val="auto"/>
          <w:sz w:val="32"/>
          <w:szCs w:val="32"/>
          <w:lang w:eastAsia="zh-CN"/>
        </w:rPr>
        <w:t>率先实现外国人来华工作许可、居留许可“两证联办”，</w:t>
      </w:r>
      <w:r>
        <w:rPr>
          <w:rFonts w:hint="default" w:ascii="Times New Roman" w:hAnsi="Times New Roman" w:eastAsia="仿宋_GB2312" w:cs="Times New Roman"/>
          <w:color w:val="auto"/>
          <w:sz w:val="32"/>
        </w:rPr>
        <w:t>办理时间压缩59%</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率先采用集团式高效办理工作居住证，审批时间压缩5</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en-US" w:eastAsia="zh-CN"/>
        </w:rPr>
        <w:t>融资信贷领域，</w:t>
      </w:r>
      <w:r>
        <w:rPr>
          <w:rFonts w:hint="default" w:ascii="Times New Roman" w:hAnsi="Times New Roman" w:eastAsia="仿宋_GB2312" w:cs="Times New Roman"/>
          <w:b w:val="0"/>
          <w:bCs w:val="0"/>
          <w:color w:val="auto"/>
          <w:sz w:val="32"/>
          <w:szCs w:val="32"/>
          <w:lang w:val="en-US" w:eastAsia="zh-CN"/>
        </w:rPr>
        <w:t>依托</w:t>
      </w:r>
      <w:r>
        <w:rPr>
          <w:rFonts w:hint="default" w:ascii="Times New Roman" w:hAnsi="Times New Roman" w:eastAsia="仿宋_GB2312" w:cs="Times New Roman"/>
          <w:b w:val="0"/>
          <w:bCs w:val="0"/>
          <w:color w:val="auto"/>
          <w:sz w:val="32"/>
          <w:szCs w:val="32"/>
          <w:highlight w:val="none"/>
          <w:lang w:val="en-US" w:eastAsia="zh-CN"/>
        </w:rPr>
        <w:t>动产融资统一登记公示系统</w:t>
      </w:r>
      <w:r>
        <w:rPr>
          <w:rFonts w:hint="default" w:ascii="Times New Roman" w:hAnsi="Times New Roman" w:eastAsia="仿宋_GB2312" w:cs="Times New Roman"/>
          <w:b w:val="0"/>
          <w:bCs w:val="0"/>
          <w:color w:val="auto"/>
          <w:sz w:val="32"/>
          <w:szCs w:val="32"/>
          <w:lang w:val="en-US" w:eastAsia="zh-CN"/>
        </w:rPr>
        <w:t>提供</w:t>
      </w:r>
      <w:r>
        <w:rPr>
          <w:rFonts w:hint="default" w:ascii="Times New Roman" w:hAnsi="Times New Roman" w:eastAsia="仿宋_GB2312" w:cs="Times New Roman"/>
          <w:b w:val="0"/>
          <w:bCs w:val="0"/>
          <w:color w:val="auto"/>
          <w:sz w:val="32"/>
          <w:szCs w:val="32"/>
          <w:highlight w:val="none"/>
          <w:lang w:val="en-US" w:eastAsia="zh-CN"/>
        </w:rPr>
        <w:t>7×24小时高效登记和统一查询</w:t>
      </w:r>
      <w:r>
        <w:rPr>
          <w:rFonts w:hint="default" w:ascii="Times New Roman" w:hAnsi="Times New Roman" w:eastAsia="仿宋_GB2312" w:cs="Times New Roman"/>
          <w:b w:val="0"/>
          <w:bCs w:val="0"/>
          <w:color w:val="auto"/>
          <w:sz w:val="32"/>
          <w:szCs w:val="32"/>
          <w:lang w:val="en-US" w:eastAsia="zh-CN"/>
        </w:rPr>
        <w:t>服务</w:t>
      </w:r>
      <w:r>
        <w:rPr>
          <w:rFonts w:hint="default" w:ascii="Times New Roman" w:hAnsi="Times New Roman" w:eastAsia="仿宋_GB2312" w:cs="Times New Roman"/>
          <w:b w:val="0"/>
          <w:bCs w:val="0"/>
          <w:color w:val="auto"/>
          <w:sz w:val="32"/>
          <w:szCs w:val="32"/>
          <w:highlight w:val="none"/>
          <w:lang w:val="en-US" w:eastAsia="zh-CN"/>
        </w:rPr>
        <w:t>，全市率先助力企业获得知识产权（软著作权）抵押担保信用贷款1000万元。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打造单项冠军。</w:t>
      </w:r>
      <w:r>
        <w:rPr>
          <w:rFonts w:hint="default" w:ascii="Times New Roman" w:hAnsi="Times New Roman" w:eastAsia="仿宋_GB2312" w:cs="Times New Roman"/>
          <w:b/>
          <w:bCs/>
          <w:color w:val="auto"/>
          <w:sz w:val="32"/>
          <w:szCs w:val="32"/>
          <w:lang w:val="en-US" w:eastAsia="zh-CN"/>
        </w:rPr>
        <w:t>司法保障领域，</w:t>
      </w:r>
      <w:r>
        <w:rPr>
          <w:rFonts w:hint="default" w:ascii="Times New Roman" w:hAnsi="Times New Roman" w:eastAsia="仿宋_GB2312" w:cs="Times New Roman"/>
          <w:b w:val="0"/>
          <w:bCs w:val="0"/>
          <w:color w:val="auto"/>
          <w:sz w:val="32"/>
          <w:szCs w:val="32"/>
          <w:lang w:val="en-US" w:eastAsia="zh-CN"/>
        </w:rPr>
        <w:t>全国首创</w:t>
      </w:r>
      <w:r>
        <w:rPr>
          <w:rFonts w:hint="default" w:ascii="Times New Roman" w:hAnsi="Times New Roman" w:eastAsia="仿宋_GB2312" w:cs="Times New Roman"/>
          <w:color w:val="auto"/>
          <w:sz w:val="32"/>
          <w:szCs w:val="32"/>
        </w:rPr>
        <w:t>“未诉先解”模式，</w:t>
      </w:r>
      <w:r>
        <w:rPr>
          <w:rFonts w:hint="default" w:ascii="Times New Roman" w:hAnsi="Times New Roman" w:eastAsia="仿宋_GB2312" w:cs="Times New Roman"/>
          <w:b w:val="0"/>
          <w:bCs w:val="0"/>
          <w:color w:val="auto"/>
          <w:sz w:val="32"/>
          <w:szCs w:val="32"/>
          <w:lang w:val="en-US" w:eastAsia="zh-CN"/>
        </w:rPr>
        <w:t>建立基层法院派驻劳动保障监察队、派</w:t>
      </w:r>
      <w:r>
        <w:rPr>
          <w:rFonts w:hint="default" w:ascii="Times New Roman" w:hAnsi="Times New Roman" w:eastAsia="仿宋_GB2312" w:cs="Times New Roman"/>
          <w:color w:val="auto"/>
          <w:sz w:val="32"/>
          <w:szCs w:val="32"/>
          <w:lang w:val="en-US" w:eastAsia="zh-CN"/>
        </w:rPr>
        <w:t>驻商务楼宇（</w:t>
      </w:r>
      <w:r>
        <w:rPr>
          <w:rFonts w:hint="default" w:ascii="Times New Roman" w:hAnsi="Times New Roman" w:eastAsia="楷体_GB2312" w:cs="Times New Roman"/>
          <w:color w:val="auto"/>
          <w:sz w:val="32"/>
          <w:szCs w:val="32"/>
          <w:lang w:val="en-US" w:eastAsia="zh-CN"/>
        </w:rPr>
        <w:t>银河SOHO</w:t>
      </w:r>
      <w:r>
        <w:rPr>
          <w:rFonts w:hint="default" w:ascii="Times New Roman" w:hAnsi="Times New Roman" w:eastAsia="仿宋_GB2312" w:cs="Times New Roman"/>
          <w:color w:val="auto"/>
          <w:sz w:val="32"/>
          <w:szCs w:val="32"/>
          <w:lang w:val="en-US" w:eastAsia="zh-CN"/>
        </w:rPr>
        <w:t>）诉调对接工作站，法院法官主动“走出去”，实现劳动纠纷、商事纠纷一站式就地解决。</w:t>
      </w:r>
      <w:r>
        <w:rPr>
          <w:rFonts w:hint="default" w:ascii="Times New Roman" w:hAnsi="Times New Roman" w:eastAsia="仿宋_GB2312" w:cs="Times New Roman"/>
          <w:b/>
          <w:bCs/>
          <w:color w:val="auto"/>
          <w:sz w:val="32"/>
          <w:szCs w:val="32"/>
          <w:lang w:val="en-US" w:eastAsia="zh-CN"/>
        </w:rPr>
        <w:t>纳税服务领域，</w:t>
      </w:r>
      <w:r>
        <w:rPr>
          <w:rFonts w:hint="default" w:ascii="Times New Roman" w:hAnsi="Times New Roman" w:eastAsia="仿宋_GB2312" w:cs="Times New Roman"/>
          <w:color w:val="auto"/>
          <w:sz w:val="32"/>
          <w:szCs w:val="32"/>
          <w:lang w:val="en-US" w:eastAsia="zh-CN"/>
        </w:rPr>
        <w:t>全市首创在企业集中的楼宇、园区设立</w:t>
      </w:r>
      <w:r>
        <w:rPr>
          <w:rFonts w:hint="default" w:ascii="Times New Roman" w:hAnsi="Times New Roman" w:eastAsia="仿宋_GB2312" w:cs="Times New Roman"/>
          <w:color w:val="auto"/>
          <w:sz w:val="32"/>
          <w:szCs w:val="32"/>
        </w:rPr>
        <w:t>“智税微厅”，</w:t>
      </w:r>
      <w:r>
        <w:rPr>
          <w:rFonts w:hint="default" w:ascii="Times New Roman" w:hAnsi="Times New Roman" w:eastAsia="仿宋_GB2312" w:cs="Times New Roman"/>
          <w:color w:val="auto"/>
          <w:sz w:val="32"/>
          <w:szCs w:val="32"/>
          <w:lang w:val="en-US" w:eastAsia="zh-CN"/>
        </w:rPr>
        <w:t>6平米办税服务厅提供173项高频涉税业务云端“全程网上办”，</w:t>
      </w:r>
      <w:r>
        <w:rPr>
          <w:rFonts w:hint="default" w:ascii="Times New Roman" w:hAnsi="Times New Roman" w:eastAsia="仿宋_GB2312" w:cs="Times New Roman"/>
          <w:color w:val="auto"/>
          <w:sz w:val="32"/>
          <w:szCs w:val="32"/>
        </w:rPr>
        <w:t>企业不出</w:t>
      </w:r>
      <w:r>
        <w:rPr>
          <w:rFonts w:hint="default" w:ascii="Times New Roman" w:hAnsi="Times New Roman" w:eastAsia="仿宋_GB2312" w:cs="Times New Roman"/>
          <w:color w:val="auto"/>
          <w:sz w:val="32"/>
          <w:szCs w:val="32"/>
          <w:lang w:eastAsia="zh-CN"/>
        </w:rPr>
        <w:t>楼宇</w:t>
      </w:r>
      <w:r>
        <w:rPr>
          <w:rFonts w:hint="default" w:ascii="Times New Roman" w:hAnsi="Times New Roman" w:eastAsia="仿宋_GB2312" w:cs="Times New Roman"/>
          <w:color w:val="auto"/>
          <w:sz w:val="32"/>
          <w:szCs w:val="32"/>
        </w:rPr>
        <w:t>、园</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可“零距离”办税，</w:t>
      </w:r>
      <w:r>
        <w:rPr>
          <w:rFonts w:hint="default" w:ascii="Times New Roman" w:hAnsi="Times New Roman" w:eastAsia="仿宋_GB2312" w:cs="Times New Roman"/>
          <w:color w:val="auto"/>
          <w:sz w:val="32"/>
          <w:szCs w:val="32"/>
          <w:lang w:val="en-US" w:eastAsia="zh-CN"/>
        </w:rPr>
        <w:t>打造“一刻钟办税服务圈”；全市首创推出“减税退税概算器”，帮助企业了解政策、用好政策，助力惠企政策“免申即享”。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lang w:val="en-US" w:eastAsia="zh-CN"/>
        </w:rPr>
        <w:t>3.凸显东城特色。文化产业创新发展领域，</w:t>
      </w:r>
      <w:r>
        <w:rPr>
          <w:rFonts w:hint="default" w:ascii="Times New Roman" w:hAnsi="Times New Roman" w:eastAsia="仿宋_GB2312" w:cs="Times New Roman"/>
          <w:color w:val="auto"/>
          <w:sz w:val="32"/>
          <w:szCs w:val="32"/>
          <w:highlight w:val="none"/>
          <w:lang w:val="en-US" w:eastAsia="zh-CN"/>
        </w:rPr>
        <w:t>打造全市首个文化产业园区“放管服”改革应用场景，推出</w:t>
      </w:r>
      <w:r>
        <w:rPr>
          <w:rFonts w:hint="default" w:ascii="Times New Roman" w:hAnsi="Times New Roman" w:eastAsia="仿宋_GB2312" w:cs="Times New Roman"/>
          <w:color w:val="auto"/>
          <w:sz w:val="32"/>
          <w:highlight w:val="none"/>
        </w:rPr>
        <w:t>开办剧场、举办文化演出</w:t>
      </w:r>
      <w:r>
        <w:rPr>
          <w:rFonts w:hint="default" w:ascii="Times New Roman" w:hAnsi="Times New Roman" w:eastAsia="仿宋_GB2312" w:cs="Times New Roman"/>
          <w:color w:val="auto"/>
          <w:sz w:val="32"/>
          <w:highlight w:val="none"/>
          <w:lang w:eastAsia="zh-CN"/>
        </w:rPr>
        <w:t>“一件事”集成服务</w:t>
      </w:r>
      <w:r>
        <w:rPr>
          <w:rFonts w:hint="default" w:ascii="Times New Roman" w:hAnsi="Times New Roman" w:eastAsia="仿宋_GB2312" w:cs="Times New Roman"/>
          <w:color w:val="auto"/>
          <w:sz w:val="32"/>
          <w:szCs w:val="32"/>
          <w:highlight w:val="none"/>
          <w:lang w:val="en-US" w:eastAsia="zh-CN"/>
        </w:rPr>
        <w:t>，压缩办事时间57%；</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b w:val="0"/>
          <w:bCs w:val="0"/>
          <w:color w:val="auto"/>
          <w:sz w:val="32"/>
          <w:szCs w:val="32"/>
          <w:lang w:val="en-US" w:eastAsia="zh-CN"/>
        </w:rPr>
        <w:t>创建首批国家文化与金融合作示范区，</w:t>
      </w:r>
      <w:r>
        <w:rPr>
          <w:rFonts w:hint="default" w:ascii="Times New Roman" w:hAnsi="Times New Roman" w:eastAsia="仿宋_GB2312" w:cs="Times New Roman"/>
          <w:color w:val="auto"/>
          <w:sz w:val="32"/>
          <w:szCs w:val="24"/>
          <w:lang w:eastAsia="zh-CN"/>
        </w:rPr>
        <w:t>示范区服务中心正式投入运营</w:t>
      </w:r>
      <w:r>
        <w:rPr>
          <w:rFonts w:hint="default" w:ascii="Times New Roman" w:hAnsi="Times New Roman" w:eastAsia="仿宋_GB2312" w:cs="Times New Roman"/>
          <w:color w:val="auto"/>
          <w:sz w:val="32"/>
          <w:szCs w:val="32"/>
          <w:lang w:eastAsia="zh-CN"/>
        </w:rPr>
        <w:t>；全市首个推出引导支持实体书店“四进”政策，</w:t>
      </w:r>
      <w:r>
        <w:rPr>
          <w:rFonts w:hint="default" w:ascii="Times New Roman" w:hAnsi="Times New Roman" w:eastAsia="仿宋_GB2312" w:cs="Times New Roman"/>
          <w:color w:val="auto"/>
          <w:sz w:val="32"/>
          <w:szCs w:val="24"/>
          <w:lang w:eastAsia="zh-CN"/>
        </w:rPr>
        <w:t>政策奖励支持书店33家，</w:t>
      </w:r>
      <w:r>
        <w:rPr>
          <w:rFonts w:hint="default" w:ascii="Times New Roman" w:hAnsi="Times New Roman" w:eastAsia="仿宋_GB2312" w:cs="Times New Roman"/>
          <w:color w:val="auto"/>
          <w:sz w:val="32"/>
          <w:szCs w:val="32"/>
        </w:rPr>
        <w:t>基本形成覆盖均衡的“四进”书店网络</w:t>
      </w:r>
      <w:r>
        <w:rPr>
          <w:rFonts w:hint="default" w:ascii="Times New Roman" w:hAnsi="Times New Roman" w:eastAsia="仿宋_GB2312" w:cs="Times New Roman"/>
          <w:b w:val="0"/>
          <w:color w:val="auto"/>
          <w:sz w:val="32"/>
          <w:szCs w:val="32"/>
          <w:highlight w:val="none"/>
          <w:shd w:val="clear" w:color="auto" w:fill="auto"/>
          <w:lang w:eastAsia="zh-CN"/>
        </w:rPr>
        <w:t>。</w:t>
      </w:r>
      <w:r>
        <w:rPr>
          <w:rFonts w:hint="default" w:ascii="Times New Roman" w:hAnsi="Times New Roman" w:eastAsia="仿宋_GB2312" w:cs="Times New Roman"/>
          <w:b/>
          <w:bCs/>
          <w:i w:val="0"/>
          <w:color w:val="auto"/>
          <w:spacing w:val="0"/>
          <w:w w:val="100"/>
          <w:sz w:val="32"/>
          <w:szCs w:val="32"/>
          <w:vertAlign w:val="baseline"/>
          <w:lang w:eastAsia="zh-CN"/>
        </w:rPr>
        <w:t>企业服务领域，</w:t>
      </w:r>
      <w:r>
        <w:rPr>
          <w:rFonts w:hint="default" w:ascii="Times New Roman" w:hAnsi="Times New Roman" w:eastAsia="仿宋_GB2312" w:cs="Times New Roman"/>
          <w:b w:val="0"/>
          <w:bCs w:val="0"/>
          <w:i w:val="0"/>
          <w:color w:val="auto"/>
          <w:spacing w:val="0"/>
          <w:w w:val="100"/>
          <w:sz w:val="32"/>
          <w:szCs w:val="32"/>
          <w:vertAlign w:val="baseline"/>
          <w:lang w:eastAsia="zh-CN"/>
        </w:rPr>
        <w:t>持续擦亮辖区特色</w:t>
      </w:r>
      <w:r>
        <w:rPr>
          <w:rFonts w:hint="default" w:ascii="Times New Roman" w:hAnsi="Times New Roman" w:eastAsia="仿宋_GB2312" w:cs="Times New Roman"/>
          <w:color w:val="auto"/>
          <w:sz w:val="32"/>
          <w:szCs w:val="32"/>
        </w:rPr>
        <w:t>“紫金服务”</w:t>
      </w:r>
      <w:r>
        <w:rPr>
          <w:rFonts w:hint="default" w:ascii="Times New Roman" w:hAnsi="Times New Roman" w:eastAsia="仿宋_GB2312" w:cs="Times New Roman"/>
          <w:color w:val="auto"/>
          <w:sz w:val="32"/>
          <w:szCs w:val="32"/>
          <w:lang w:eastAsia="zh-CN"/>
        </w:rPr>
        <w:t>品牌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color w:val="auto"/>
          <w:sz w:val="32"/>
          <w:szCs w:val="32"/>
          <w:highlight w:val="none"/>
          <w:lang w:eastAsia="zh-CN"/>
        </w:rPr>
        <w:t>完善</w:t>
      </w:r>
      <w:r>
        <w:rPr>
          <w:rFonts w:hint="default" w:ascii="Times New Roman" w:hAnsi="Times New Roman" w:eastAsia="仿宋_GB2312" w:cs="Times New Roman"/>
          <w:color w:val="auto"/>
          <w:sz w:val="32"/>
          <w:szCs w:val="32"/>
        </w:rPr>
        <w:t>分级分类企业服务体系</w:t>
      </w:r>
      <w:r>
        <w:rPr>
          <w:rFonts w:hint="default" w:ascii="Times New Roman" w:hAnsi="Times New Roman" w:eastAsia="仿宋_GB2312" w:cs="Times New Roman"/>
          <w:color w:val="auto"/>
          <w:sz w:val="32"/>
          <w:szCs w:val="32"/>
          <w:lang w:eastAsia="zh-CN"/>
        </w:rPr>
        <w:t>，推出</w:t>
      </w:r>
      <w:r>
        <w:rPr>
          <w:rFonts w:hint="default" w:ascii="Times New Roman" w:hAnsi="Times New Roman" w:eastAsia="仿宋_GB2312" w:cs="Times New Roman"/>
          <w:b w:val="0"/>
          <w:bCs/>
          <w:color w:val="auto"/>
          <w:sz w:val="32"/>
          <w:szCs w:val="32"/>
          <w:highlight w:val="none"/>
        </w:rPr>
        <w:t>标准化、专业化、特色化服务清单</w:t>
      </w:r>
      <w:r>
        <w:rPr>
          <w:rFonts w:hint="default" w:ascii="Times New Roman" w:hAnsi="Times New Roman" w:eastAsia="仿宋_GB2312" w:cs="Times New Roman"/>
          <w:b w:val="0"/>
          <w:bCs/>
          <w:color w:val="auto"/>
          <w:sz w:val="32"/>
          <w:szCs w:val="32"/>
          <w:highlight w:val="none"/>
          <w:lang w:val="en-US" w:eastAsia="zh-CN"/>
        </w:rPr>
        <w:t>20类75项；整合辖区特色资源，</w:t>
      </w:r>
      <w:r>
        <w:rPr>
          <w:rFonts w:hint="default" w:ascii="Times New Roman" w:hAnsi="Times New Roman" w:eastAsia="仿宋_GB2312" w:cs="Times New Roman"/>
          <w:color w:val="auto"/>
          <w:sz w:val="32"/>
          <w:szCs w:val="32"/>
          <w:lang w:eastAsia="zh-CN"/>
        </w:rPr>
        <w:t>为企业送上包含医疗、文化、体育的“紫金健康”大礼包，不断提升服务深度和广度；</w:t>
      </w:r>
      <w:r>
        <w:rPr>
          <w:rFonts w:hint="default" w:ascii="Times New Roman" w:hAnsi="Times New Roman" w:eastAsia="仿宋_GB2312" w:cs="Times New Roman"/>
          <w:b w:val="0"/>
          <w:color w:val="auto"/>
          <w:sz w:val="32"/>
          <w:szCs w:val="32"/>
          <w:highlight w:val="none"/>
          <w:lang w:val="en-US" w:eastAsia="zh-CN"/>
        </w:rPr>
        <w:t>依托东城特色公共文化空间，组织开展</w:t>
      </w:r>
      <w:r>
        <w:rPr>
          <w:rFonts w:hint="eastAsia" w:ascii="Times New Roman" w:hAnsi="Times New Roman" w:eastAsia="仿宋_GB2312" w:cs="Times New Roman"/>
          <w:b w:val="0"/>
          <w:color w:val="auto"/>
          <w:sz w:val="32"/>
          <w:szCs w:val="32"/>
          <w:highlight w:val="none"/>
          <w:lang w:val="en-US" w:eastAsia="zh-CN"/>
        </w:rPr>
        <w:t>11</w:t>
      </w:r>
      <w:r>
        <w:rPr>
          <w:rFonts w:hint="default" w:ascii="Times New Roman" w:hAnsi="Times New Roman" w:eastAsia="仿宋_GB2312" w:cs="Times New Roman"/>
          <w:b w:val="0"/>
          <w:color w:val="auto"/>
          <w:sz w:val="32"/>
          <w:szCs w:val="32"/>
          <w:highlight w:val="none"/>
          <w:lang w:val="en-US" w:eastAsia="zh-CN"/>
        </w:rPr>
        <w:t>期“故宫以东·政企会客厅”交流活动，搭建政企交流平台</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2022</w:t>
      </w:r>
      <w:r>
        <w:rPr>
          <w:rFonts w:hint="default" w:ascii="Times New Roman" w:hAnsi="Times New Roman" w:eastAsia="黑体" w:cs="Times New Roman"/>
          <w:color w:val="auto"/>
          <w:kern w:val="0"/>
          <w:sz w:val="32"/>
          <w:szCs w:val="32"/>
        </w:rPr>
        <w:t>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（一）我委执法工作存在的不足</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我委</w:t>
      </w:r>
      <w:r>
        <w:rPr>
          <w:rFonts w:hint="eastAsia" w:ascii="仿宋_GB2312" w:hAnsi="仿宋_GB2312" w:eastAsia="仿宋_GB2312" w:cs="仿宋_GB2312"/>
          <w:color w:val="auto"/>
          <w:sz w:val="32"/>
          <w:szCs w:val="32"/>
        </w:rPr>
        <w:t>按照“谁审批谁监管，谁主管谁监管”的原则，</w:t>
      </w:r>
      <w:r>
        <w:rPr>
          <w:rFonts w:hint="eastAsia" w:ascii="仿宋_GB2312" w:hAnsi="仿宋_GB2312" w:eastAsia="仿宋_GB2312" w:cs="仿宋_GB2312"/>
          <w:color w:val="auto"/>
          <w:sz w:val="32"/>
          <w:szCs w:val="32"/>
          <w:lang w:eastAsia="zh-CN"/>
        </w:rPr>
        <w:t>开展的行政执法工作局限于各类审批事项执法，造成部分执法考核指标不能完成。</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缺乏专业性执法的队伍，现有的执法工作由各业务科室中有执法资格人员承担，既忙于本科室业务工作，又要承担每月执法任务，不利于执法工作的开展。</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lang w:val="en-US" w:eastAsia="zh-CN"/>
        </w:rPr>
        <w:t>我委牵头的持续优化营商环境工作的不足</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东城区优化营商环境工作虽然取得了新成效，但世行新评价指标体系有新内容、新标准、新要求，对标新形势和新指标体系，与国际先进水平、与广大企业和群众的期望相比，还存在一定的差距，还需要不断学习，结合我区实际持续改革，提升企业满意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2022年党政主要负责人履行推进法治建设第一责任人职责，加强法治政府建设的有关情况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（一）按要求编制东城区法治政府建设示范创建实地迎检单位领导谈话提纲材料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方正小标宋简体" w:hAnsi="方正小标宋简体" w:eastAsia="方正小标宋简体" w:cs="方正小标宋简体"/>
          <w:color w:val="auto"/>
          <w:sz w:val="32"/>
          <w:szCs w:val="32"/>
          <w:lang w:eastAsia="zh-CN"/>
        </w:rPr>
      </w:pPr>
      <w:r>
        <w:rPr>
          <w:rFonts w:hint="eastAsia" w:ascii="Times New Roman" w:hAnsi="Times New Roman" w:eastAsia="仿宋_GB2312" w:cs="Times New Roman"/>
          <w:color w:val="auto"/>
          <w:kern w:val="0"/>
          <w:sz w:val="32"/>
          <w:szCs w:val="32"/>
          <w:lang w:eastAsia="zh-CN"/>
        </w:rPr>
        <w:t>区发改委</w:t>
      </w:r>
      <w:r>
        <w:rPr>
          <w:rFonts w:hint="eastAsia" w:ascii="Times New Roman" w:hAnsi="Times New Roman" w:eastAsia="仿宋_GB2312" w:cs="Times New Roman"/>
          <w:color w:val="auto"/>
          <w:sz w:val="32"/>
          <w:szCs w:val="32"/>
          <w:lang w:val="en-US" w:eastAsia="zh-CN"/>
        </w:rPr>
        <w:t>党政主要负责人</w:t>
      </w:r>
      <w:r>
        <w:rPr>
          <w:rFonts w:hint="default" w:ascii="Times New Roman" w:hAnsi="Times New Roman" w:eastAsia="仿宋_GB2312" w:cs="Times New Roman"/>
          <w:color w:val="auto"/>
          <w:sz w:val="32"/>
          <w:szCs w:val="32"/>
          <w:lang w:val="en-US" w:eastAsia="zh-CN"/>
        </w:rPr>
        <w:t>严格落实党政主要负责人履行推进法治建设第一责任人职责。</w:t>
      </w:r>
      <w:r>
        <w:rPr>
          <w:rFonts w:hint="eastAsia" w:ascii="Times New Roman" w:hAnsi="Times New Roman" w:eastAsia="仿宋_GB2312" w:cs="Times New Roman"/>
          <w:color w:val="auto"/>
          <w:sz w:val="32"/>
          <w:szCs w:val="32"/>
          <w:vertAlign w:val="baseline"/>
          <w:lang w:val="en-US" w:eastAsia="zh-CN"/>
        </w:rPr>
        <w:t>学习贯彻落实习近平法治思想、党中央关于全面依法治国的重大决策部署，</w:t>
      </w:r>
      <w:r>
        <w:rPr>
          <w:rFonts w:hint="default" w:ascii="Times New Roman" w:hAnsi="Times New Roman" w:eastAsia="仿宋_GB2312" w:cs="Times New Roman"/>
          <w:color w:val="auto"/>
          <w:sz w:val="32"/>
          <w:szCs w:val="32"/>
          <w:lang w:val="en-US" w:eastAsia="zh-CN"/>
        </w:rPr>
        <w:t>坚持将法治工作纳入年度工作计划与全委重点任务共同部署，</w:t>
      </w:r>
      <w:r>
        <w:rPr>
          <w:rFonts w:hint="eastAsia" w:ascii="Times New Roman" w:hAnsi="Times New Roman" w:eastAsia="仿宋_GB2312" w:cs="Times New Roman"/>
          <w:color w:val="auto"/>
          <w:sz w:val="32"/>
          <w:szCs w:val="32"/>
          <w:vertAlign w:val="baseline"/>
          <w:lang w:val="en-US" w:eastAsia="zh-CN"/>
        </w:rPr>
        <w:t>推动落实年度法治建设工作要点及重点工作任务，</w:t>
      </w:r>
      <w:r>
        <w:rPr>
          <w:rFonts w:hint="default" w:ascii="Times New Roman" w:hAnsi="Times New Roman" w:eastAsia="仿宋_GB2312" w:cs="Times New Roman"/>
          <w:color w:val="auto"/>
          <w:sz w:val="32"/>
          <w:szCs w:val="32"/>
          <w:lang w:val="en-US" w:eastAsia="zh-CN"/>
        </w:rPr>
        <w:t>对法治建设重点任务亲自过问和督办，定期听取有关工作汇报，及时研究解决有关重大问题，积极发挥示范引领作用，带头尊法学法守法用法，推动全委切实形成</w:t>
      </w:r>
      <w:r>
        <w:rPr>
          <w:rFonts w:hint="eastAsia" w:ascii="Times New Roman" w:hAnsi="Times New Roman" w:eastAsia="仿宋_GB2312" w:cs="Times New Roman"/>
          <w:color w:val="auto"/>
          <w:sz w:val="32"/>
          <w:szCs w:val="32"/>
          <w:lang w:val="en-US" w:eastAsia="zh-CN"/>
        </w:rPr>
        <w:t>党政主要负责人总体</w:t>
      </w:r>
      <w:r>
        <w:rPr>
          <w:rFonts w:hint="default" w:ascii="Times New Roman" w:hAnsi="Times New Roman" w:eastAsia="仿宋_GB2312" w:cs="Times New Roman"/>
          <w:color w:val="auto"/>
          <w:sz w:val="32"/>
          <w:szCs w:val="32"/>
          <w:lang w:val="en-US" w:eastAsia="zh-CN"/>
        </w:rPr>
        <w:t>抓，分管领导具体抓的法治建设的工作格局。</w:t>
      </w:r>
      <w:r>
        <w:rPr>
          <w:rFonts w:hint="eastAsia" w:ascii="Times New Roman" w:hAnsi="Times New Roman" w:eastAsia="仿宋_GB2312" w:cs="Times New Roman"/>
          <w:color w:val="auto"/>
          <w:sz w:val="32"/>
          <w:szCs w:val="32"/>
          <w:vertAlign w:val="baseline"/>
          <w:lang w:val="en-US" w:eastAsia="zh-CN"/>
        </w:rPr>
        <w:t>积极落实干部学法用法制度，提高法治素养和依法履职能力。</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 w:hAnsi="楷体" w:eastAsia="楷体" w:cs="楷体"/>
          <w:color w:val="auto"/>
          <w:sz w:val="32"/>
          <w:szCs w:val="32"/>
          <w:lang w:eastAsia="zh-CN"/>
        </w:rPr>
      </w:pPr>
      <w:r>
        <w:rPr>
          <w:rFonts w:hint="eastAsia" w:ascii="楷体_GB2312" w:hAnsi="楷体_GB2312" w:eastAsia="楷体_GB2312" w:cs="楷体_GB2312"/>
          <w:color w:val="auto"/>
          <w:sz w:val="32"/>
          <w:szCs w:val="32"/>
          <w:lang w:eastAsia="zh-CN"/>
        </w:rPr>
        <w:t>（二）拟定</w:t>
      </w:r>
      <w:r>
        <w:rPr>
          <w:rFonts w:hint="eastAsia" w:ascii="楷体_GB2312" w:hAnsi="楷体_GB2312" w:eastAsia="楷体_GB2312" w:cs="楷体_GB2312"/>
          <w:color w:val="auto"/>
          <w:sz w:val="32"/>
          <w:szCs w:val="32"/>
          <w:vertAlign w:val="baseline"/>
          <w:lang w:val="en-US" w:eastAsia="zh-CN"/>
        </w:rPr>
        <w:t>东城区发改委</w:t>
      </w:r>
      <w:r>
        <w:rPr>
          <w:rFonts w:hint="eastAsia" w:ascii="楷体_GB2312" w:hAnsi="楷体_GB2312" w:eastAsia="楷体_GB2312" w:cs="楷体_GB2312"/>
          <w:color w:val="auto"/>
          <w:sz w:val="32"/>
          <w:szCs w:val="32"/>
          <w:lang w:val="en-US" w:eastAsia="zh-CN"/>
        </w:rPr>
        <w:t>述法清单内容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区发改委拟定党组书记、主任的述法清单分为六项内容：</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val="en-US" w:eastAsia="zh-CN"/>
        </w:rPr>
        <w:t>积极履行推进法治建设第一责任人职责。学习贯彻落实习近平法治思想、党中央关于全面依法治国的重大决策部署。</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推动落实年度法治建设工作要点及重点工作任务。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严格执行重大行政决策法定程序、发挥法律顾问作用，落实政务公开工作。</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严格规范执法文明执法，提高执法人员的法治素养和依法履职能力。</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认真落实行政机关负责人出庭应诉工作规则、严格执行法院生效判决。</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积极落实干部学法用法制度，全面落实“谁执法谁普法”的普法责任制。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（三）按要求填报</w:t>
      </w:r>
      <w:r>
        <w:rPr>
          <w:rFonts w:hint="eastAsia" w:ascii="楷体_GB2312" w:hAnsi="楷体_GB2312" w:eastAsia="楷体_GB2312" w:cs="楷体_GB2312"/>
          <w:color w:val="auto"/>
          <w:sz w:val="32"/>
          <w:szCs w:val="32"/>
          <w:vertAlign w:val="baseline"/>
          <w:lang w:val="en-US" w:eastAsia="zh-CN"/>
        </w:rPr>
        <w:t>东城区发改委</w:t>
      </w:r>
      <w:r>
        <w:rPr>
          <w:rFonts w:hint="eastAsia" w:ascii="楷体_GB2312" w:hAnsi="楷体_GB2312" w:eastAsia="楷体_GB2312" w:cs="楷体_GB2312"/>
          <w:color w:val="auto"/>
          <w:sz w:val="32"/>
          <w:szCs w:val="32"/>
          <w:lang w:val="en-US" w:eastAsia="zh-CN"/>
        </w:rPr>
        <w:t>述法工作情况</w:t>
      </w:r>
      <w:r>
        <w:rPr>
          <w:rFonts w:hint="eastAsia" w:ascii="楷体_GB2312" w:hAnsi="楷体_GB2312" w:eastAsia="楷体_GB2312" w:cs="楷体_GB2312"/>
          <w:color w:val="auto"/>
          <w:sz w:val="32"/>
          <w:szCs w:val="32"/>
          <w:lang w:eastAsia="zh-CN"/>
        </w:rPr>
        <w:t>材料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仿宋_GB2312" w:hAnsi="仿宋_GB2312" w:eastAsia="仿宋_GB2312" w:cs="仿宋_GB2312"/>
          <w:color w:val="auto"/>
          <w:sz w:val="32"/>
          <w:szCs w:val="32"/>
          <w:lang w:val="en-US" w:eastAsia="zh-CN"/>
        </w:rPr>
        <w:t>区发改委党组书记</w:t>
      </w:r>
      <w:r>
        <w:rPr>
          <w:rFonts w:hint="default" w:ascii="仿宋_GB2312" w:hAnsi="仿宋_GB2312" w:eastAsia="仿宋_GB2312" w:cs="仿宋_GB2312"/>
          <w:color w:val="auto"/>
          <w:sz w:val="32"/>
          <w:szCs w:val="32"/>
          <w:lang w:val="en-US" w:eastAsia="zh-CN"/>
        </w:rPr>
        <w:t>、主任</w:t>
      </w:r>
      <w:r>
        <w:rPr>
          <w:rFonts w:hint="eastAsia" w:ascii="仿宋_GB2312" w:hAnsi="仿宋_GB2312" w:eastAsia="仿宋_GB2312" w:cs="仿宋_GB2312"/>
          <w:color w:val="auto"/>
          <w:sz w:val="32"/>
          <w:szCs w:val="32"/>
          <w:lang w:val="en-US" w:eastAsia="zh-CN"/>
        </w:rPr>
        <w:t xml:space="preserve">积极履行推进法治建设第一责任人职责。开展述法工作，将学习贯彻落实习近平法治思想、党中央关于全面依法治国的重大决策部署，推动落实年度法治建设工作要点及重点工作任务，积极落实干部学法用法制度，提高法治素养和依法履职能力等述法内容，在党组述职会议上公开述法，并将述法内容纳入述职报告中，在本单位予以公示。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2023年推进法治政府建设的主要安排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（一）执法工作的下一步安排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sz w:val="32"/>
          <w:szCs w:val="32"/>
          <w:lang w:val="en-US" w:eastAsia="zh-CN"/>
        </w:rPr>
        <w:t>2023</w:t>
      </w:r>
      <w:r>
        <w:rPr>
          <w:rFonts w:hint="eastAsia" w:ascii="仿宋_GB2312" w:hAnsi="仿宋_GB2312" w:eastAsia="仿宋_GB2312" w:cs="仿宋_GB2312"/>
          <w:b w:val="0"/>
          <w:bCs w:val="0"/>
          <w:i w:val="0"/>
          <w:iCs w:val="0"/>
          <w:color w:val="auto"/>
          <w:sz w:val="32"/>
          <w:szCs w:val="32"/>
          <w:lang w:val="en-US" w:eastAsia="zh-CN"/>
        </w:rPr>
        <w:t>年</w:t>
      </w:r>
      <w:r>
        <w:rPr>
          <w:rFonts w:hint="eastAsia" w:ascii="仿宋_GB2312" w:hAnsi="仿宋_GB2312" w:eastAsia="仿宋_GB2312" w:cs="仿宋_GB2312"/>
          <w:b w:val="0"/>
          <w:bCs w:val="0"/>
          <w:i w:val="0"/>
          <w:iCs w:val="0"/>
          <w:color w:val="auto"/>
          <w:sz w:val="32"/>
          <w:szCs w:val="32"/>
          <w:lang w:eastAsia="zh-CN"/>
        </w:rPr>
        <w:t>我委的本部门执法工作继续按照</w:t>
      </w:r>
      <w:r>
        <w:rPr>
          <w:rFonts w:hint="eastAsia" w:ascii="仿宋_GB2312" w:hAnsi="仿宋_GB2312" w:eastAsia="仿宋_GB2312" w:cs="仿宋_GB2312"/>
          <w:color w:val="auto"/>
          <w:sz w:val="32"/>
          <w:szCs w:val="32"/>
        </w:rPr>
        <w:t>“谁审批谁监管，谁主管谁监管”的原则</w:t>
      </w:r>
      <w:r>
        <w:rPr>
          <w:rFonts w:hint="eastAsia" w:ascii="仿宋_GB2312" w:hAnsi="仿宋_GB2312" w:eastAsia="仿宋_GB2312" w:cs="仿宋_GB2312"/>
          <w:color w:val="auto"/>
          <w:sz w:val="32"/>
          <w:szCs w:val="32"/>
          <w:lang w:eastAsia="zh-CN"/>
        </w:rPr>
        <w:t>开展，由</w:t>
      </w:r>
      <w:r>
        <w:rPr>
          <w:rFonts w:hint="eastAsia" w:ascii="仿宋_GB2312" w:hAnsi="仿宋_GB2312" w:eastAsia="仿宋_GB2312" w:cs="仿宋_GB2312"/>
          <w:b w:val="0"/>
          <w:bCs w:val="0"/>
          <w:i w:val="0"/>
          <w:iCs w:val="0"/>
          <w:color w:val="auto"/>
          <w:sz w:val="32"/>
          <w:szCs w:val="32"/>
          <w:lang w:eastAsia="zh-CN"/>
        </w:rPr>
        <w:t>有执法资格的人员共同完成。并针对今年部分执法人员工作调动的情况造成执法人员减少，拟在明年组织部分符合条件人员参加行政执法资格考试，以补充我委执法人员的队伍。继续按照区市场监管局的工作要求，开展跨部门联合执法工作，力争完成执法考评指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sz w:val="32"/>
          <w:szCs w:val="32"/>
          <w:lang w:val="en-US" w:eastAsia="zh-CN"/>
        </w:rPr>
        <w:t>我委牵头的持续优化营商环境工作的下一步安排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一是加快推动各领域改革任务落地。</w:t>
      </w:r>
      <w:r>
        <w:rPr>
          <w:rFonts w:hint="default" w:ascii="Times New Roman" w:hAnsi="Times New Roman" w:eastAsia="仿宋_GB2312" w:cs="Times New Roman"/>
          <w:color w:val="auto"/>
          <w:sz w:val="32"/>
          <w:szCs w:val="32"/>
          <w:lang w:eastAsia="zh-CN"/>
        </w:rPr>
        <w:t>按照改革时间表和路线图倒排工期、挂图作战、靠前推动，确保所有改革任务均按期完成。持续推动降低市场主体制度性交易成本相关工作任务落实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结合我区定位和特点，细化改革场景，探索通过小切口推动形成大突破，通过打造我区场景应用上的特色、亮点及改革经验。</w:t>
      </w:r>
      <w:r>
        <w:rPr>
          <w:rFonts w:hint="default" w:ascii="Times New Roman" w:hAnsi="Times New Roman" w:eastAsia="仿宋_GB2312" w:cs="Times New Roman"/>
          <w:b/>
          <w:bCs/>
          <w:color w:val="auto"/>
          <w:sz w:val="32"/>
          <w:szCs w:val="32"/>
          <w:lang w:eastAsia="zh-CN"/>
        </w:rPr>
        <w:t>二是全力做好迎接世行新评价工作。</w:t>
      </w:r>
      <w:r>
        <w:rPr>
          <w:rFonts w:hint="default" w:ascii="Times New Roman" w:hAnsi="Times New Roman" w:eastAsia="仿宋_GB2312" w:cs="Times New Roman"/>
          <w:color w:val="auto"/>
          <w:sz w:val="32"/>
          <w:szCs w:val="32"/>
          <w:lang w:eastAsia="zh-CN"/>
        </w:rPr>
        <w:t>持续深入学习研究新评价指标体系，进一步对标国际规则，学习借鉴先进经验。配齐配强骨干力量，进一步优化窗口人员服务。强化对内对外政策宣传培训，分批次开展精准政策解读，确保企业了解政策、用好政策、享受政策。</w:t>
      </w:r>
      <w:r>
        <w:rPr>
          <w:rFonts w:hint="default" w:ascii="Times New Roman" w:hAnsi="Times New Roman" w:eastAsia="仿宋_GB2312" w:cs="Times New Roman"/>
          <w:b/>
          <w:bCs/>
          <w:color w:val="auto"/>
          <w:sz w:val="32"/>
          <w:szCs w:val="32"/>
          <w:lang w:eastAsia="zh-CN"/>
        </w:rPr>
        <w:t>三是不断提升营商环境企业满意度。</w:t>
      </w:r>
      <w:r>
        <w:rPr>
          <w:rFonts w:hint="default" w:ascii="Times New Roman" w:hAnsi="Times New Roman" w:eastAsia="仿宋_GB2312" w:cs="Times New Roman"/>
          <w:color w:val="auto"/>
          <w:sz w:val="32"/>
          <w:szCs w:val="32"/>
          <w:lang w:eastAsia="zh-CN"/>
        </w:rPr>
        <w:t>坚持问题导向，持续深化反映“办不成事”问题机制，联合第三方机构适时开展企业满意度调查，发挥好</w:t>
      </w:r>
      <w:r>
        <w:rPr>
          <w:rFonts w:hint="eastAsia" w:ascii="Times New Roman" w:hAnsi="Times New Roman" w:eastAsia="仿宋_GB2312" w:cs="Times New Roman"/>
          <w:color w:val="auto"/>
          <w:sz w:val="32"/>
          <w:szCs w:val="32"/>
          <w:lang w:eastAsia="zh-CN"/>
        </w:rPr>
        <w:t>营商环境特邀监督员和</w:t>
      </w:r>
      <w:r>
        <w:rPr>
          <w:rFonts w:hint="default" w:ascii="Times New Roman" w:hAnsi="Times New Roman" w:eastAsia="仿宋_GB2312" w:cs="Times New Roman"/>
          <w:color w:val="auto"/>
          <w:sz w:val="32"/>
          <w:szCs w:val="32"/>
          <w:lang w:eastAsia="zh-CN"/>
        </w:rPr>
        <w:t>政务服务体验官作用，拓宽社会监督渠道、完善监督体系，持续推动流程优化、作风转变，切实打通政策落地“最后一公里”，不断提升企业获得感、满意度。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黑体" w:cs="Times New Roman"/>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000000"/>
    <w:rsid w:val="05733499"/>
    <w:rsid w:val="0D9B4DC7"/>
    <w:rsid w:val="1A2C295F"/>
    <w:rsid w:val="2B0E2CD9"/>
    <w:rsid w:val="300C2650"/>
    <w:rsid w:val="30AE0321"/>
    <w:rsid w:val="34DF4A57"/>
    <w:rsid w:val="4C1E484F"/>
    <w:rsid w:val="4E38463B"/>
    <w:rsid w:val="52D44885"/>
    <w:rsid w:val="55DC695B"/>
    <w:rsid w:val="57DA0DFF"/>
    <w:rsid w:val="63196E01"/>
    <w:rsid w:val="6F296F5D"/>
    <w:rsid w:val="7C17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qFormat/>
    <w:uiPriority w:val="0"/>
    <w:pPr>
      <w:outlineLvl w:val="1"/>
    </w:pPr>
    <w:rPr>
      <w:b/>
      <w:bCs/>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rPr>
      <w:rFonts w:ascii="Calibri" w:hAnsi="Calibri" w:eastAsia="宋体" w:cs="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5349</Words>
  <Characters>5512</Characters>
  <Paragraphs>52</Paragraphs>
  <TotalTime>0</TotalTime>
  <ScaleCrop>false</ScaleCrop>
  <LinksUpToDate>false</LinksUpToDate>
  <CharactersWithSpaces>5556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2022-11-21T06:10:00Z</dcterms:created>
  <dc:creator>姜鹏</dc:creator>
  <cp:lastModifiedBy>名字不重要</cp:lastModifiedBy>
  <dcterms:modified xsi:type="dcterms:W3CDTF">2023-08-18T08:00:41Z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97057e25f6494123ad4877cc91e586e8</vt:lpwstr>
  </property>
</Properties>
</file>