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hint="eastAsia" w:ascii="方正小标宋简体" w:hAnsi="黑体" w:eastAsia="方正小标宋简体"/>
          <w:sz w:val="44"/>
          <w:szCs w:val="44"/>
        </w:rPr>
      </w:pPr>
      <w:r>
        <w:rPr>
          <w:rFonts w:hint="eastAsia" w:ascii="方正小标宋简体" w:hAnsi="黑体" w:eastAsia="方正小标宋简体"/>
          <w:sz w:val="44"/>
          <w:szCs w:val="44"/>
          <w:lang w:eastAsia="zh-CN"/>
        </w:rPr>
        <w:t>东城</w:t>
      </w:r>
      <w:r>
        <w:rPr>
          <w:rFonts w:hint="eastAsia" w:ascii="方正小标宋简体" w:hAnsi="黑体" w:eastAsia="方正小标宋简体"/>
          <w:sz w:val="44"/>
          <w:szCs w:val="44"/>
        </w:rPr>
        <w:t>区信访办</w:t>
      </w:r>
    </w:p>
    <w:p>
      <w:pPr>
        <w:spacing w:line="540" w:lineRule="exact"/>
        <w:jc w:val="center"/>
        <w:rPr>
          <w:rFonts w:ascii="方正小标宋简体" w:hAnsi="黑体" w:eastAsia="方正小标宋简体"/>
          <w:sz w:val="44"/>
          <w:szCs w:val="44"/>
        </w:rPr>
      </w:pPr>
      <w:r>
        <w:rPr>
          <w:rFonts w:hint="eastAsia" w:ascii="方正小标宋简体" w:hAnsi="黑体" w:eastAsia="方正小标宋简体"/>
          <w:sz w:val="44"/>
          <w:szCs w:val="44"/>
        </w:rPr>
        <w:t>2022年法治政府建设</w:t>
      </w:r>
      <w:r>
        <w:rPr>
          <w:rFonts w:hint="eastAsia" w:ascii="方正小标宋简体" w:hAnsi="黑体" w:eastAsia="方正小标宋简体"/>
          <w:sz w:val="44"/>
          <w:szCs w:val="44"/>
          <w:lang w:eastAsia="zh-CN"/>
        </w:rPr>
        <w:t>年度</w:t>
      </w:r>
      <w:r>
        <w:rPr>
          <w:rFonts w:hint="eastAsia" w:ascii="方正小标宋简体" w:hAnsi="黑体" w:eastAsia="方正小标宋简体"/>
          <w:sz w:val="44"/>
          <w:szCs w:val="44"/>
        </w:rPr>
        <w:t>情况报告</w:t>
      </w:r>
    </w:p>
    <w:p>
      <w:pPr>
        <w:spacing w:line="540" w:lineRule="exact"/>
        <w:ind w:firstLine="640" w:firstLineChars="200"/>
        <w:rPr>
          <w:rFonts w:ascii="黑体" w:hAnsi="黑体" w:eastAsia="黑体"/>
          <w:sz w:val="32"/>
          <w:szCs w:val="32"/>
        </w:rPr>
      </w:pPr>
    </w:p>
    <w:p>
      <w:pPr>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2022年，区信访办认真贯彻落实习近平新时代中国特色社会主义思想和法治思想，牢记“为民解难、为党分忧”的政治责任，学习宣传贯彻落实新出台的《信访工作条例》，大力推进信访法治化建设，主要工作总结如下：</w:t>
      </w:r>
      <w:r>
        <w:rPr>
          <w:rFonts w:ascii="仿宋_GB2312" w:hAnsi="黑体" w:eastAsia="仿宋_GB2312"/>
          <w:sz w:val="32"/>
          <w:szCs w:val="32"/>
        </w:rPr>
        <w:t xml:space="preserve"> </w:t>
      </w:r>
    </w:p>
    <w:p>
      <w:pPr>
        <w:spacing w:line="540" w:lineRule="exact"/>
        <w:ind w:left="640"/>
        <w:rPr>
          <w:rFonts w:ascii="黑体" w:hAnsi="黑体" w:eastAsia="黑体"/>
          <w:sz w:val="32"/>
          <w:szCs w:val="32"/>
        </w:rPr>
      </w:pPr>
      <w:r>
        <w:rPr>
          <w:rFonts w:hint="eastAsia" w:ascii="黑体" w:hAnsi="黑体" w:eastAsia="黑体"/>
          <w:sz w:val="32"/>
          <w:szCs w:val="32"/>
        </w:rPr>
        <w:t>一、</w:t>
      </w:r>
      <w:r>
        <w:rPr>
          <w:rFonts w:hint="eastAsia" w:ascii="黑体" w:hAnsi="黑体" w:eastAsia="黑体"/>
          <w:sz w:val="32"/>
          <w:szCs w:val="32"/>
          <w:lang w:val="en-US" w:eastAsia="zh-CN"/>
        </w:rPr>
        <w:t>2022年</w:t>
      </w:r>
      <w:r>
        <w:rPr>
          <w:rFonts w:hint="eastAsia" w:ascii="黑体" w:hAnsi="黑体" w:eastAsia="黑体"/>
          <w:sz w:val="32"/>
          <w:szCs w:val="32"/>
        </w:rPr>
        <w:t>法治政府建设的主要举措和成效</w:t>
      </w:r>
    </w:p>
    <w:p>
      <w:pPr>
        <w:spacing w:line="560" w:lineRule="exact"/>
        <w:ind w:firstLine="640" w:firstLineChars="200"/>
        <w:rPr>
          <w:rFonts w:ascii="仿宋_GB2312" w:eastAsia="仿宋_GB2312"/>
          <w:sz w:val="32"/>
          <w:szCs w:val="32"/>
        </w:rPr>
      </w:pPr>
      <w:r>
        <w:rPr>
          <w:rFonts w:hint="eastAsia" w:ascii="楷体_GB2312" w:hAnsi="黑体" w:eastAsia="楷体_GB2312"/>
          <w:color w:val="000000" w:themeColor="text1"/>
          <w:sz w:val="32"/>
          <w:szCs w:val="32"/>
          <w14:textFill>
            <w14:solidFill>
              <w14:schemeClr w14:val="tx1"/>
            </w14:solidFill>
          </w14:textFill>
        </w:rPr>
        <w:t>（一）</w:t>
      </w:r>
      <w:r>
        <w:rPr>
          <w:rFonts w:hint="eastAsia" w:ascii="楷体_GB2312" w:eastAsia="楷体_GB2312"/>
          <w:sz w:val="32"/>
          <w:szCs w:val="32"/>
        </w:rPr>
        <w:t>深入学习宣传习近平法治思想</w:t>
      </w:r>
    </w:p>
    <w:p>
      <w:pPr>
        <w:spacing w:line="540" w:lineRule="exact"/>
        <w:ind w:firstLine="640" w:firstLineChars="200"/>
        <w:rPr>
          <w:rFonts w:ascii="仿宋_GB2312" w:hAnsi="黑体" w:eastAsia="仿宋_GB2312"/>
          <w:color w:val="000000" w:themeColor="text1"/>
          <w:sz w:val="32"/>
          <w:szCs w:val="32"/>
          <w14:textFill>
            <w14:solidFill>
              <w14:schemeClr w14:val="tx1"/>
            </w14:solidFill>
          </w14:textFill>
        </w:rPr>
      </w:pPr>
      <w:r>
        <w:rPr>
          <w:rFonts w:hint="eastAsia" w:ascii="仿宋_GB2312" w:hAnsi="黑体" w:eastAsia="仿宋_GB2312"/>
          <w:color w:val="000000" w:themeColor="text1"/>
          <w:sz w:val="32"/>
          <w:szCs w:val="32"/>
          <w14:textFill>
            <w14:solidFill>
              <w14:schemeClr w14:val="tx1"/>
            </w14:solidFill>
          </w14:textFill>
        </w:rPr>
        <w:t>区信访办理论学习中心组和党支部先</w:t>
      </w:r>
      <w:bookmarkStart w:id="0" w:name="_GoBack"/>
      <w:bookmarkEnd w:id="0"/>
      <w:r>
        <w:rPr>
          <w:rFonts w:hint="eastAsia" w:ascii="仿宋_GB2312" w:hAnsi="黑体" w:eastAsia="仿宋_GB2312"/>
          <w:color w:val="000000" w:themeColor="text1"/>
          <w:sz w:val="32"/>
          <w:szCs w:val="32"/>
          <w14:textFill>
            <w14:solidFill>
              <w14:schemeClr w14:val="tx1"/>
            </w14:solidFill>
          </w14:textFill>
        </w:rPr>
        <w:t>后4次学习研讨《习近平法治思想学习纲要》，掌握了全面依法治国必须遵循的政治准绳，丰富了领导干部依法执政理念，运用法治思维和法治方式深化信访工作制度改革、化解社会矛盾维护稳定及防范应对风险的能力。</w:t>
      </w:r>
    </w:p>
    <w:p>
      <w:pPr>
        <w:spacing w:line="560" w:lineRule="exact"/>
        <w:ind w:firstLine="640" w:firstLineChars="200"/>
        <w:rPr>
          <w:rFonts w:ascii="楷体_GB2312" w:hAnsi="黑体" w:eastAsia="楷体_GB2312"/>
          <w:color w:val="000000" w:themeColor="text1"/>
          <w:sz w:val="32"/>
          <w:szCs w:val="32"/>
          <w14:textFill>
            <w14:solidFill>
              <w14:schemeClr w14:val="tx1"/>
            </w14:solidFill>
          </w14:textFill>
        </w:rPr>
      </w:pPr>
      <w:r>
        <w:rPr>
          <w:rFonts w:hint="eastAsia" w:ascii="楷体_GB2312" w:hAnsi="黑体" w:eastAsia="楷体_GB2312"/>
          <w:color w:val="000000" w:themeColor="text1"/>
          <w:sz w:val="32"/>
          <w:szCs w:val="32"/>
          <w14:textFill>
            <w14:solidFill>
              <w14:schemeClr w14:val="tx1"/>
            </w14:solidFill>
          </w14:textFill>
        </w:rPr>
        <w:t>（二）圆满完成各项维稳保障任务</w:t>
      </w:r>
    </w:p>
    <w:p>
      <w:pPr>
        <w:spacing w:line="540" w:lineRule="exact"/>
        <w:ind w:firstLine="640" w:firstLineChars="200"/>
        <w:rPr>
          <w:rFonts w:ascii="仿宋_GB2312" w:hAnsi="黑体" w:eastAsia="仿宋_GB2312"/>
          <w:color w:val="000000" w:themeColor="text1"/>
          <w:sz w:val="32"/>
          <w:szCs w:val="32"/>
          <w14:textFill>
            <w14:solidFill>
              <w14:schemeClr w14:val="tx1"/>
            </w14:solidFill>
          </w14:textFill>
        </w:rPr>
      </w:pPr>
      <w:r>
        <w:rPr>
          <w:rFonts w:hint="eastAsia" w:ascii="仿宋_GB2312" w:hAnsi="黑体" w:eastAsia="仿宋_GB2312"/>
          <w:color w:val="000000" w:themeColor="text1"/>
          <w:sz w:val="32"/>
          <w:szCs w:val="32"/>
          <w14:textFill>
            <w14:solidFill>
              <w14:schemeClr w14:val="tx1"/>
            </w14:solidFill>
          </w14:textFill>
        </w:rPr>
        <w:t>牢固树立“东城无小事、事事连政治”的意识，区信访工作联席会议对重大活动维稳保障工作进行统一部署。组织开展各类排查11次，排查出重点矛盾纠纷16件，信访重点人139人，均全部落实责任。区信访办强化跟踪督办，重点矛盾纠纷均取得了有效推动。圆满完成了冬奥会、冬残奥会、全国两会、党的二十大等重大保障任务，特别是在党的二十大期间，主动作为、精准发力，把大量矛盾纠纷和风险隐患化解在萌芽、吸附在属地。</w:t>
      </w:r>
    </w:p>
    <w:p>
      <w:pPr>
        <w:spacing w:line="540" w:lineRule="exact"/>
        <w:ind w:firstLine="640" w:firstLineChars="200"/>
        <w:rPr>
          <w:rFonts w:ascii="楷体_GB2312" w:hAnsi="黑体" w:eastAsia="楷体_GB2312"/>
          <w:color w:val="000000" w:themeColor="text1"/>
          <w:sz w:val="32"/>
          <w:szCs w:val="32"/>
          <w14:textFill>
            <w14:solidFill>
              <w14:schemeClr w14:val="tx1"/>
            </w14:solidFill>
          </w14:textFill>
        </w:rPr>
      </w:pPr>
      <w:r>
        <w:rPr>
          <w:rFonts w:hint="eastAsia" w:ascii="楷体_GB2312" w:hAnsi="黑体" w:eastAsia="楷体_GB2312"/>
          <w:color w:val="000000" w:themeColor="text1"/>
          <w:sz w:val="32"/>
          <w:szCs w:val="32"/>
          <w14:textFill>
            <w14:solidFill>
              <w14:schemeClr w14:val="tx1"/>
            </w14:solidFill>
          </w14:textFill>
        </w:rPr>
        <w:t>（三）集中治理重复信访、化解信访积案工作取得良好成效</w:t>
      </w:r>
    </w:p>
    <w:p>
      <w:pPr>
        <w:spacing w:line="540" w:lineRule="exact"/>
        <w:ind w:firstLine="640" w:firstLineChars="200"/>
        <w:rPr>
          <w:rFonts w:ascii="仿宋_GB2312" w:hAnsi="黑体" w:eastAsia="仿宋_GB2312"/>
          <w:color w:val="000000" w:themeColor="text1"/>
          <w:sz w:val="32"/>
          <w:szCs w:val="32"/>
          <w14:textFill>
            <w14:solidFill>
              <w14:schemeClr w14:val="tx1"/>
            </w14:solidFill>
          </w14:textFill>
        </w:rPr>
      </w:pPr>
      <w:r>
        <w:rPr>
          <w:rFonts w:hint="eastAsia" w:ascii="仿宋_GB2312" w:hAnsi="黑体" w:eastAsia="仿宋_GB2312"/>
          <w:color w:val="000000" w:themeColor="text1"/>
          <w:sz w:val="32"/>
          <w:szCs w:val="32"/>
          <w14:textFill>
            <w14:solidFill>
              <w14:schemeClr w14:val="tx1"/>
            </w14:solidFill>
          </w14:textFill>
        </w:rPr>
        <w:t>指导66家单位建立基层信访联席会议，实现基层信访联席会议制度100%全覆盖。召开区级信访工作联席会议4次，审议化解重大复杂信访案件5件；召开基层联席会议78次，审议化解信访问题106件。强化“周动态、月通报、工作专报”机制，与区政府办开展联合督查，全力推进化解进度，确保了为期三年的治理重复信访、化解信访积案专项工作圆满收官，上级交办的2批551件信访积案100%按期办结上报，审核化解率97.28%，倒流率2.72%。</w:t>
      </w:r>
    </w:p>
    <w:p>
      <w:pPr>
        <w:spacing w:line="540" w:lineRule="exact"/>
        <w:ind w:firstLine="640" w:firstLineChars="200"/>
        <w:rPr>
          <w:rFonts w:ascii="楷体_GB2312" w:hAnsi="黑体" w:eastAsia="楷体_GB2312"/>
          <w:color w:val="000000" w:themeColor="text1"/>
          <w:sz w:val="32"/>
          <w:szCs w:val="32"/>
          <w14:textFill>
            <w14:solidFill>
              <w14:schemeClr w14:val="tx1"/>
            </w14:solidFill>
          </w14:textFill>
        </w:rPr>
      </w:pPr>
      <w:r>
        <w:rPr>
          <w:rFonts w:hint="eastAsia" w:ascii="楷体_GB2312" w:hAnsi="黑体" w:eastAsia="楷体_GB2312"/>
          <w:color w:val="000000" w:themeColor="text1"/>
          <w:sz w:val="32"/>
          <w:szCs w:val="32"/>
          <w14:textFill>
            <w14:solidFill>
              <w14:schemeClr w14:val="tx1"/>
            </w14:solidFill>
          </w14:textFill>
        </w:rPr>
        <w:t>（四）深化领导干部“四访”，形成上下联动、齐抓共管的工作格局</w:t>
      </w:r>
    </w:p>
    <w:p>
      <w:pPr>
        <w:spacing w:line="540" w:lineRule="exact"/>
        <w:ind w:firstLine="640" w:firstLineChars="200"/>
        <w:rPr>
          <w:rFonts w:ascii="仿宋_GB2312" w:hAnsi="黑体" w:eastAsia="仿宋_GB2312"/>
          <w:color w:val="000000" w:themeColor="text1"/>
          <w:sz w:val="32"/>
          <w:szCs w:val="32"/>
          <w14:textFill>
            <w14:solidFill>
              <w14:schemeClr w14:val="tx1"/>
            </w14:solidFill>
          </w14:textFill>
        </w:rPr>
      </w:pPr>
      <w:r>
        <w:rPr>
          <w:rFonts w:hint="eastAsia" w:ascii="仿宋_GB2312" w:hAnsi="黑体" w:eastAsia="仿宋_GB2312"/>
          <w:color w:val="000000" w:themeColor="text1"/>
          <w:sz w:val="32"/>
          <w:szCs w:val="32"/>
          <w14:textFill>
            <w14:solidFill>
              <w14:schemeClr w14:val="tx1"/>
            </w14:solidFill>
          </w14:textFill>
        </w:rPr>
        <w:t>孙新军书记、周金星区长带头接访、带头包案疑难问题，积极推动领导干部接访、约访、下访、回访制度落实落地。主管区领导到信访人家中走访2次。疫情期间创新开展线上接访模式，实现接访“零距离”。调整区级领导包案分工，由28名区领导包案46件疑难问题，区领导召开信访问题调度会70余次，接访群众40余批，包某拆迁安置、谌某某住房困难等18件历史遗留的骨头案得到妥善解决。全区处级领导认真落实周三同步接待，全年共接访944批次，推动化解各类信访问题180余件。</w:t>
      </w:r>
    </w:p>
    <w:p>
      <w:pPr>
        <w:spacing w:line="540" w:lineRule="exact"/>
        <w:ind w:firstLine="640" w:firstLineChars="200"/>
        <w:rPr>
          <w:rFonts w:ascii="楷体_GB2312" w:hAnsi="黑体" w:eastAsia="楷体_GB2312"/>
          <w:color w:val="000000" w:themeColor="text1"/>
          <w:sz w:val="32"/>
          <w:szCs w:val="32"/>
          <w14:textFill>
            <w14:solidFill>
              <w14:schemeClr w14:val="tx1"/>
            </w14:solidFill>
          </w14:textFill>
        </w:rPr>
      </w:pPr>
      <w:r>
        <w:rPr>
          <w:rFonts w:hint="eastAsia" w:ascii="楷体_GB2312" w:hAnsi="黑体" w:eastAsia="楷体_GB2312"/>
          <w:color w:val="000000" w:themeColor="text1"/>
          <w:sz w:val="32"/>
          <w:szCs w:val="32"/>
          <w14:textFill>
            <w14:solidFill>
              <w14:schemeClr w14:val="tx1"/>
            </w14:solidFill>
          </w14:textFill>
        </w:rPr>
        <w:t>（五）创新打造“信访超市”，建立矛调处置一体化平台</w:t>
      </w:r>
    </w:p>
    <w:p>
      <w:pPr>
        <w:spacing w:line="540" w:lineRule="exact"/>
        <w:ind w:firstLine="640" w:firstLineChars="200"/>
        <w:rPr>
          <w:rFonts w:ascii="仿宋_GB2312" w:hAnsi="黑体" w:eastAsia="仿宋_GB2312"/>
          <w:color w:val="000000" w:themeColor="text1"/>
          <w:sz w:val="32"/>
          <w:szCs w:val="32"/>
          <w14:textFill>
            <w14:solidFill>
              <w14:schemeClr w14:val="tx1"/>
            </w14:solidFill>
          </w14:textFill>
        </w:rPr>
      </w:pPr>
      <w:r>
        <w:rPr>
          <w:rFonts w:hint="eastAsia" w:ascii="仿宋_GB2312" w:hAnsi="黑体" w:eastAsia="仿宋_GB2312"/>
          <w:color w:val="000000" w:themeColor="text1"/>
          <w:sz w:val="32"/>
          <w:szCs w:val="32"/>
          <w14:textFill>
            <w14:solidFill>
              <w14:schemeClr w14:val="tx1"/>
            </w14:solidFill>
          </w14:textFill>
        </w:rPr>
        <w:t>完成区信访接待大厅的升级改造，使接待环境焕然一新。创新“信访超市”新模式，组织区级领导、各职能部门、各街道每周三到信访办开展联合接访，强化信访与诉讼、调解、仲裁等方式的衔接，让信访问题一站式接待、一揽子调处、链条性化解。特别是在信访接待大厅改造期间，因陋就简，在院子里搭大棚、摆桌子接访，拉近了与群众的距离。新模式让群众“只进一扇门”，就能与区领导、多个职能部门领导“见得上面、说得上话”，最终“办得了事”，实现“干部多跑路、群众少跑腿，最多访一次”的工作目标。该工作得到了市信访办的充分肯定和群众的普遍欢迎，法治日报、北京日报等新闻媒体多次进行宣传报道。</w:t>
      </w:r>
    </w:p>
    <w:p>
      <w:pPr>
        <w:spacing w:line="540" w:lineRule="exact"/>
        <w:ind w:firstLine="640" w:firstLineChars="200"/>
        <w:rPr>
          <w:rFonts w:ascii="楷体_GB2312" w:hAnsi="黑体" w:eastAsia="楷体_GB2312"/>
          <w:color w:val="000000" w:themeColor="text1"/>
          <w:sz w:val="32"/>
          <w:szCs w:val="32"/>
          <w14:textFill>
            <w14:solidFill>
              <w14:schemeClr w14:val="tx1"/>
            </w14:solidFill>
          </w14:textFill>
        </w:rPr>
      </w:pPr>
      <w:r>
        <w:rPr>
          <w:rFonts w:hint="eastAsia" w:ascii="楷体_GB2312" w:hAnsi="黑体" w:eastAsia="楷体_GB2312"/>
          <w:color w:val="000000" w:themeColor="text1"/>
          <w:sz w:val="32"/>
          <w:szCs w:val="32"/>
          <w14:textFill>
            <w14:solidFill>
              <w14:schemeClr w14:val="tx1"/>
            </w14:solidFill>
          </w14:textFill>
        </w:rPr>
        <w:t>（六）深入贯彻《信访工作条例》，推动《条例》在东城区落实落地</w:t>
      </w:r>
    </w:p>
    <w:p>
      <w:pPr>
        <w:spacing w:line="540" w:lineRule="exact"/>
        <w:ind w:firstLine="640" w:firstLineChars="200"/>
        <w:rPr>
          <w:rFonts w:ascii="仿宋_GB2312" w:eastAsia="仿宋_GB2312"/>
          <w:sz w:val="32"/>
          <w:szCs w:val="32"/>
        </w:rPr>
      </w:pPr>
      <w:r>
        <w:rPr>
          <w:rFonts w:hint="eastAsia" w:ascii="仿宋_GB2312" w:hAnsi="黑体" w:eastAsia="仿宋_GB2312"/>
          <w:color w:val="000000" w:themeColor="text1"/>
          <w:sz w:val="32"/>
          <w:szCs w:val="32"/>
          <w14:textFill>
            <w14:solidFill>
              <w14:schemeClr w14:val="tx1"/>
            </w14:solidFill>
          </w14:textFill>
        </w:rPr>
        <w:t>坚持从对外宣传、对内培训、对上对标中央精神、对下推动条例落实四方面发力，高标准举办《信访工作条例》集中宣传月活动，统一开展线上答题，掀起学习宣传热潮。把《条例》纳入区政府常务会前学法和区委党校干部培训内容，组织全区信访主管领导和信访干部进行集中培训，实现区级、处级、科级及以下三级干部全覆盖。</w:t>
      </w:r>
    </w:p>
    <w:p>
      <w:pPr>
        <w:spacing w:line="540" w:lineRule="exact"/>
        <w:ind w:firstLine="640"/>
        <w:rPr>
          <w:rFonts w:ascii="黑体" w:hAnsi="黑体" w:eastAsia="黑体"/>
          <w:sz w:val="32"/>
          <w:szCs w:val="32"/>
        </w:rPr>
      </w:pPr>
      <w:r>
        <w:rPr>
          <w:rFonts w:hint="eastAsia" w:ascii="黑体" w:hAnsi="黑体" w:eastAsia="黑体"/>
          <w:sz w:val="32"/>
          <w:szCs w:val="32"/>
        </w:rPr>
        <w:t>二、2022年推进法治政府建设存在的不足和原因</w:t>
      </w:r>
    </w:p>
    <w:p>
      <w:pPr>
        <w:spacing w:line="540" w:lineRule="exact"/>
        <w:ind w:firstLine="640" w:firstLineChars="200"/>
        <w:rPr>
          <w:rFonts w:ascii="仿宋_GB2312" w:hAnsi="Calibri" w:eastAsia="仿宋_GB2312"/>
          <w:sz w:val="32"/>
          <w:szCs w:val="32"/>
        </w:rPr>
      </w:pPr>
      <w:r>
        <w:rPr>
          <w:rFonts w:hint="eastAsia" w:ascii="仿宋_GB2312" w:hAnsi="Calibri" w:eastAsia="仿宋_GB2312"/>
          <w:sz w:val="32"/>
          <w:szCs w:val="32"/>
        </w:rPr>
        <w:t>近年来，区信访办在法治政府建设方面虽然取得了一定的成绩，但也存在一定的短板。</w:t>
      </w:r>
      <w:r>
        <w:rPr>
          <w:rFonts w:hint="eastAsia" w:ascii="仿宋_GB2312" w:hAnsi="Calibri" w:eastAsia="仿宋_GB2312"/>
          <w:b/>
          <w:sz w:val="32"/>
          <w:szCs w:val="32"/>
        </w:rPr>
        <w:t>一是</w:t>
      </w:r>
      <w:r>
        <w:rPr>
          <w:rFonts w:hint="eastAsia" w:ascii="仿宋_GB2312" w:hAnsi="Calibri" w:eastAsia="仿宋_GB2312"/>
          <w:sz w:val="32"/>
          <w:szCs w:val="32"/>
        </w:rPr>
        <w:t>信访法治化水平有待进一步提升。信访基础业务、诉访分离、依法分类处理信访诉求等工作还需加大力度，进一步增强完善。</w:t>
      </w:r>
      <w:r>
        <w:rPr>
          <w:rFonts w:hint="eastAsia" w:ascii="仿宋_GB2312" w:hAnsi="Calibri" w:eastAsia="仿宋_GB2312"/>
          <w:b/>
          <w:sz w:val="32"/>
          <w:szCs w:val="32"/>
        </w:rPr>
        <w:t>二是</w:t>
      </w:r>
      <w:r>
        <w:rPr>
          <w:rFonts w:hint="eastAsia" w:ascii="仿宋_GB2312" w:hAnsi="Calibri" w:eastAsia="仿宋_GB2312"/>
          <w:sz w:val="32"/>
          <w:szCs w:val="32"/>
        </w:rPr>
        <w:t>信访干部队伍建设仍需进一步加强。目前，我区信访干部主要以兼职为主，在承担信访工作的同时，仍需负责其他工作。重点时期，信访工作会被淡化，信访接待力量偏弱。</w:t>
      </w:r>
    </w:p>
    <w:p>
      <w:pPr>
        <w:spacing w:line="540" w:lineRule="exact"/>
        <w:ind w:firstLine="640"/>
        <w:rPr>
          <w:rFonts w:ascii="黑体" w:hAnsi="黑体" w:eastAsia="黑体"/>
          <w:sz w:val="32"/>
          <w:szCs w:val="32"/>
        </w:rPr>
      </w:pPr>
      <w:r>
        <w:rPr>
          <w:rFonts w:hint="eastAsia" w:ascii="黑体" w:hAnsi="黑体" w:eastAsia="黑体"/>
          <w:sz w:val="32"/>
          <w:szCs w:val="32"/>
        </w:rPr>
        <w:t>三、</w:t>
      </w:r>
      <w:r>
        <w:rPr>
          <w:rFonts w:hint="eastAsia" w:ascii="黑体" w:hAnsi="黑体" w:eastAsia="黑体"/>
          <w:sz w:val="32"/>
          <w:szCs w:val="32"/>
          <w:lang w:val="en-US" w:eastAsia="zh-CN"/>
        </w:rPr>
        <w:t>2022年</w:t>
      </w:r>
      <w:r>
        <w:rPr>
          <w:rFonts w:hint="eastAsia" w:ascii="黑体" w:hAnsi="黑体" w:eastAsia="黑体"/>
          <w:sz w:val="32"/>
          <w:szCs w:val="32"/>
        </w:rPr>
        <w:t>党政主要负责人履行推进法治建设第一责任人职责，加强法治政府建设的有关情况</w:t>
      </w:r>
      <w:r>
        <w:rPr>
          <w:rFonts w:ascii="黑体" w:hAnsi="黑体" w:eastAsia="黑体"/>
          <w:sz w:val="32"/>
          <w:szCs w:val="32"/>
        </w:rPr>
        <w:t xml:space="preserve"> </w:t>
      </w:r>
    </w:p>
    <w:p>
      <w:pPr>
        <w:spacing w:line="540" w:lineRule="exact"/>
        <w:ind w:firstLine="640" w:firstLineChars="200"/>
        <w:rPr>
          <w:rFonts w:eastAsia="仿宋_GB2312"/>
          <w:sz w:val="32"/>
          <w:szCs w:val="32"/>
        </w:rPr>
      </w:pPr>
      <w:r>
        <w:rPr>
          <w:rFonts w:hint="eastAsia" w:eastAsia="仿宋_GB2312"/>
          <w:sz w:val="32"/>
          <w:szCs w:val="32"/>
        </w:rPr>
        <w:t>区信访办党政主要领导认真履行法治政府建设第一责任人职责，坚持贯彻落实中央、北京市决策部署，认真落实《党政主要负责人履行推进法治建设第一责任人职责规定》，班子成员分工负责，积极推动本部门各项责任落实、工作落地。坚持将法治政府建设、依法行政重要内容列入年度工作计划，注重发挥制度的引领、支撑、保障作用，严格贯彻落实各项政策法规。将习近平法治思想列入理论中心组学习计划，将新出台的《信访工作条例》列为会前学法重点内容，领导班子成员带头学法讲法，带头依法化解信访矛盾，规范信访工作制度和网上信访办理要求，推动信访工作法治化发展，提高了领导干部依法决策和依法行政能力。</w:t>
      </w:r>
    </w:p>
    <w:p>
      <w:pPr>
        <w:spacing w:line="540" w:lineRule="exact"/>
        <w:ind w:firstLine="640"/>
        <w:rPr>
          <w:rFonts w:ascii="黑体" w:hAnsi="黑体" w:eastAsia="黑体"/>
          <w:sz w:val="32"/>
          <w:szCs w:val="32"/>
        </w:rPr>
      </w:pPr>
      <w:r>
        <w:rPr>
          <w:rFonts w:hint="eastAsia" w:ascii="黑体" w:hAnsi="黑体" w:eastAsia="黑体"/>
          <w:sz w:val="32"/>
          <w:szCs w:val="32"/>
        </w:rPr>
        <w:t>四、2023年推进法治政府建设的主要安排</w:t>
      </w:r>
    </w:p>
    <w:p>
      <w:pPr>
        <w:spacing w:line="540" w:lineRule="exact"/>
        <w:ind w:firstLine="640" w:firstLineChars="200"/>
        <w:rPr>
          <w:rFonts w:ascii="仿宋_GB2312" w:hAnsi="Calibri" w:eastAsia="仿宋_GB2312"/>
          <w:sz w:val="32"/>
          <w:szCs w:val="32"/>
        </w:rPr>
      </w:pPr>
      <w:r>
        <w:rPr>
          <w:rFonts w:hint="eastAsia" w:ascii="仿宋_GB2312" w:hAnsi="Calibri" w:eastAsia="仿宋_GB2312"/>
          <w:sz w:val="32"/>
          <w:szCs w:val="32"/>
        </w:rPr>
        <w:t>区信访办将围绕法治政府建设的具体要求，结合全区信访工作形势，继续深入多元治理、矛调一体化处置平台建设，提升信访工作在基层社会治理中的效能。</w:t>
      </w:r>
    </w:p>
    <w:p>
      <w:pPr>
        <w:spacing w:line="540" w:lineRule="exact"/>
        <w:ind w:firstLine="643" w:firstLineChars="200"/>
        <w:rPr>
          <w:rFonts w:ascii="仿宋_GB2312" w:hAnsi="Calibri" w:eastAsia="仿宋_GB2312"/>
          <w:sz w:val="32"/>
          <w:szCs w:val="32"/>
        </w:rPr>
      </w:pPr>
      <w:r>
        <w:rPr>
          <w:rFonts w:hint="eastAsia" w:ascii="仿宋_GB2312" w:hAnsi="Calibri" w:eastAsia="仿宋_GB2312"/>
          <w:b/>
          <w:sz w:val="32"/>
          <w:szCs w:val="32"/>
        </w:rPr>
        <w:t>一是</w:t>
      </w:r>
      <w:r>
        <w:rPr>
          <w:rFonts w:hint="eastAsia" w:ascii="仿宋_GB2312" w:hAnsi="Calibri" w:eastAsia="仿宋_GB2312"/>
          <w:sz w:val="32"/>
          <w:szCs w:val="32"/>
        </w:rPr>
        <w:t>深入学习党的二十大精神和习近平法治思想。借助区委理论中心组、区委党校，进行多层级、全覆盖的学习培训，确保将党的二十大精神学深学实学透。对标区委全会精神，开展信访调研，把区委各项决策部署落到实处。开展全区信访业务培训，加大干部交流及青年干部到信访部门挂职锻炼力度，统筹奖励激励机制，充分调动信访干部干事创业积极性。</w:t>
      </w:r>
    </w:p>
    <w:p>
      <w:pPr>
        <w:spacing w:line="540" w:lineRule="exact"/>
        <w:ind w:firstLine="643" w:firstLineChars="200"/>
        <w:rPr>
          <w:rFonts w:ascii="仿宋_GB2312" w:hAnsi="Calibri" w:eastAsia="仿宋_GB2312"/>
          <w:sz w:val="32"/>
          <w:szCs w:val="32"/>
        </w:rPr>
      </w:pPr>
      <w:r>
        <w:rPr>
          <w:rFonts w:hint="eastAsia" w:ascii="仿宋_GB2312" w:hAnsi="Calibri" w:eastAsia="仿宋_GB2312"/>
          <w:b/>
          <w:sz w:val="32"/>
          <w:szCs w:val="32"/>
        </w:rPr>
        <w:t>二是</w:t>
      </w:r>
      <w:r>
        <w:rPr>
          <w:rFonts w:hint="eastAsia" w:ascii="仿宋_GB2312" w:hAnsi="Calibri" w:eastAsia="仿宋_GB2312"/>
          <w:sz w:val="32"/>
          <w:szCs w:val="32"/>
        </w:rPr>
        <w:t>大力推动疑难信访问题化解。巩固“信访超市”、矛调处置一体化平台工作成果。深入推动区领导包案、领导接访下访约访回访工作向纵深发展。建立东城信访信息化平台，提供信访、调解、诉讼、建议征集等内容的线上服务，强化重要信访信息联动，提升信访数据资源共享、分析利用能力。健全积案化解的常态化长效化机制，建立滚动排查、定期梳理、持续化解机制，推动信访积案随有随清、重复信访持续下降。</w:t>
      </w:r>
    </w:p>
    <w:p>
      <w:pPr>
        <w:pStyle w:val="3"/>
        <w:spacing w:line="560" w:lineRule="exact"/>
        <w:ind w:firstLine="643" w:firstLineChars="200"/>
        <w:rPr>
          <w:rFonts w:ascii="仿宋_GB2312" w:hAnsi="Times New Roman" w:eastAsia="仿宋_GB2312"/>
          <w:sz w:val="32"/>
          <w:szCs w:val="32"/>
        </w:rPr>
      </w:pPr>
      <w:r>
        <w:rPr>
          <w:rFonts w:hint="eastAsia" w:ascii="仿宋_GB2312" w:hAnsi="Calibri" w:eastAsia="仿宋_GB2312"/>
          <w:b/>
          <w:sz w:val="32"/>
          <w:szCs w:val="32"/>
        </w:rPr>
        <w:t>三是</w:t>
      </w:r>
      <w:r>
        <w:rPr>
          <w:rFonts w:hint="eastAsia" w:ascii="仿宋_GB2312" w:hAnsi="Calibri" w:eastAsia="仿宋_GB2312"/>
          <w:sz w:val="32"/>
          <w:szCs w:val="32"/>
        </w:rPr>
        <w:t>提升信访工作效能，推动东城区信访工作更高质量发展。</w:t>
      </w:r>
      <w:r>
        <w:rPr>
          <w:rFonts w:hint="eastAsia" w:ascii="仿宋_GB2312" w:hAnsi="Times New Roman" w:eastAsia="仿宋_GB2312"/>
          <w:sz w:val="32"/>
          <w:szCs w:val="32"/>
        </w:rPr>
        <w:t>坚持和完善重大活动信访保障工作机制，</w:t>
      </w:r>
      <w:r>
        <w:rPr>
          <w:rFonts w:hint="eastAsia" w:ascii="仿宋_GB2312" w:hAnsi="Calibri" w:eastAsia="仿宋_GB2312"/>
          <w:sz w:val="32"/>
          <w:szCs w:val="32"/>
        </w:rPr>
        <w:t>联动推进风险源头预防、排查预警、协调化解、应急处置等工作，完善重大活动信访保障工作机制。强化区级及基层信访联席会的相互配合，充分发挥信访联席会制度优势。加强人民建议征集，健全社情民意收集、汇总、分析机制，强化信访工作“三项建议权”，提高服务决策的及时性、精准性和有效性。</w:t>
      </w:r>
      <w:r>
        <w:rPr>
          <w:rFonts w:hint="eastAsia" w:ascii="仿宋_GB2312" w:hAnsi="Times New Roman" w:eastAsia="仿宋_GB2312"/>
          <w:sz w:val="32"/>
          <w:szCs w:val="32"/>
        </w:rPr>
        <w:t>积极争创信访工作示范区，全面提升基层化解矛盾、防范风险、应急处置能力。</w:t>
      </w:r>
    </w:p>
    <w:p>
      <w:pPr>
        <w:spacing w:line="540" w:lineRule="exact"/>
        <w:ind w:firstLine="640" w:firstLineChars="200"/>
        <w:rPr>
          <w:rFonts w:ascii="仿宋_GB2312" w:hAnsi="Calibri" w:eastAsia="仿宋_GB2312"/>
          <w:sz w:val="32"/>
          <w:szCs w:val="32"/>
        </w:rPr>
      </w:pPr>
    </w:p>
    <w:p>
      <w:pPr>
        <w:spacing w:line="540" w:lineRule="exact"/>
        <w:ind w:firstLine="640" w:firstLineChars="200"/>
        <w:rPr>
          <w:rFonts w:ascii="仿宋_GB2312" w:hAnsi="Calibri" w:eastAsia="仿宋_GB2312"/>
          <w:sz w:val="32"/>
          <w:szCs w:val="32"/>
        </w:rPr>
      </w:pPr>
    </w:p>
    <w:p>
      <w:pPr>
        <w:spacing w:line="540" w:lineRule="exact"/>
        <w:ind w:firstLine="640" w:firstLineChars="200"/>
        <w:rPr>
          <w:rFonts w:ascii="仿宋_GB2312" w:hAnsi="Calibri" w:eastAsia="仿宋_GB2312"/>
          <w:sz w:val="32"/>
          <w:szCs w:val="32"/>
        </w:rPr>
      </w:pPr>
    </w:p>
    <w:p>
      <w:pPr>
        <w:spacing w:line="540" w:lineRule="exact"/>
        <w:ind w:firstLine="640" w:firstLineChars="200"/>
        <w:jc w:val="right"/>
        <w:rPr>
          <w:rFonts w:ascii="黑体" w:hAnsi="黑体" w:eastAsia="黑体"/>
          <w:sz w:val="32"/>
          <w:szCs w:val="32"/>
        </w:rPr>
      </w:pPr>
    </w:p>
    <w:p>
      <w:pPr>
        <w:spacing w:line="540" w:lineRule="exact"/>
        <w:ind w:firstLine="640" w:firstLineChars="200"/>
        <w:jc w:val="right"/>
        <w:rPr>
          <w:rFonts w:ascii="仿宋_GB2312" w:hAnsi="Calibri" w:eastAsia="仿宋_GB2312"/>
          <w:sz w:val="32"/>
          <w:szCs w:val="32"/>
        </w:rPr>
      </w:pPr>
      <w:r>
        <w:rPr>
          <w:rFonts w:hint="eastAsia" w:ascii="仿宋_GB2312" w:hAnsi="Calibri" w:eastAsia="仿宋_GB2312"/>
          <w:sz w:val="32"/>
          <w:szCs w:val="32"/>
        </w:rPr>
        <w:t xml:space="preserve">  </w:t>
      </w:r>
    </w:p>
    <w:sectPr>
      <w:footerReference r:id="rId3"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56957395"/>
    </w:sdtPr>
    <w:sdtContent>
      <w:p>
        <w:pPr>
          <w:pStyle w:val="3"/>
          <w:jc w:val="center"/>
        </w:pPr>
        <w:r>
          <w:fldChar w:fldCharType="begin"/>
        </w:r>
        <w:r>
          <w:instrText xml:space="preserve">PAGE   \* MERGEFORMAT</w:instrText>
        </w:r>
        <w:r>
          <w:fldChar w:fldCharType="separate"/>
        </w:r>
        <w:r>
          <w:rPr>
            <w:lang w:val="zh-CN"/>
          </w:rPr>
          <w:t>3</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2056"/>
    <w:rsid w:val="000110C5"/>
    <w:rsid w:val="00015F4E"/>
    <w:rsid w:val="00021E13"/>
    <w:rsid w:val="000254EA"/>
    <w:rsid w:val="00031011"/>
    <w:rsid w:val="000313F2"/>
    <w:rsid w:val="000343DE"/>
    <w:rsid w:val="00034D24"/>
    <w:rsid w:val="0005400A"/>
    <w:rsid w:val="000818A6"/>
    <w:rsid w:val="00084F83"/>
    <w:rsid w:val="00086C9D"/>
    <w:rsid w:val="000A3A04"/>
    <w:rsid w:val="000A67EF"/>
    <w:rsid w:val="000B4C65"/>
    <w:rsid w:val="000D51A1"/>
    <w:rsid w:val="000D7333"/>
    <w:rsid w:val="000E2203"/>
    <w:rsid w:val="000F3A08"/>
    <w:rsid w:val="00100F9A"/>
    <w:rsid w:val="00106D6B"/>
    <w:rsid w:val="001070D1"/>
    <w:rsid w:val="00123357"/>
    <w:rsid w:val="0012431D"/>
    <w:rsid w:val="001249E3"/>
    <w:rsid w:val="00134736"/>
    <w:rsid w:val="00142711"/>
    <w:rsid w:val="00172AEE"/>
    <w:rsid w:val="001850CA"/>
    <w:rsid w:val="001A7C1A"/>
    <w:rsid w:val="001B06B7"/>
    <w:rsid w:val="001C0F0A"/>
    <w:rsid w:val="001C774C"/>
    <w:rsid w:val="001D6550"/>
    <w:rsid w:val="001F3512"/>
    <w:rsid w:val="001F42EF"/>
    <w:rsid w:val="00221A7C"/>
    <w:rsid w:val="002266CC"/>
    <w:rsid w:val="00242E1D"/>
    <w:rsid w:val="002523B9"/>
    <w:rsid w:val="00262283"/>
    <w:rsid w:val="00263941"/>
    <w:rsid w:val="002712D7"/>
    <w:rsid w:val="002A07B1"/>
    <w:rsid w:val="002A3729"/>
    <w:rsid w:val="002B1B42"/>
    <w:rsid w:val="002C5679"/>
    <w:rsid w:val="002E6771"/>
    <w:rsid w:val="002F04CA"/>
    <w:rsid w:val="00302545"/>
    <w:rsid w:val="00304400"/>
    <w:rsid w:val="00305B3F"/>
    <w:rsid w:val="0032278E"/>
    <w:rsid w:val="00356EF6"/>
    <w:rsid w:val="003A3520"/>
    <w:rsid w:val="003A71B6"/>
    <w:rsid w:val="003B1B19"/>
    <w:rsid w:val="003D1F8F"/>
    <w:rsid w:val="003F2DFB"/>
    <w:rsid w:val="003F6049"/>
    <w:rsid w:val="00403CBE"/>
    <w:rsid w:val="004068D4"/>
    <w:rsid w:val="0042522F"/>
    <w:rsid w:val="00434AAA"/>
    <w:rsid w:val="00437365"/>
    <w:rsid w:val="00441D1C"/>
    <w:rsid w:val="00450006"/>
    <w:rsid w:val="00480AA1"/>
    <w:rsid w:val="0049766D"/>
    <w:rsid w:val="004B14AB"/>
    <w:rsid w:val="004B29AB"/>
    <w:rsid w:val="004B355F"/>
    <w:rsid w:val="004D27CF"/>
    <w:rsid w:val="004F3282"/>
    <w:rsid w:val="004F42E4"/>
    <w:rsid w:val="004F4B5A"/>
    <w:rsid w:val="00504314"/>
    <w:rsid w:val="00506CED"/>
    <w:rsid w:val="00512F50"/>
    <w:rsid w:val="00521313"/>
    <w:rsid w:val="00523B13"/>
    <w:rsid w:val="00524347"/>
    <w:rsid w:val="005603BD"/>
    <w:rsid w:val="005867CA"/>
    <w:rsid w:val="00590C8B"/>
    <w:rsid w:val="005A3240"/>
    <w:rsid w:val="005B0236"/>
    <w:rsid w:val="005C1CE8"/>
    <w:rsid w:val="005D2A32"/>
    <w:rsid w:val="005F4EB6"/>
    <w:rsid w:val="00600C3C"/>
    <w:rsid w:val="00600C4B"/>
    <w:rsid w:val="006065FB"/>
    <w:rsid w:val="006079E8"/>
    <w:rsid w:val="006212F9"/>
    <w:rsid w:val="0065180A"/>
    <w:rsid w:val="006550A3"/>
    <w:rsid w:val="00655FEE"/>
    <w:rsid w:val="00665902"/>
    <w:rsid w:val="00674BF3"/>
    <w:rsid w:val="00682835"/>
    <w:rsid w:val="006835BA"/>
    <w:rsid w:val="006920F2"/>
    <w:rsid w:val="00697597"/>
    <w:rsid w:val="006A6C07"/>
    <w:rsid w:val="006C0003"/>
    <w:rsid w:val="006D03DD"/>
    <w:rsid w:val="006D0457"/>
    <w:rsid w:val="006E4E91"/>
    <w:rsid w:val="0072078A"/>
    <w:rsid w:val="007379FD"/>
    <w:rsid w:val="007559CD"/>
    <w:rsid w:val="00771F24"/>
    <w:rsid w:val="00776AE6"/>
    <w:rsid w:val="007838FD"/>
    <w:rsid w:val="007855B1"/>
    <w:rsid w:val="007B404B"/>
    <w:rsid w:val="007B4451"/>
    <w:rsid w:val="007B4692"/>
    <w:rsid w:val="007B53D5"/>
    <w:rsid w:val="007B660B"/>
    <w:rsid w:val="007B69A5"/>
    <w:rsid w:val="007C799A"/>
    <w:rsid w:val="007F40A2"/>
    <w:rsid w:val="008448D0"/>
    <w:rsid w:val="008459D7"/>
    <w:rsid w:val="00847C9E"/>
    <w:rsid w:val="008556F6"/>
    <w:rsid w:val="0087134E"/>
    <w:rsid w:val="00877C4B"/>
    <w:rsid w:val="00887DDD"/>
    <w:rsid w:val="008955D6"/>
    <w:rsid w:val="008B4AD2"/>
    <w:rsid w:val="008C11E8"/>
    <w:rsid w:val="008E3700"/>
    <w:rsid w:val="009017B0"/>
    <w:rsid w:val="0090596B"/>
    <w:rsid w:val="009077CC"/>
    <w:rsid w:val="00924A40"/>
    <w:rsid w:val="00940559"/>
    <w:rsid w:val="009570D6"/>
    <w:rsid w:val="00962056"/>
    <w:rsid w:val="00962430"/>
    <w:rsid w:val="009652B0"/>
    <w:rsid w:val="00984CAC"/>
    <w:rsid w:val="0099775E"/>
    <w:rsid w:val="009C6AC5"/>
    <w:rsid w:val="009C7CC9"/>
    <w:rsid w:val="009D5556"/>
    <w:rsid w:val="009E5E8F"/>
    <w:rsid w:val="00A075A1"/>
    <w:rsid w:val="00A14D9B"/>
    <w:rsid w:val="00A20E6F"/>
    <w:rsid w:val="00A231FB"/>
    <w:rsid w:val="00A245A7"/>
    <w:rsid w:val="00A30588"/>
    <w:rsid w:val="00A30880"/>
    <w:rsid w:val="00A31034"/>
    <w:rsid w:val="00A34A54"/>
    <w:rsid w:val="00A8750B"/>
    <w:rsid w:val="00A916A3"/>
    <w:rsid w:val="00A91820"/>
    <w:rsid w:val="00AA691A"/>
    <w:rsid w:val="00AB1BA4"/>
    <w:rsid w:val="00AB42CE"/>
    <w:rsid w:val="00AC39FF"/>
    <w:rsid w:val="00AD1139"/>
    <w:rsid w:val="00AF00A8"/>
    <w:rsid w:val="00B03DA1"/>
    <w:rsid w:val="00B2567D"/>
    <w:rsid w:val="00B25D6A"/>
    <w:rsid w:val="00B3199D"/>
    <w:rsid w:val="00B47235"/>
    <w:rsid w:val="00B65379"/>
    <w:rsid w:val="00B6626A"/>
    <w:rsid w:val="00B80FF6"/>
    <w:rsid w:val="00B838AC"/>
    <w:rsid w:val="00B8470C"/>
    <w:rsid w:val="00B87A9C"/>
    <w:rsid w:val="00B9521C"/>
    <w:rsid w:val="00BA532E"/>
    <w:rsid w:val="00BB0F0F"/>
    <w:rsid w:val="00BB17E1"/>
    <w:rsid w:val="00BC109D"/>
    <w:rsid w:val="00BD33DC"/>
    <w:rsid w:val="00BE5E21"/>
    <w:rsid w:val="00C01445"/>
    <w:rsid w:val="00C12C11"/>
    <w:rsid w:val="00C142C5"/>
    <w:rsid w:val="00C23118"/>
    <w:rsid w:val="00C30847"/>
    <w:rsid w:val="00C4043B"/>
    <w:rsid w:val="00C42B91"/>
    <w:rsid w:val="00C53B9A"/>
    <w:rsid w:val="00C5597C"/>
    <w:rsid w:val="00C90656"/>
    <w:rsid w:val="00CA3860"/>
    <w:rsid w:val="00CC22AA"/>
    <w:rsid w:val="00CC7620"/>
    <w:rsid w:val="00CE18B0"/>
    <w:rsid w:val="00CE4379"/>
    <w:rsid w:val="00CF2D14"/>
    <w:rsid w:val="00CF72A3"/>
    <w:rsid w:val="00D102C0"/>
    <w:rsid w:val="00D31D25"/>
    <w:rsid w:val="00D36D59"/>
    <w:rsid w:val="00D4120E"/>
    <w:rsid w:val="00D5399C"/>
    <w:rsid w:val="00D54018"/>
    <w:rsid w:val="00D563C5"/>
    <w:rsid w:val="00D72D24"/>
    <w:rsid w:val="00D80E0C"/>
    <w:rsid w:val="00DC37F2"/>
    <w:rsid w:val="00DC615B"/>
    <w:rsid w:val="00DE0281"/>
    <w:rsid w:val="00DE2757"/>
    <w:rsid w:val="00DF4083"/>
    <w:rsid w:val="00E005DF"/>
    <w:rsid w:val="00E02D28"/>
    <w:rsid w:val="00E0749E"/>
    <w:rsid w:val="00E11CF5"/>
    <w:rsid w:val="00E14037"/>
    <w:rsid w:val="00E16521"/>
    <w:rsid w:val="00E202C1"/>
    <w:rsid w:val="00E42451"/>
    <w:rsid w:val="00E47D75"/>
    <w:rsid w:val="00E73F62"/>
    <w:rsid w:val="00E77D5C"/>
    <w:rsid w:val="00E807BF"/>
    <w:rsid w:val="00EA2325"/>
    <w:rsid w:val="00EA31E2"/>
    <w:rsid w:val="00EA4DE7"/>
    <w:rsid w:val="00EC593F"/>
    <w:rsid w:val="00EC7A1D"/>
    <w:rsid w:val="00F2025F"/>
    <w:rsid w:val="00F24EB0"/>
    <w:rsid w:val="00F25922"/>
    <w:rsid w:val="00F32DD4"/>
    <w:rsid w:val="00F351FC"/>
    <w:rsid w:val="00F442AF"/>
    <w:rsid w:val="00F4517A"/>
    <w:rsid w:val="00F7295E"/>
    <w:rsid w:val="00F8427A"/>
    <w:rsid w:val="00F9005C"/>
    <w:rsid w:val="00F95940"/>
    <w:rsid w:val="00FB3011"/>
    <w:rsid w:val="00FB7A83"/>
    <w:rsid w:val="00FC31E5"/>
    <w:rsid w:val="00FE0846"/>
    <w:rsid w:val="00FF02DE"/>
    <w:rsid w:val="00FF68E3"/>
    <w:rsid w:val="00FF6C09"/>
    <w:rsid w:val="07AC05FB"/>
    <w:rsid w:val="132C42CC"/>
    <w:rsid w:val="3A4E7187"/>
    <w:rsid w:val="41911DB0"/>
    <w:rsid w:val="42477C33"/>
    <w:rsid w:val="463C1CBF"/>
    <w:rsid w:val="547447CC"/>
    <w:rsid w:val="6BED677F"/>
    <w:rsid w:val="703D6DEC"/>
    <w:rsid w:val="78AA6D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uiPriority w:val="1"/>
  </w:style>
  <w:style w:type="table" w:default="1" w:styleId="7">
    <w:name w:val="Normal Table"/>
    <w:unhideWhenUsed/>
    <w:uiPriority w:val="99"/>
    <w:tblPr>
      <w:tblLayout w:type="fixed"/>
      <w:tblCellMar>
        <w:top w:w="0" w:type="dxa"/>
        <w:left w:w="108" w:type="dxa"/>
        <w:bottom w:w="0" w:type="dxa"/>
        <w:right w:w="108" w:type="dxa"/>
      </w:tblCellMar>
    </w:tblPr>
  </w:style>
  <w:style w:type="paragraph" w:styleId="2">
    <w:name w:val="Balloon Text"/>
    <w:basedOn w:val="1"/>
    <w:link w:val="12"/>
    <w:unhideWhenUsed/>
    <w:qFormat/>
    <w:uiPriority w:val="99"/>
    <w:rPr>
      <w:sz w:val="18"/>
      <w:szCs w:val="18"/>
    </w:rPr>
  </w:style>
  <w:style w:type="paragraph" w:styleId="3">
    <w:name w:val="footer"/>
    <w:basedOn w:val="1"/>
    <w:link w:val="10"/>
    <w:unhideWhenUsed/>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uiPriority w:val="99"/>
    <w:pPr>
      <w:widowControl/>
      <w:spacing w:before="75" w:after="75"/>
      <w:jc w:val="left"/>
    </w:pPr>
    <w:rPr>
      <w:rFonts w:ascii="宋体" w:hAnsi="宋体" w:eastAsia="宋体" w:cs="宋体"/>
      <w:kern w:val="0"/>
      <w:sz w:val="24"/>
      <w:szCs w:val="24"/>
    </w:rPr>
  </w:style>
  <w:style w:type="paragraph" w:customStyle="1" w:styleId="8">
    <w:name w:val="列出段落1"/>
    <w:basedOn w:val="1"/>
    <w:qFormat/>
    <w:uiPriority w:val="34"/>
    <w:pPr>
      <w:ind w:firstLine="420" w:firstLineChars="200"/>
    </w:pPr>
  </w:style>
  <w:style w:type="character" w:customStyle="1" w:styleId="9">
    <w:name w:val="页眉 Char"/>
    <w:basedOn w:val="6"/>
    <w:link w:val="4"/>
    <w:uiPriority w:val="99"/>
    <w:rPr>
      <w:sz w:val="18"/>
      <w:szCs w:val="18"/>
    </w:rPr>
  </w:style>
  <w:style w:type="character" w:customStyle="1" w:styleId="10">
    <w:name w:val="页脚 Char"/>
    <w:basedOn w:val="6"/>
    <w:link w:val="3"/>
    <w:uiPriority w:val="99"/>
    <w:rPr>
      <w:sz w:val="18"/>
      <w:szCs w:val="18"/>
    </w:rPr>
  </w:style>
  <w:style w:type="paragraph" w:customStyle="1" w:styleId="11">
    <w:name w:val="List Paragraph"/>
    <w:basedOn w:val="1"/>
    <w:qFormat/>
    <w:uiPriority w:val="34"/>
    <w:pPr>
      <w:ind w:firstLine="420" w:firstLineChars="200"/>
    </w:pPr>
  </w:style>
  <w:style w:type="character" w:customStyle="1" w:styleId="12">
    <w:name w:val="批注框文本 Char"/>
    <w:basedOn w:val="6"/>
    <w:link w:val="2"/>
    <w:semiHidden/>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396</Words>
  <Characters>2262</Characters>
  <Lines>18</Lines>
  <Paragraphs>5</Paragraphs>
  <ScaleCrop>false</ScaleCrop>
  <LinksUpToDate>false</LinksUpToDate>
  <CharactersWithSpaces>2653</CharactersWithSpaces>
  <Application>WPS Office_10.8.0.6253_F1E327BC-269C-435d-A152-05C5408002CA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2023-01-18T09:21:00Z</dcterms:created>
  <dc:creator>Lenovo</dc:creator>
  <cp:lastModifiedBy>z</cp:lastModifiedBy>
  <cp:lastPrinted>2022-01-06T08:01:00Z</cp:lastPrinted>
  <dcterms:modified xsi:type="dcterms:W3CDTF">2023-02-22T07:41:51Z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2052-10.8.0.6253</vt:lpwstr>
  </property>
</Properties>
</file>