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92E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东城区建国门街道办事处</w:t>
      </w:r>
    </w:p>
    <w:p w14:paraId="77248A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lang w:val="en-US" w:eastAsia="zh-CN"/>
        </w:rPr>
        <w:t>法治政府建设</w:t>
      </w:r>
      <w:r>
        <w:rPr>
          <w:rFonts w:hint="eastAsia" w:ascii="Times New Roman" w:hAnsi="Times New Roman" w:eastAsia="方正小标宋简体" w:cs="Times New Roman"/>
          <w:sz w:val="44"/>
          <w:szCs w:val="44"/>
          <w:lang w:val="en-US" w:eastAsia="zh-CN"/>
        </w:rPr>
        <w:t>年度</w:t>
      </w:r>
      <w:r>
        <w:rPr>
          <w:rFonts w:hint="default" w:ascii="Times New Roman" w:hAnsi="Times New Roman" w:eastAsia="方正小标宋简体" w:cs="Times New Roman"/>
          <w:sz w:val="44"/>
          <w:szCs w:val="44"/>
          <w:lang w:val="en-US" w:eastAsia="zh-CN"/>
        </w:rPr>
        <w:t>情况报告</w:t>
      </w:r>
    </w:p>
    <w:p w14:paraId="277A9F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p>
    <w:p w14:paraId="138BCD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2022年，在区委、区政府的坚强领导下，建国门街道坚持以</w:t>
      </w:r>
      <w:r>
        <w:rPr>
          <w:rFonts w:ascii="Times New Roman" w:hAnsi="Times New Roman" w:eastAsia="仿宋_GB2312"/>
          <w:sz w:val="32"/>
          <w:szCs w:val="32"/>
        </w:rPr>
        <w:t>习近平新时代中国特色社会主义思想为指导，深入贯彻落实习近平法治思想，</w:t>
      </w:r>
      <w:r>
        <w:rPr>
          <w:rFonts w:hint="eastAsia" w:ascii="Times New Roman" w:hAnsi="Times New Roman" w:eastAsia="仿宋_GB2312" w:cs="Times New Roman"/>
          <w:sz w:val="32"/>
          <w:szCs w:val="32"/>
          <w:lang w:val="en-US" w:eastAsia="zh-CN"/>
        </w:rPr>
        <w:t>紧紧围绕区委、区政府法治政府建设各项部署，以依法行政，创建法治政府为总体目标，多措并举，狠抓落实，各项政府工作法制化、规范化水平进一步提升，法治政府建设取得新进展。现将有关情况报告如下：</w:t>
      </w:r>
      <w:bookmarkStart w:id="0" w:name="_GoBack"/>
      <w:bookmarkEnd w:id="0"/>
    </w:p>
    <w:p w14:paraId="5317A4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2022</w:t>
      </w:r>
      <w:r>
        <w:rPr>
          <w:rFonts w:hint="default" w:ascii="Times New Roman" w:hAnsi="Times New Roman" w:eastAsia="黑体" w:cs="Times New Roman"/>
          <w:sz w:val="32"/>
          <w:szCs w:val="32"/>
          <w:lang w:val="en-US" w:eastAsia="zh-CN"/>
        </w:rPr>
        <w:t>年推进法治政府建设的主要举措和成效</w:t>
      </w:r>
    </w:p>
    <w:p w14:paraId="39AB418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坚持高位统筹，强化组织领导</w:t>
      </w:r>
    </w:p>
    <w:p w14:paraId="4FA093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i w:val="0"/>
          <w:caps w:val="0"/>
          <w:color w:val="191919"/>
          <w:spacing w:val="0"/>
          <w:sz w:val="32"/>
          <w:szCs w:val="32"/>
          <w:shd w:val="clear" w:color="auto" w:fill="FFFFFF"/>
          <w:lang w:val="en-US" w:eastAsia="zh-CN"/>
        </w:rPr>
      </w:pPr>
      <w:r>
        <w:rPr>
          <w:rFonts w:hint="eastAsia"/>
          <w:lang w:val="en-US" w:eastAsia="zh-CN"/>
        </w:rPr>
        <w:t xml:space="preserve">  </w:t>
      </w:r>
      <w:r>
        <w:rPr>
          <w:rFonts w:hint="eastAsia" w:ascii="仿宋_GB2312" w:hAnsi="仿宋_GB2312" w:eastAsia="仿宋_GB2312" w:cs="仿宋_GB2312"/>
          <w:i w:val="0"/>
          <w:caps w:val="0"/>
          <w:color w:val="191919"/>
          <w:spacing w:val="0"/>
          <w:sz w:val="32"/>
          <w:szCs w:val="32"/>
          <w:shd w:val="clear" w:color="auto" w:fill="FFFFFF"/>
          <w:lang w:val="en-US" w:eastAsia="zh-CN"/>
        </w:rPr>
        <w:t>一是发挥第一责任人核心作用，大力推动法治建设。</w:t>
      </w:r>
      <w:r>
        <w:rPr>
          <w:rFonts w:hint="eastAsia" w:ascii="仿宋_GB2312" w:hAnsi="仿宋_GB2312" w:eastAsia="仿宋_GB2312" w:cs="仿宋_GB2312"/>
          <w:i w:val="0"/>
          <w:caps w:val="0"/>
          <w:color w:val="191919"/>
          <w:spacing w:val="0"/>
          <w:sz w:val="32"/>
          <w:szCs w:val="32"/>
          <w:shd w:val="clear" w:color="auto" w:fill="FFFFFF"/>
          <w:lang w:eastAsia="zh-CN"/>
        </w:rPr>
        <w:t>街道工委书记、办事处主任认真履行第一责任人职责，自觉做尊法学法守法用法的模范，把推进法治建设作为重要工作来推动。工委书记、街道办事处主任亲自部署法治政府建设相关工作并听取专题汇报，严格执行相关法律法规和文件政策，强化了对本地区法治政府建设的组织领导，确保了地区社会稳定。</w:t>
      </w:r>
    </w:p>
    <w:p w14:paraId="42B61B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191919"/>
          <w:spacing w:val="0"/>
          <w:sz w:val="32"/>
          <w:szCs w:val="32"/>
          <w:shd w:val="clear" w:color="auto" w:fill="FFFFFF"/>
          <w:lang w:val="zh-CN"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二是建立定期学法制度，全面落实法治政府建设各项决策部署。</w:t>
      </w:r>
      <w:r>
        <w:rPr>
          <w:rFonts w:hint="default" w:ascii="仿宋_GB2312" w:hAnsi="仿宋_GB2312" w:eastAsia="仿宋_GB2312" w:cs="仿宋_GB2312"/>
          <w:i w:val="0"/>
          <w:caps w:val="0"/>
          <w:color w:val="191919"/>
          <w:spacing w:val="0"/>
          <w:sz w:val="32"/>
          <w:szCs w:val="32"/>
          <w:shd w:val="clear" w:color="auto" w:fill="FFFFFF"/>
          <w:lang w:val="en-US" w:eastAsia="zh-CN"/>
        </w:rPr>
        <w:t>积极</w:t>
      </w:r>
      <w:r>
        <w:rPr>
          <w:rFonts w:hint="eastAsia" w:ascii="仿宋_GB2312" w:hAnsi="仿宋_GB2312" w:eastAsia="仿宋_GB2312" w:cs="仿宋_GB2312"/>
          <w:i w:val="0"/>
          <w:caps w:val="0"/>
          <w:color w:val="191919"/>
          <w:spacing w:val="0"/>
          <w:sz w:val="32"/>
          <w:szCs w:val="32"/>
          <w:shd w:val="clear" w:color="auto" w:fill="FFFFFF"/>
          <w:lang w:val="en-US" w:eastAsia="zh-CN"/>
        </w:rPr>
        <w:t>推进</w:t>
      </w:r>
      <w:r>
        <w:rPr>
          <w:rFonts w:hint="default" w:ascii="仿宋_GB2312" w:hAnsi="仿宋_GB2312" w:eastAsia="仿宋_GB2312" w:cs="仿宋_GB2312"/>
          <w:i w:val="0"/>
          <w:caps w:val="0"/>
          <w:color w:val="191919"/>
          <w:spacing w:val="0"/>
          <w:sz w:val="32"/>
          <w:szCs w:val="32"/>
          <w:shd w:val="clear" w:color="auto" w:fill="FFFFFF"/>
          <w:lang w:val="en-US" w:eastAsia="zh-CN"/>
        </w:rPr>
        <w:t>主任办公会</w:t>
      </w:r>
      <w:r>
        <w:rPr>
          <w:rFonts w:hint="eastAsia" w:ascii="仿宋_GB2312" w:hAnsi="仿宋_GB2312" w:eastAsia="仿宋_GB2312" w:cs="仿宋_GB2312"/>
          <w:i w:val="0"/>
          <w:caps w:val="0"/>
          <w:color w:val="191919"/>
          <w:spacing w:val="0"/>
          <w:sz w:val="32"/>
          <w:szCs w:val="32"/>
          <w:shd w:val="clear" w:color="auto" w:fill="FFFFFF"/>
          <w:lang w:val="en-US" w:eastAsia="zh-CN"/>
        </w:rPr>
        <w:t>会</w:t>
      </w:r>
      <w:r>
        <w:rPr>
          <w:rFonts w:hint="default" w:ascii="仿宋_GB2312" w:hAnsi="仿宋_GB2312" w:eastAsia="仿宋_GB2312" w:cs="仿宋_GB2312"/>
          <w:i w:val="0"/>
          <w:caps w:val="0"/>
          <w:color w:val="191919"/>
          <w:spacing w:val="0"/>
          <w:sz w:val="32"/>
          <w:szCs w:val="32"/>
          <w:shd w:val="clear" w:color="auto" w:fill="FFFFFF"/>
          <w:lang w:val="en-US" w:eastAsia="zh-CN"/>
        </w:rPr>
        <w:t>前学法</w:t>
      </w:r>
      <w:r>
        <w:rPr>
          <w:rFonts w:hint="eastAsia" w:ascii="仿宋_GB2312" w:hAnsi="仿宋_GB2312" w:eastAsia="仿宋_GB2312" w:cs="仿宋_GB2312"/>
          <w:i w:val="0"/>
          <w:caps w:val="0"/>
          <w:color w:val="191919"/>
          <w:spacing w:val="0"/>
          <w:sz w:val="32"/>
          <w:szCs w:val="32"/>
          <w:shd w:val="clear" w:color="auto" w:fill="FFFFFF"/>
          <w:lang w:val="en-US" w:eastAsia="zh-CN"/>
        </w:rPr>
        <w:t>制度，</w:t>
      </w:r>
      <w:r>
        <w:rPr>
          <w:rFonts w:hint="eastAsia" w:ascii="仿宋_GB2312" w:hAnsi="仿宋_GB2312" w:eastAsia="仿宋_GB2312" w:cs="仿宋_GB2312"/>
          <w:i w:val="0"/>
          <w:caps w:val="0"/>
          <w:color w:val="191919"/>
          <w:spacing w:val="0"/>
          <w:sz w:val="32"/>
          <w:szCs w:val="32"/>
          <w:shd w:val="clear" w:color="auto" w:fill="FFFFFF"/>
          <w:lang w:eastAsia="zh-CN"/>
        </w:rPr>
        <w:t>制定学法计划，</w:t>
      </w:r>
      <w:r>
        <w:rPr>
          <w:rFonts w:hint="default" w:ascii="仿宋_GB2312" w:hAnsi="仿宋_GB2312" w:eastAsia="仿宋_GB2312" w:cs="仿宋_GB2312"/>
          <w:i w:val="0"/>
          <w:caps w:val="0"/>
          <w:color w:val="191919"/>
          <w:spacing w:val="0"/>
          <w:sz w:val="32"/>
          <w:szCs w:val="32"/>
          <w:shd w:val="clear" w:color="auto" w:fill="FFFFFF"/>
          <w:lang w:eastAsia="zh-CN"/>
        </w:rPr>
        <w:t>把法律法规</w:t>
      </w:r>
      <w:r>
        <w:rPr>
          <w:rFonts w:hint="eastAsia" w:ascii="仿宋_GB2312" w:hAnsi="仿宋_GB2312" w:eastAsia="仿宋_GB2312" w:cs="仿宋_GB2312"/>
          <w:i w:val="0"/>
          <w:caps w:val="0"/>
          <w:color w:val="191919"/>
          <w:spacing w:val="0"/>
          <w:sz w:val="32"/>
          <w:szCs w:val="32"/>
          <w:shd w:val="clear" w:color="auto" w:fill="FFFFFF"/>
          <w:lang w:eastAsia="zh-CN"/>
        </w:rPr>
        <w:t>学习</w:t>
      </w:r>
      <w:r>
        <w:rPr>
          <w:rFonts w:hint="default" w:ascii="仿宋_GB2312" w:hAnsi="仿宋_GB2312" w:eastAsia="仿宋_GB2312" w:cs="仿宋_GB2312"/>
          <w:i w:val="0"/>
          <w:caps w:val="0"/>
          <w:color w:val="191919"/>
          <w:spacing w:val="0"/>
          <w:sz w:val="32"/>
          <w:szCs w:val="32"/>
          <w:shd w:val="clear" w:color="auto" w:fill="FFFFFF"/>
          <w:lang w:eastAsia="zh-CN"/>
        </w:rPr>
        <w:t>纳入街道学习的重要</w:t>
      </w:r>
      <w:r>
        <w:rPr>
          <w:rFonts w:hint="eastAsia" w:ascii="仿宋_GB2312" w:hAnsi="仿宋_GB2312" w:eastAsia="仿宋_GB2312" w:cs="仿宋_GB2312"/>
          <w:i w:val="0"/>
          <w:caps w:val="0"/>
          <w:color w:val="191919"/>
          <w:spacing w:val="0"/>
          <w:sz w:val="32"/>
          <w:szCs w:val="32"/>
          <w:shd w:val="clear" w:color="auto" w:fill="FFFFFF"/>
          <w:lang w:eastAsia="zh-CN"/>
        </w:rPr>
        <w:t>内容</w:t>
      </w:r>
      <w:r>
        <w:rPr>
          <w:rFonts w:hint="default" w:ascii="仿宋_GB2312" w:hAnsi="仿宋_GB2312" w:eastAsia="仿宋_GB2312" w:cs="仿宋_GB2312"/>
          <w:i w:val="0"/>
          <w:caps w:val="0"/>
          <w:color w:val="191919"/>
          <w:spacing w:val="0"/>
          <w:sz w:val="32"/>
          <w:szCs w:val="32"/>
          <w:shd w:val="clear" w:color="auto" w:fill="FFFFFF"/>
          <w:lang w:eastAsia="zh-CN"/>
        </w:rPr>
        <w:t>，</w:t>
      </w:r>
      <w:r>
        <w:rPr>
          <w:rFonts w:hint="eastAsia" w:ascii="仿宋_GB2312" w:hAnsi="仿宋_GB2312" w:eastAsia="仿宋_GB2312" w:cs="仿宋_GB2312"/>
          <w:i w:val="0"/>
          <w:caps w:val="0"/>
          <w:color w:val="191919"/>
          <w:spacing w:val="0"/>
          <w:sz w:val="32"/>
          <w:szCs w:val="32"/>
          <w:shd w:val="clear" w:color="auto" w:fill="FFFFFF"/>
          <w:lang w:eastAsia="zh-CN"/>
        </w:rPr>
        <w:t>通过理论学习中心组学习、</w:t>
      </w:r>
      <w:r>
        <w:rPr>
          <w:rFonts w:hint="default" w:ascii="仿宋_GB2312" w:hAnsi="仿宋_GB2312" w:eastAsia="仿宋_GB2312" w:cs="仿宋_GB2312"/>
          <w:i w:val="0"/>
          <w:caps w:val="0"/>
          <w:color w:val="191919"/>
          <w:spacing w:val="0"/>
          <w:sz w:val="32"/>
          <w:szCs w:val="32"/>
          <w:shd w:val="clear" w:color="auto" w:fill="FFFFFF"/>
          <w:lang w:eastAsia="zh-CN"/>
        </w:rPr>
        <w:t>主任办公会会前学法</w:t>
      </w:r>
      <w:r>
        <w:rPr>
          <w:rFonts w:hint="eastAsia" w:ascii="仿宋_GB2312" w:hAnsi="仿宋_GB2312" w:eastAsia="仿宋_GB2312" w:cs="仿宋_GB2312"/>
          <w:i w:val="0"/>
          <w:caps w:val="0"/>
          <w:color w:val="191919"/>
          <w:spacing w:val="0"/>
          <w:sz w:val="32"/>
          <w:szCs w:val="32"/>
          <w:shd w:val="clear" w:color="auto" w:fill="FFFFFF"/>
          <w:lang w:eastAsia="zh-CN"/>
        </w:rPr>
        <w:t>组织领导班子学习习近平法治思想</w:t>
      </w:r>
      <w:r>
        <w:rPr>
          <w:rFonts w:hint="eastAsia" w:ascii="仿宋_GB2312" w:hAnsi="仿宋" w:eastAsia="仿宋_GB2312"/>
          <w:sz w:val="32"/>
          <w:szCs w:val="32"/>
          <w:lang w:val="en-US" w:eastAsia="zh-CN"/>
        </w:rPr>
        <w:t>《信访工作条例》</w:t>
      </w:r>
      <w:r>
        <w:rPr>
          <w:rFonts w:hint="default" w:ascii="Times New Roman" w:hAnsi="Times New Roman" w:eastAsia="仿宋_GB2312" w:cs="Times New Roman"/>
          <w:b w:val="0"/>
          <w:sz w:val="32"/>
          <w:szCs w:val="32"/>
          <w:highlight w:val="none"/>
          <w:lang w:val="en-US" w:eastAsia="zh-CN" w:bidi="ar-SA"/>
        </w:rPr>
        <w:t>《中华人民共和国法律援助法》</w:t>
      </w:r>
      <w:r>
        <w:rPr>
          <w:rFonts w:hint="eastAsia" w:ascii="仿宋_GB2312" w:hAnsi="仿宋_GB2312" w:eastAsia="仿宋_GB2312" w:cs="仿宋_GB2312"/>
          <w:i w:val="0"/>
          <w:caps w:val="0"/>
          <w:color w:val="191919"/>
          <w:spacing w:val="0"/>
          <w:sz w:val="32"/>
          <w:szCs w:val="32"/>
          <w:shd w:val="clear" w:color="auto" w:fill="FFFFFF"/>
          <w:lang w:eastAsia="zh-CN"/>
        </w:rPr>
        <w:t>《北京市生活垃圾管理条例》</w:t>
      </w:r>
      <w:r>
        <w:rPr>
          <w:rFonts w:hint="eastAsia" w:ascii="仿宋_GB2312" w:hAnsi="仿宋_GB2312" w:eastAsia="仿宋_GB2312" w:cs="仿宋_GB2312"/>
          <w:i w:val="0"/>
          <w:caps w:val="0"/>
          <w:color w:val="191919"/>
          <w:spacing w:val="0"/>
          <w:sz w:val="32"/>
          <w:szCs w:val="32"/>
          <w:shd w:val="clear" w:color="auto" w:fill="FFFFFF"/>
          <w:lang w:val="zh-CN" w:eastAsia="zh-CN"/>
        </w:rPr>
        <w:t>《民法典》</w:t>
      </w:r>
      <w:r>
        <w:rPr>
          <w:rFonts w:hint="eastAsia" w:ascii="仿宋_GB2312" w:hAnsi="仿宋_GB2312" w:eastAsia="仿宋_GB2312" w:cs="仿宋_GB2312"/>
          <w:i w:val="0"/>
          <w:caps w:val="0"/>
          <w:color w:val="191919"/>
          <w:spacing w:val="0"/>
          <w:sz w:val="32"/>
          <w:szCs w:val="32"/>
          <w:shd w:val="clear" w:color="auto" w:fill="FFFFFF"/>
          <w:lang w:val="en-US" w:eastAsia="zh-CN"/>
        </w:rPr>
        <w:t>《行政处罚法》</w:t>
      </w:r>
      <w:r>
        <w:rPr>
          <w:rFonts w:hint="eastAsia" w:ascii="仿宋_GB2312" w:hAnsi="仿宋_GB2312" w:eastAsia="仿宋_GB2312" w:cs="仿宋_GB2312"/>
          <w:i w:val="0"/>
          <w:caps w:val="0"/>
          <w:color w:val="191919"/>
          <w:spacing w:val="0"/>
          <w:sz w:val="32"/>
          <w:szCs w:val="32"/>
          <w:shd w:val="clear" w:color="auto" w:fill="FFFFFF"/>
          <w:lang w:val="zh-CN" w:eastAsia="zh-CN"/>
        </w:rPr>
        <w:t>等法律法规。</w:t>
      </w:r>
      <w:r>
        <w:rPr>
          <w:rFonts w:hint="eastAsia" w:ascii="仿宋_GB2312" w:hAnsi="仿宋_GB2312" w:eastAsia="仿宋_GB2312" w:cs="仿宋_GB2312"/>
          <w:i w:val="0"/>
          <w:caps w:val="0"/>
          <w:color w:val="191919"/>
          <w:spacing w:val="0"/>
          <w:sz w:val="32"/>
          <w:szCs w:val="32"/>
          <w:shd w:val="clear" w:color="auto" w:fill="FFFFFF"/>
          <w:lang w:eastAsia="zh-CN"/>
        </w:rPr>
        <w:t>组织街道干部集中学法，</w:t>
      </w:r>
      <w:r>
        <w:rPr>
          <w:rFonts w:hint="default" w:ascii="仿宋_GB2312" w:hAnsi="仿宋_GB2312" w:eastAsia="仿宋_GB2312" w:cs="仿宋_GB2312"/>
          <w:i w:val="0"/>
          <w:caps w:val="0"/>
          <w:color w:val="191919"/>
          <w:spacing w:val="0"/>
          <w:sz w:val="32"/>
          <w:szCs w:val="32"/>
          <w:shd w:val="clear" w:color="auto" w:fill="FFFFFF"/>
          <w:lang w:val="en-US" w:eastAsia="zh-CN"/>
        </w:rPr>
        <w:t>不断</w:t>
      </w:r>
      <w:r>
        <w:rPr>
          <w:rFonts w:hint="eastAsia" w:ascii="仿宋_GB2312" w:hAnsi="仿宋_GB2312" w:eastAsia="仿宋_GB2312" w:cs="仿宋_GB2312"/>
          <w:i w:val="0"/>
          <w:caps w:val="0"/>
          <w:color w:val="191919"/>
          <w:spacing w:val="0"/>
          <w:sz w:val="32"/>
          <w:szCs w:val="32"/>
          <w:shd w:val="clear" w:color="auto" w:fill="FFFFFF"/>
          <w:lang w:eastAsia="zh-CN"/>
        </w:rPr>
        <w:t>提高</w:t>
      </w:r>
      <w:r>
        <w:rPr>
          <w:rFonts w:hint="default" w:ascii="仿宋_GB2312" w:hAnsi="仿宋_GB2312" w:eastAsia="仿宋_GB2312" w:cs="仿宋_GB2312"/>
          <w:i w:val="0"/>
          <w:caps w:val="0"/>
          <w:color w:val="191919"/>
          <w:spacing w:val="0"/>
          <w:sz w:val="32"/>
          <w:szCs w:val="32"/>
          <w:shd w:val="clear" w:color="auto" w:fill="FFFFFF"/>
          <w:lang w:eastAsia="zh-CN"/>
        </w:rPr>
        <w:t>街道干部依法行政的</w:t>
      </w:r>
      <w:r>
        <w:rPr>
          <w:rFonts w:hint="eastAsia" w:ascii="仿宋_GB2312" w:hAnsi="仿宋_GB2312" w:eastAsia="仿宋_GB2312" w:cs="仿宋_GB2312"/>
          <w:i w:val="0"/>
          <w:caps w:val="0"/>
          <w:color w:val="191919"/>
          <w:spacing w:val="0"/>
          <w:sz w:val="32"/>
          <w:szCs w:val="32"/>
          <w:shd w:val="clear" w:color="auto" w:fill="FFFFFF"/>
          <w:lang w:eastAsia="zh-CN"/>
        </w:rPr>
        <w:t>意识和能力</w:t>
      </w:r>
      <w:r>
        <w:rPr>
          <w:rFonts w:hint="default" w:ascii="仿宋_GB2312" w:hAnsi="仿宋_GB2312" w:eastAsia="仿宋_GB2312" w:cs="仿宋_GB2312"/>
          <w:i w:val="0"/>
          <w:caps w:val="0"/>
          <w:color w:val="191919"/>
          <w:spacing w:val="0"/>
          <w:sz w:val="32"/>
          <w:szCs w:val="32"/>
          <w:shd w:val="clear" w:color="auto" w:fill="FFFFFF"/>
          <w:lang w:eastAsia="zh-CN"/>
        </w:rPr>
        <w:t>。</w:t>
      </w:r>
      <w:r>
        <w:rPr>
          <w:rFonts w:hint="eastAsia" w:ascii="仿宋_GB2312" w:hAnsi="仿宋_GB2312" w:eastAsia="仿宋_GB2312" w:cs="仿宋_GB2312"/>
          <w:i w:val="0"/>
          <w:caps w:val="0"/>
          <w:color w:val="191919"/>
          <w:spacing w:val="0"/>
          <w:sz w:val="32"/>
          <w:szCs w:val="32"/>
          <w:shd w:val="clear" w:color="auto" w:fill="FFFFFF"/>
          <w:lang w:eastAsia="zh-CN"/>
        </w:rPr>
        <w:t>通过“彩虹讲堂”、</w:t>
      </w:r>
      <w:r>
        <w:rPr>
          <w:rFonts w:hint="eastAsia" w:ascii="仿宋_GB2312" w:hAnsi="仿宋_GB2312" w:eastAsia="仿宋_GB2312" w:cs="仿宋_GB2312"/>
          <w:i w:val="0"/>
          <w:caps w:val="0"/>
          <w:color w:val="191919"/>
          <w:spacing w:val="0"/>
          <w:sz w:val="32"/>
          <w:szCs w:val="32"/>
          <w:shd w:val="clear" w:color="auto" w:fill="FFFFFF"/>
          <w:lang w:val="en-US" w:eastAsia="zh-CN"/>
        </w:rPr>
        <w:t>依法行政培训、工委书记讲党课、青年干部面对面</w:t>
      </w:r>
      <w:r>
        <w:rPr>
          <w:rFonts w:hint="eastAsia" w:ascii="仿宋_GB2312" w:hAnsi="仿宋_GB2312" w:eastAsia="仿宋_GB2312" w:cs="仿宋_GB2312"/>
          <w:i w:val="0"/>
          <w:caps w:val="0"/>
          <w:color w:val="191919"/>
          <w:spacing w:val="0"/>
          <w:sz w:val="32"/>
          <w:szCs w:val="32"/>
          <w:shd w:val="clear" w:color="auto" w:fill="FFFFFF"/>
          <w:lang w:eastAsia="zh-CN"/>
        </w:rPr>
        <w:t>等平台，以集体学习、个人自学、辅导报告、交流研讨等形式，</w:t>
      </w:r>
      <w:r>
        <w:rPr>
          <w:rFonts w:hint="eastAsia" w:ascii="仿宋_GB2312" w:hAnsi="仿宋_GB2312" w:eastAsia="仿宋_GB2312" w:cs="仿宋_GB2312"/>
          <w:i w:val="0"/>
          <w:caps w:val="0"/>
          <w:color w:val="191919"/>
          <w:spacing w:val="0"/>
          <w:sz w:val="32"/>
          <w:szCs w:val="32"/>
          <w:shd w:val="clear" w:color="auto" w:fill="FFFFFF"/>
          <w:lang w:val="zh-CN" w:eastAsia="zh-CN"/>
        </w:rPr>
        <w:t>举办专题学习班等提高街道机关干部对基层党政机关工作新要求的认识与理解。</w:t>
      </w:r>
    </w:p>
    <w:p w14:paraId="5D9AE40D">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（二）优化政府效能，提升依法决策水平</w:t>
      </w:r>
    </w:p>
    <w:p w14:paraId="2A4B19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191919"/>
          <w:spacing w:val="0"/>
          <w:sz w:val="32"/>
          <w:szCs w:val="32"/>
          <w:shd w:val="clear" w:color="auto" w:fill="FFFFFF"/>
          <w:lang w:val="zh-CN" w:eastAsia="zh-CN"/>
        </w:rPr>
      </w:pPr>
      <w:r>
        <w:rPr>
          <w:rFonts w:hint="eastAsia" w:ascii="仿宋_GB2312" w:hAnsi="仿宋_GB2312" w:eastAsia="仿宋_GB2312" w:cs="仿宋_GB2312"/>
          <w:i w:val="0"/>
          <w:caps w:val="0"/>
          <w:color w:val="191919"/>
          <w:spacing w:val="0"/>
          <w:sz w:val="32"/>
          <w:szCs w:val="32"/>
          <w:shd w:val="clear" w:color="auto" w:fill="FFFFFF"/>
          <w:lang w:val="zh-CN" w:eastAsia="zh-CN"/>
        </w:rPr>
        <w:t>一是建立推动街道依法决策和依法行政的工作机制。街道建立了</w:t>
      </w:r>
      <w:r>
        <w:rPr>
          <w:rFonts w:hint="default" w:ascii="仿宋_GB2312" w:hAnsi="仿宋_GB2312" w:eastAsia="仿宋_GB2312" w:cs="仿宋_GB2312"/>
          <w:i w:val="0"/>
          <w:caps w:val="0"/>
          <w:color w:val="191919"/>
          <w:spacing w:val="0"/>
          <w:sz w:val="32"/>
          <w:szCs w:val="32"/>
          <w:shd w:val="clear" w:color="auto" w:fill="FFFFFF"/>
          <w:lang w:val="zh-CN" w:eastAsia="zh-CN"/>
        </w:rPr>
        <w:t>合同审查</w:t>
      </w:r>
      <w:r>
        <w:rPr>
          <w:rFonts w:hint="eastAsia" w:ascii="仿宋_GB2312" w:hAnsi="仿宋_GB2312" w:eastAsia="仿宋_GB2312" w:cs="仿宋_GB2312"/>
          <w:i w:val="0"/>
          <w:caps w:val="0"/>
          <w:color w:val="191919"/>
          <w:spacing w:val="0"/>
          <w:sz w:val="32"/>
          <w:szCs w:val="32"/>
          <w:shd w:val="clear" w:color="auto" w:fill="FFFFFF"/>
          <w:lang w:val="zh-CN" w:eastAsia="zh-CN"/>
        </w:rPr>
        <w:t>机制，统筹法律顾问参与</w:t>
      </w:r>
      <w:r>
        <w:rPr>
          <w:rFonts w:hint="default" w:ascii="仿宋_GB2312" w:hAnsi="仿宋_GB2312" w:eastAsia="仿宋_GB2312" w:cs="仿宋_GB2312"/>
          <w:i w:val="0"/>
          <w:caps w:val="0"/>
          <w:color w:val="191919"/>
          <w:spacing w:val="0"/>
          <w:sz w:val="32"/>
          <w:szCs w:val="32"/>
          <w:shd w:val="clear" w:color="auto" w:fill="FFFFFF"/>
          <w:lang w:val="zh-CN" w:eastAsia="zh-CN"/>
        </w:rPr>
        <w:t>决策合法性审查</w:t>
      </w:r>
      <w:r>
        <w:rPr>
          <w:rFonts w:hint="eastAsia" w:ascii="仿宋_GB2312" w:hAnsi="仿宋_GB2312" w:eastAsia="仿宋_GB2312" w:cs="仿宋_GB2312"/>
          <w:i w:val="0"/>
          <w:caps w:val="0"/>
          <w:color w:val="191919"/>
          <w:spacing w:val="0"/>
          <w:sz w:val="32"/>
          <w:szCs w:val="32"/>
          <w:shd w:val="clear" w:color="auto" w:fill="FFFFFF"/>
          <w:lang w:val="zh-CN" w:eastAsia="zh-CN"/>
        </w:rPr>
        <w:t>，完善了</w:t>
      </w:r>
      <w:r>
        <w:rPr>
          <w:rFonts w:hint="default" w:ascii="仿宋_GB2312" w:hAnsi="仿宋_GB2312" w:eastAsia="仿宋_GB2312" w:cs="仿宋_GB2312"/>
          <w:i w:val="0"/>
          <w:caps w:val="0"/>
          <w:color w:val="191919"/>
          <w:spacing w:val="0"/>
          <w:sz w:val="32"/>
          <w:szCs w:val="32"/>
          <w:shd w:val="clear" w:color="auto" w:fill="FFFFFF"/>
          <w:lang w:val="zh-CN" w:eastAsia="zh-CN"/>
        </w:rPr>
        <w:t>政府信息依申请公开工作流程</w:t>
      </w:r>
      <w:r>
        <w:rPr>
          <w:rFonts w:hint="eastAsia" w:ascii="仿宋_GB2312" w:hAnsi="仿宋_GB2312" w:eastAsia="仿宋_GB2312" w:cs="仿宋_GB2312"/>
          <w:i w:val="0"/>
          <w:caps w:val="0"/>
          <w:color w:val="191919"/>
          <w:spacing w:val="0"/>
          <w:sz w:val="32"/>
          <w:szCs w:val="32"/>
          <w:shd w:val="clear" w:color="auto" w:fill="FFFFFF"/>
          <w:lang w:val="zh-CN" w:eastAsia="zh-CN"/>
        </w:rPr>
        <w:t>，以制度方式明确了法律顾问代理行政</w:t>
      </w:r>
      <w:r>
        <w:rPr>
          <w:rFonts w:hint="default" w:ascii="仿宋_GB2312" w:hAnsi="仿宋_GB2312" w:eastAsia="仿宋_GB2312" w:cs="仿宋_GB2312"/>
          <w:i w:val="0"/>
          <w:caps w:val="0"/>
          <w:color w:val="191919"/>
          <w:spacing w:val="0"/>
          <w:sz w:val="32"/>
          <w:szCs w:val="32"/>
          <w:shd w:val="clear" w:color="auto" w:fill="FFFFFF"/>
          <w:lang w:val="zh-CN" w:eastAsia="zh-CN"/>
        </w:rPr>
        <w:t>诉讼</w:t>
      </w:r>
      <w:r>
        <w:rPr>
          <w:rFonts w:hint="eastAsia" w:ascii="仿宋_GB2312" w:hAnsi="仿宋_GB2312" w:eastAsia="仿宋_GB2312" w:cs="仿宋_GB2312"/>
          <w:i w:val="0"/>
          <w:caps w:val="0"/>
          <w:color w:val="191919"/>
          <w:spacing w:val="0"/>
          <w:sz w:val="32"/>
          <w:szCs w:val="32"/>
          <w:shd w:val="clear" w:color="auto" w:fill="FFFFFF"/>
          <w:lang w:val="zh-CN" w:eastAsia="zh-CN"/>
        </w:rPr>
        <w:t>和行政</w:t>
      </w:r>
      <w:r>
        <w:rPr>
          <w:rFonts w:hint="default" w:ascii="仿宋_GB2312" w:hAnsi="仿宋_GB2312" w:eastAsia="仿宋_GB2312" w:cs="仿宋_GB2312"/>
          <w:i w:val="0"/>
          <w:caps w:val="0"/>
          <w:color w:val="191919"/>
          <w:spacing w:val="0"/>
          <w:sz w:val="32"/>
          <w:szCs w:val="32"/>
          <w:shd w:val="clear" w:color="auto" w:fill="FFFFFF"/>
          <w:lang w:val="zh-CN" w:eastAsia="zh-CN"/>
        </w:rPr>
        <w:t>复议</w:t>
      </w:r>
      <w:r>
        <w:rPr>
          <w:rFonts w:hint="eastAsia" w:ascii="仿宋_GB2312" w:hAnsi="仿宋_GB2312" w:eastAsia="仿宋_GB2312" w:cs="仿宋_GB2312"/>
          <w:i w:val="0"/>
          <w:caps w:val="0"/>
          <w:color w:val="191919"/>
          <w:spacing w:val="0"/>
          <w:sz w:val="32"/>
          <w:szCs w:val="32"/>
          <w:shd w:val="clear" w:color="auto" w:fill="FFFFFF"/>
          <w:lang w:val="zh-CN" w:eastAsia="zh-CN"/>
        </w:rPr>
        <w:t>案件工作规范，通过</w:t>
      </w:r>
      <w:r>
        <w:rPr>
          <w:rFonts w:hint="eastAsia" w:ascii="仿宋_GB2312" w:hAnsi="仿宋_GB2312" w:eastAsia="仿宋_GB2312" w:cs="仿宋_GB2312"/>
          <w:i w:val="0"/>
          <w:caps w:val="0"/>
          <w:color w:val="191919"/>
          <w:spacing w:val="0"/>
          <w:sz w:val="32"/>
          <w:szCs w:val="32"/>
          <w:shd w:val="clear" w:color="auto" w:fill="FFFFFF"/>
          <w:lang w:eastAsia="zh-CN"/>
        </w:rPr>
        <w:t>《建国门街道诉讼案件应诉工作办法》</w:t>
      </w:r>
      <w:r>
        <w:rPr>
          <w:rFonts w:hint="eastAsia" w:ascii="仿宋_GB2312" w:hAnsi="仿宋_GB2312" w:eastAsia="仿宋_GB2312" w:cs="仿宋_GB2312"/>
          <w:i w:val="0"/>
          <w:caps w:val="0"/>
          <w:color w:val="191919"/>
          <w:spacing w:val="0"/>
          <w:sz w:val="32"/>
          <w:szCs w:val="32"/>
          <w:shd w:val="clear" w:color="auto" w:fill="FFFFFF"/>
          <w:lang w:val="zh-CN" w:eastAsia="zh-CN"/>
        </w:rPr>
        <w:t>为街道复议诉讼的开展提供了制度保障。</w:t>
      </w:r>
    </w:p>
    <w:p w14:paraId="03A472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191919"/>
          <w:spacing w:val="0"/>
          <w:sz w:val="32"/>
          <w:szCs w:val="32"/>
          <w:shd w:val="clear" w:color="auto" w:fill="FFFFFF"/>
          <w:lang w:val="en-US"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二是建立重大行政执法决定法制审核机制。</w:t>
      </w:r>
      <w:r>
        <w:rPr>
          <w:rFonts w:hint="default" w:ascii="仿宋_GB2312" w:hAnsi="仿宋_GB2312" w:eastAsia="仿宋_GB2312" w:cs="仿宋_GB2312"/>
          <w:i w:val="0"/>
          <w:caps w:val="0"/>
          <w:color w:val="191919"/>
          <w:spacing w:val="0"/>
          <w:sz w:val="32"/>
          <w:szCs w:val="32"/>
          <w:shd w:val="clear" w:color="auto" w:fill="FFFFFF"/>
          <w:lang w:val="en-US" w:eastAsia="zh-CN"/>
        </w:rPr>
        <w:t>行政执法体制改革</w:t>
      </w:r>
      <w:r>
        <w:rPr>
          <w:rFonts w:hint="eastAsia" w:ascii="仿宋_GB2312" w:hAnsi="仿宋_GB2312" w:eastAsia="仿宋_GB2312" w:cs="仿宋_GB2312"/>
          <w:i w:val="0"/>
          <w:caps w:val="0"/>
          <w:color w:val="191919"/>
          <w:spacing w:val="0"/>
          <w:sz w:val="32"/>
          <w:szCs w:val="32"/>
          <w:shd w:val="clear" w:color="auto" w:fill="FFFFFF"/>
          <w:lang w:val="en-US" w:eastAsia="zh-CN"/>
        </w:rPr>
        <w:t>后，街道成立重大行政执法决定法制审核工作小组，制定了《北京市东城区建国门街道行政执法决定法制审核暂行办法（试行）》《建国门街道办事处诉讼案件应诉工作办法》并多次召开会议研究讨论案件。截至12月底，街道法核小组共完成重大执法决定案件法制审核1件（因存在重大瑕疵未通过），参与案件研讨会7次。</w:t>
      </w:r>
    </w:p>
    <w:p w14:paraId="638239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三是健全完善规范性文件合法性审核机制。统筹法律顾问参与</w:t>
      </w:r>
      <w:r>
        <w:rPr>
          <w:rFonts w:hint="default" w:ascii="仿宋_GB2312" w:hAnsi="仿宋_GB2312" w:eastAsia="仿宋_GB2312" w:cs="仿宋_GB2312"/>
          <w:i w:val="0"/>
          <w:caps w:val="0"/>
          <w:color w:val="191919"/>
          <w:spacing w:val="0"/>
          <w:sz w:val="32"/>
          <w:szCs w:val="32"/>
          <w:shd w:val="clear" w:color="auto" w:fill="FFFFFF"/>
          <w:lang w:val="en-US" w:eastAsia="zh-CN"/>
        </w:rPr>
        <w:t>决策合法性审查</w:t>
      </w:r>
      <w:r>
        <w:rPr>
          <w:rFonts w:hint="eastAsia" w:ascii="仿宋_GB2312" w:hAnsi="仿宋_GB2312" w:eastAsia="仿宋_GB2312" w:cs="仿宋_GB2312"/>
          <w:i w:val="0"/>
          <w:caps w:val="0"/>
          <w:color w:val="191919"/>
          <w:spacing w:val="0"/>
          <w:sz w:val="32"/>
          <w:szCs w:val="32"/>
          <w:shd w:val="clear" w:color="auto" w:fill="FFFFFF"/>
          <w:lang w:val="en-US" w:eastAsia="zh-CN"/>
        </w:rPr>
        <w:t>。做到事前审查，提高规范性文件质量。针对街道开展专项任务中作出的重大行政决策和涉及的规范</w:t>
      </w:r>
      <w:r>
        <w:rPr>
          <w:rFonts w:hint="eastAsia" w:ascii="Times New Roman" w:hAnsi="Times New Roman" w:eastAsia="仿宋_GB2312" w:cs="Times New Roman"/>
          <w:sz w:val="32"/>
          <w:szCs w:val="32"/>
          <w:lang w:eastAsia="zh-CN"/>
        </w:rPr>
        <w:t>性文件、各类工作方案、通知公告等材料，加强法律顾问的卷入，由法律顾问审查其合法性。</w:t>
      </w:r>
    </w:p>
    <w:p w14:paraId="5B73EAB1">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四是依法推进政府职能转变和简政放权。积极探索政府服务线上线下新模式，紧跟政务服务电子化进程，为地区居民、企业提供贴心服务。进一步落实“服务中央单</w:t>
      </w:r>
      <w:r>
        <w:rPr>
          <w:rFonts w:hint="eastAsia" w:ascii="Times New Roman" w:hAnsi="Times New Roman" w:eastAsia="仿宋_GB2312" w:cs="Times New Roman"/>
          <w:sz w:val="32"/>
          <w:szCs w:val="32"/>
          <w:lang w:val="en-US" w:eastAsia="zh-CN"/>
        </w:rPr>
        <w:t>位和驻京部队”试点工作，助力企业单位新发展。</w:t>
      </w:r>
    </w:p>
    <w:p w14:paraId="2B3456BD">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（三）不断强化内外监督工作合力</w:t>
      </w:r>
    </w:p>
    <w:p w14:paraId="10945F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贯彻民主集中制，加强行政复议和行政应诉工作。认真贯彻民主集中制和重大事项集体决策制度，落实《建国门街道关于“三重一大”事项集体决策的实施办法（2021年修订）》《建国门街道诉讼案件应诉工作办法》等制度要求，凡涉及“三重一大”事项必经集体研究决策，落实“一把手”末位表态制，充分征求班子成员意见。在接到行政诉讼和行政复议案件通知的第一时间，及时联系法律顾问，根据其提出的法律建议准备相应的证据和文书材料，由法律顾问出具专业的答辩状等法律文书，并委托其和机关工作人员共同代理街道相关案件。</w:t>
      </w:r>
    </w:p>
    <w:p w14:paraId="101A8B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2"/>
          <w:sz w:val="32"/>
          <w:szCs w:val="32"/>
          <w:lang w:val="en-US" w:eastAsia="zh-CN" w:bidi="ar-SA"/>
        </w:rPr>
        <w:t>二是深化政府信息和政务公开。按照</w:t>
      </w:r>
      <w:r>
        <w:rPr>
          <w:rFonts w:hint="eastAsia" w:ascii="Times New Roman" w:hAnsi="Times New Roman" w:eastAsia="仿宋_GB2312" w:cs="Times New Roman"/>
          <w:sz w:val="32"/>
          <w:szCs w:val="32"/>
          <w:lang w:val="en-US" w:eastAsia="zh-CN"/>
        </w:rPr>
        <w:t>依法行政、法治政府建设及政府信息公开的相关要求，在信用中国、数字东城等网上平台公布相关信息，第一时间公布，到期清理，供公众查阅，接受公众监督。同时，对辖区企业开展信用承诺书签订和“谁执法谁普法”工作，对符合条件的企业开展信用修复工作。</w:t>
      </w:r>
    </w:p>
    <w:p w14:paraId="0ADA44BC">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（四）坚持法治思维法治方式，全面提升基层治理水平</w:t>
      </w:r>
    </w:p>
    <w:p w14:paraId="3BDC24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依法有效化解社会矛盾。始终坚持“把矛盾纠纷化解在社区，把问题解决萌芽状态”，努力实现“小事不出社区网格，大事不出街道”的目标，促进全地区和谐稳定。在每年重要时间节点开展矛盾纠纷排查工作，充分发挥人民调解“第一道防线”的基础性作用，以问题和需求为导向，运用线上线下联动平台，有效化解影响我辖区社会稳定的各类矛盾纠纷。从社会矛盾排查、预防和化解的各个环节努力做到突出重点，积极防控。</w:t>
      </w:r>
    </w:p>
    <w:p w14:paraId="3AE380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二是深化法治宣传教育。建国门街道普法工作机构积极落实普法责任，</w:t>
      </w:r>
      <w:r>
        <w:rPr>
          <w:rFonts w:hint="default" w:ascii="Times New Roman" w:hAnsi="Times New Roman" w:eastAsia="仿宋_GB2312" w:cs="Times New Roman"/>
          <w:kern w:val="2"/>
          <w:sz w:val="32"/>
          <w:szCs w:val="32"/>
          <w:lang w:val="en-US" w:eastAsia="zh-CN" w:bidi="ar-SA"/>
        </w:rPr>
        <w:t>推动落实“谁执法谁普法”责任，</w:t>
      </w:r>
      <w:r>
        <w:rPr>
          <w:rFonts w:hint="eastAsia" w:ascii="Times New Roman" w:hAnsi="Times New Roman" w:eastAsia="仿宋_GB2312" w:cs="Times New Roman"/>
          <w:kern w:val="2"/>
          <w:sz w:val="32"/>
          <w:szCs w:val="32"/>
          <w:lang w:val="en-US" w:eastAsia="zh-CN" w:bidi="ar-SA"/>
        </w:rPr>
        <w:t>深入推进“法律十进”，加大社区普法力度，充分发挥社区公益律师、法治宣传员、志愿者作用，开展各类法治宣传活动；组织社区利用法治宣传橱窗、社区法律书屋等阵地，大力开展法治宣传教育，进一步提高居民的法律素养。</w:t>
      </w:r>
    </w:p>
    <w:p w14:paraId="6DEFA9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kern w:val="2"/>
          <w:sz w:val="32"/>
          <w:szCs w:val="32"/>
          <w:lang w:val="en-US" w:eastAsia="zh-CN" w:bidi="ar-SA"/>
        </w:rPr>
        <w:t>三是构建起应急管理工作体系和机制。定期修订总体应急预案和专项应急预案，构建起了更全面的地区</w:t>
      </w:r>
      <w:r>
        <w:rPr>
          <w:rFonts w:hint="eastAsia" w:ascii="仿宋_GB2312" w:hAnsi="仿宋" w:eastAsia="仿宋_GB2312" w:cs="仿宋_GB2312"/>
          <w:color w:val="000000" w:themeColor="text1"/>
          <w:sz w:val="32"/>
          <w:szCs w:val="32"/>
          <w:lang w:val="en-US" w:eastAsia="zh-CN"/>
          <w14:textFill>
            <w14:solidFill>
              <w14:schemeClr w14:val="tx1"/>
            </w14:solidFill>
          </w14:textFill>
        </w:rPr>
        <w:t>应急防护网。适应应急管理体制改革的需要，街道成立了包含安全维稳、极端天气、消防安全、医疗卫生等7支应急组的应急小分队，以及以社区志愿者为主要力量的应急志愿者街道大队。在制度机制和人员到位的基础上，大力加强技防物防设施建设，开展全民应急培训演练，筑牢安全防线。</w:t>
      </w:r>
    </w:p>
    <w:p w14:paraId="3C23F0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2022</w:t>
      </w:r>
      <w:r>
        <w:rPr>
          <w:rFonts w:hint="default" w:ascii="Times New Roman" w:hAnsi="Times New Roman" w:eastAsia="黑体" w:cs="Times New Roman"/>
          <w:kern w:val="0"/>
          <w:sz w:val="32"/>
          <w:szCs w:val="32"/>
        </w:rPr>
        <w:t>年推进法治政府建设存在的不足和原因</w:t>
      </w:r>
    </w:p>
    <w:p w14:paraId="2F538B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一是思想认识仍有差距。部分干部对全面依法治国和法治政府建设的认识不到位，重具体业务，轻理论学习。</w:t>
      </w:r>
    </w:p>
    <w:p w14:paraId="769994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二是法治工作的专业人员经验不足。目前司法所工作人员4名，缺编1人，其中2名为新调入人员，工作经验不足。</w:t>
      </w:r>
    </w:p>
    <w:p w14:paraId="0B995A2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三是相关预算不足。因预算不足影响部分工作开展。</w:t>
      </w:r>
    </w:p>
    <w:p w14:paraId="04870BA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2022</w:t>
      </w:r>
      <w:r>
        <w:rPr>
          <w:rFonts w:hint="default" w:ascii="Times New Roman" w:hAnsi="Times New Roman" w:eastAsia="黑体" w:cs="Times New Roman"/>
          <w:kern w:val="0"/>
          <w:sz w:val="32"/>
          <w:szCs w:val="32"/>
          <w:lang w:val="en-US" w:eastAsia="zh-CN"/>
        </w:rPr>
        <w:t>年党政主要负责人履行推进法治建设第一责任人职责，加强法治政府建设的有关情况</w:t>
      </w:r>
    </w:p>
    <w:p w14:paraId="195772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shd w:val="clear" w:color="auto" w:fill="auto"/>
          <w:lang w:val="en-US" w:eastAsia="zh-CN"/>
        </w:rPr>
        <w:t>建国门街道深刻领会党建引领下的街道工作体制机制，</w:t>
      </w:r>
      <w:r>
        <w:rPr>
          <w:rFonts w:hint="eastAsia" w:ascii="仿宋_GB2312" w:hAnsi="仿宋_GB2312" w:eastAsia="仿宋_GB2312" w:cs="仿宋_GB2312"/>
          <w:i w:val="0"/>
          <w:caps w:val="0"/>
          <w:color w:val="191919"/>
          <w:spacing w:val="0"/>
          <w:sz w:val="32"/>
          <w:szCs w:val="32"/>
          <w:shd w:val="clear" w:color="auto" w:fill="FFFFFF"/>
          <w:lang w:eastAsia="zh-CN"/>
        </w:rPr>
        <w:t>街道工委书记、办事处主任</w:t>
      </w:r>
      <w:r>
        <w:rPr>
          <w:rFonts w:hint="eastAsia" w:ascii="仿宋_GB2312" w:hAnsi="仿宋_GB2312" w:eastAsia="仿宋_GB2312" w:cs="仿宋_GB2312"/>
          <w:i w:val="0"/>
          <w:caps w:val="0"/>
          <w:color w:val="191919"/>
          <w:spacing w:val="0"/>
          <w:sz w:val="32"/>
          <w:szCs w:val="32"/>
          <w:shd w:val="clear" w:color="auto" w:fill="FFFFFF"/>
        </w:rPr>
        <w:t>认真履行第一责任人职责，自觉做尊法学法守法用法的模范，把</w:t>
      </w:r>
      <w:r>
        <w:rPr>
          <w:rFonts w:hint="eastAsia" w:ascii="仿宋_GB2312" w:hAnsi="仿宋_GB2312" w:eastAsia="仿宋_GB2312" w:cs="仿宋_GB2312"/>
          <w:i w:val="0"/>
          <w:caps w:val="0"/>
          <w:color w:val="191919"/>
          <w:spacing w:val="0"/>
          <w:sz w:val="32"/>
          <w:szCs w:val="32"/>
          <w:shd w:val="clear" w:color="auto" w:fill="FFFFFF"/>
          <w:lang w:eastAsia="zh-CN"/>
        </w:rPr>
        <w:t>推进法治建设</w:t>
      </w:r>
      <w:r>
        <w:rPr>
          <w:rFonts w:hint="eastAsia" w:ascii="仿宋_GB2312" w:hAnsi="仿宋_GB2312" w:eastAsia="仿宋_GB2312" w:cs="仿宋_GB2312"/>
          <w:i w:val="0"/>
          <w:caps w:val="0"/>
          <w:color w:val="191919"/>
          <w:spacing w:val="0"/>
          <w:sz w:val="32"/>
          <w:szCs w:val="32"/>
          <w:shd w:val="clear" w:color="auto" w:fill="FFFFFF"/>
        </w:rPr>
        <w:t>作为重要工作来推动。</w:t>
      </w:r>
      <w:r>
        <w:rPr>
          <w:rFonts w:hint="eastAsia" w:ascii="仿宋_GB2312" w:hAnsi="仿宋_GB2312" w:eastAsia="仿宋_GB2312" w:cs="仿宋_GB2312"/>
          <w:i w:val="0"/>
          <w:caps w:val="0"/>
          <w:color w:val="191919"/>
          <w:spacing w:val="0"/>
          <w:sz w:val="32"/>
          <w:szCs w:val="32"/>
          <w:shd w:val="clear" w:color="auto" w:fill="FFFFFF"/>
          <w:lang w:eastAsia="zh-CN"/>
        </w:rPr>
        <w:t>通过理论学习中心组学习，主任办公会会前学法、工委书记讲党课等固定形式向街道干部宣讲法律。通过《建国门街道诉讼案件应诉工作办法》明确应诉流程，落实好领导干部出庭应诉及相关案例分析会制度。同时认真落实好</w:t>
      </w:r>
      <w:r>
        <w:rPr>
          <w:rFonts w:hint="eastAsia" w:ascii="仿宋_GB2312" w:hAnsi="仿宋_GB2312" w:eastAsia="仿宋_GB2312" w:cs="仿宋_GB2312"/>
          <w:sz w:val="32"/>
          <w:szCs w:val="32"/>
          <w:shd w:val="clear" w:color="auto" w:fill="auto"/>
          <w:lang w:val="en-US" w:eastAsia="zh-CN"/>
        </w:rPr>
        <w:t>探索党建引领基层治理有效途径的必要性、紧迫性，</w:t>
      </w:r>
      <w:r>
        <w:rPr>
          <w:rFonts w:hint="eastAsia" w:ascii="仿宋_GB2312" w:hAnsi="仿宋_GB2312" w:eastAsia="仿宋_GB2312" w:cs="仿宋_GB2312"/>
          <w:i w:val="0"/>
          <w:caps w:val="0"/>
          <w:color w:val="191919"/>
          <w:spacing w:val="0"/>
          <w:sz w:val="32"/>
          <w:szCs w:val="32"/>
          <w:shd w:val="clear" w:color="auto" w:fill="FFFFFF"/>
          <w:lang w:eastAsia="zh-CN"/>
        </w:rPr>
        <w:t>坚持运用法治思维开展工作，强化了对本地区法治政府建设的组织领导，确保了地区社会稳定。</w:t>
      </w:r>
    </w:p>
    <w:p w14:paraId="6FFFD8B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2023</w:t>
      </w:r>
      <w:r>
        <w:rPr>
          <w:rFonts w:hint="default" w:ascii="Times New Roman" w:hAnsi="Times New Roman" w:eastAsia="黑体" w:cs="Times New Roman"/>
          <w:kern w:val="0"/>
          <w:sz w:val="32"/>
          <w:szCs w:val="32"/>
          <w:lang w:val="en-US" w:eastAsia="zh-CN"/>
        </w:rPr>
        <w:t>年推进法治政府建设的主要安排</w:t>
      </w:r>
    </w:p>
    <w:p w14:paraId="137182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仿宋_GB2312"/>
          <w:b/>
          <w:bCs/>
          <w:sz w:val="32"/>
          <w:szCs w:val="32"/>
          <w:lang w:val="en-US" w:eastAsia="zh-CN"/>
        </w:rPr>
        <w:t>一</w:t>
      </w:r>
      <w:r>
        <w:rPr>
          <w:rFonts w:hint="eastAsia" w:ascii="Times New Roman" w:hAnsi="Times New Roman" w:eastAsia="仿宋_GB2312" w:cs="Times New Roman"/>
          <w:kern w:val="0"/>
          <w:sz w:val="32"/>
          <w:szCs w:val="32"/>
          <w:lang w:val="en-US" w:eastAsia="zh-CN" w:bidi="ar-SA"/>
        </w:rPr>
        <w:t>是做好党建引领，落实党政主要负责人推进法治建设第一责任人职责，增加会前学法频次，落实各项制度要求。</w:t>
      </w:r>
    </w:p>
    <w:p w14:paraId="1691BC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bidi="ar-SA"/>
        </w:rPr>
        <w:t>二是</w:t>
      </w:r>
      <w:r>
        <w:rPr>
          <w:rFonts w:hint="default" w:ascii="Times New Roman" w:hAnsi="Times New Roman" w:eastAsia="仿宋_GB2312" w:cs="Times New Roman"/>
          <w:sz w:val="32"/>
          <w:szCs w:val="32"/>
          <w:lang w:val="en-US" w:eastAsia="zh-CN"/>
        </w:rPr>
        <w:t>全力做好202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全国两会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文明城区迎检</w:t>
      </w:r>
      <w:r>
        <w:rPr>
          <w:rFonts w:hint="default" w:ascii="Times New Roman" w:hAnsi="Times New Roman" w:eastAsia="仿宋_GB2312" w:cs="Times New Roman"/>
          <w:sz w:val="32"/>
          <w:szCs w:val="32"/>
          <w:lang w:val="en-US" w:eastAsia="zh-CN"/>
        </w:rPr>
        <w:t>等重要活动服务保障工作。完成202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年元旦春节烟花爆竹禁放等各项</w:t>
      </w:r>
      <w:r>
        <w:rPr>
          <w:rFonts w:hint="eastAsia" w:ascii="Times New Roman" w:hAnsi="Times New Roman" w:eastAsia="仿宋_GB2312" w:cs="Times New Roman"/>
          <w:sz w:val="32"/>
          <w:szCs w:val="32"/>
          <w:lang w:val="en-US" w:eastAsia="zh-CN"/>
        </w:rPr>
        <w:t>安保</w:t>
      </w:r>
      <w:r>
        <w:rPr>
          <w:rFonts w:hint="default" w:ascii="Times New Roman" w:hAnsi="Times New Roman" w:eastAsia="仿宋_GB2312" w:cs="Times New Roman"/>
          <w:sz w:val="32"/>
          <w:szCs w:val="32"/>
          <w:lang w:val="en-US" w:eastAsia="zh-CN"/>
        </w:rPr>
        <w:t>维稳工作。</w:t>
      </w:r>
    </w:p>
    <w:p w14:paraId="157575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三是依法全面履行政府职能。</w:t>
      </w:r>
      <w:r>
        <w:rPr>
          <w:rFonts w:hint="eastAsia" w:ascii="Times New Roman" w:hAnsi="Times New Roman" w:eastAsia="仿宋_GB2312" w:cs="Times New Roman"/>
          <w:kern w:val="0"/>
          <w:sz w:val="32"/>
          <w:szCs w:val="32"/>
          <w:lang w:val="en-US" w:eastAsia="zh-CN" w:bidi="ar-SA"/>
        </w:rPr>
        <w:t>将法治政府建设纳入街道全局工作的高度加以统筹，加强依法行政工作，定期组织开</w:t>
      </w:r>
      <w:r>
        <w:rPr>
          <w:rFonts w:hint="eastAsia" w:ascii="Times New Roman" w:hAnsi="Times New Roman" w:eastAsia="仿宋_GB2312" w:cs="仿宋_GB2312"/>
          <w:sz w:val="32"/>
          <w:szCs w:val="32"/>
          <w:lang w:val="en-US" w:eastAsia="zh-CN"/>
        </w:rPr>
        <w:t>展法治工作培训，干部旁听案件工作，提高干部法律素养。</w:t>
      </w:r>
    </w:p>
    <w:p w14:paraId="1E3904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四是落实《北京市街道办事处条例》《北京市接诉即办工作条例》工作要求，</w:t>
      </w:r>
      <w:r>
        <w:rPr>
          <w:rFonts w:hint="default" w:ascii="Times New Roman" w:hAnsi="Times New Roman" w:eastAsia="仿宋_GB2312" w:cs="仿宋_GB2312"/>
          <w:sz w:val="32"/>
          <w:szCs w:val="32"/>
          <w:lang w:val="en-US" w:eastAsia="zh-CN"/>
        </w:rPr>
        <w:t>拓展“热线+网格”为民服务模式，突出居民需求导向</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扎实做好接诉即办工作。</w:t>
      </w:r>
    </w:p>
    <w:p w14:paraId="641652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w:t>
      </w:r>
      <w:r>
        <w:rPr>
          <w:rFonts w:hint="eastAsia" w:ascii="Times New Roman" w:hAnsi="Times New Roman" w:eastAsia="仿宋_GB2312" w:cs="仿宋_GB2312"/>
          <w:sz w:val="32"/>
          <w:szCs w:val="32"/>
          <w:lang w:val="en-US" w:eastAsia="zh-CN"/>
        </w:rPr>
        <w:t>强化组织领导，确保取得实效。切实履行职责，加强法制机构建设，配足专业力量，形成推进法治政府建设长效机制。</w:t>
      </w:r>
    </w:p>
    <w:p w14:paraId="765555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六是进一步加强基础工作，健全各类工作台账，完善公共法律服务体系，有效提升依法行政工作水平。</w:t>
      </w:r>
    </w:p>
    <w:p w14:paraId="0430EF1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rPr>
          <w:rFonts w:hint="eastAsia"/>
          <w:lang w:val="en-US" w:eastAsia="zh-CN"/>
        </w:rPr>
      </w:pPr>
    </w:p>
    <w:p w14:paraId="7688C8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p>
    <w:p w14:paraId="3F275DE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eastAsia" w:ascii="Times New Roman" w:hAnsi="Times New Roman" w:eastAsia="仿宋_GB2312" w:cs="Times New Roman"/>
          <w:kern w:val="0"/>
          <w:sz w:val="32"/>
          <w:szCs w:val="32"/>
          <w:lang w:val="en-US" w:eastAsia="zh-CN" w:bidi="ar-SA"/>
        </w:rPr>
      </w:pPr>
    </w:p>
    <w:p w14:paraId="294BC4D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eastAsia" w:ascii="Times New Roman" w:hAnsi="Times New Roman" w:cs="Times New Roman"/>
          <w:kern w:val="0"/>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2FDDB4-2192-4B67-AD58-846C7C3112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89FCAAAE-E34F-4252-989B-BBD82A29B50B}"/>
  </w:font>
  <w:font w:name="仿宋">
    <w:panose1 w:val="02010609060101010101"/>
    <w:charset w:val="86"/>
    <w:family w:val="auto"/>
    <w:pitch w:val="default"/>
    <w:sig w:usb0="800002BF" w:usb1="38CF7CFA" w:usb2="00000016" w:usb3="00000000" w:csb0="00040001" w:csb1="00000000"/>
    <w:embedRegular r:id="rId3" w:fontKey="{29A330E1-8950-4B17-9D10-F76468126261}"/>
  </w:font>
  <w:font w:name="方正小标宋简体">
    <w:panose1 w:val="02000000000000000000"/>
    <w:charset w:val="86"/>
    <w:family w:val="auto"/>
    <w:pitch w:val="default"/>
    <w:sig w:usb0="00000001" w:usb1="08000000" w:usb2="00000000" w:usb3="00000000" w:csb0="00040000" w:csb1="00000000"/>
    <w:embedRegular r:id="rId4" w:fontKey="{316F8731-0B49-4818-8AF5-CEABA08EB1FC}"/>
  </w:font>
  <w:font w:name="楷体_GB2312">
    <w:altName w:val="楷体"/>
    <w:panose1 w:val="02010609030101010101"/>
    <w:charset w:val="86"/>
    <w:family w:val="modern"/>
    <w:pitch w:val="default"/>
    <w:sig w:usb0="00000000" w:usb1="00000000" w:usb2="00000000" w:usb3="00000000" w:csb0="00040000" w:csb1="00000000"/>
    <w:embedRegular r:id="rId5" w:fontKey="{6BA4F0C1-CAE2-4506-A3BD-6C9DF1F2C7C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BAE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46D18">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B46D18">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8D40E"/>
    <w:multiLevelType w:val="singleLevel"/>
    <w:tmpl w:val="E228D40E"/>
    <w:lvl w:ilvl="0" w:tentative="0">
      <w:start w:val="1"/>
      <w:numFmt w:val="chineseCounting"/>
      <w:suff w:val="nothing"/>
      <w:lvlText w:val="（%1）"/>
      <w:lvlJc w:val="left"/>
      <w:rPr>
        <w:rFonts w:hint="eastAsia"/>
      </w:rPr>
    </w:lvl>
  </w:abstractNum>
  <w:abstractNum w:abstractNumId="1">
    <w:nsid w:val="5FC0C172"/>
    <w:multiLevelType w:val="singleLevel"/>
    <w:tmpl w:val="5FC0C17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20DBE"/>
    <w:rsid w:val="00442308"/>
    <w:rsid w:val="006F46ED"/>
    <w:rsid w:val="00B13553"/>
    <w:rsid w:val="00CD104B"/>
    <w:rsid w:val="01487964"/>
    <w:rsid w:val="02195225"/>
    <w:rsid w:val="04B10346"/>
    <w:rsid w:val="05971F14"/>
    <w:rsid w:val="05C94EFA"/>
    <w:rsid w:val="066875FD"/>
    <w:rsid w:val="06B22BDE"/>
    <w:rsid w:val="07641328"/>
    <w:rsid w:val="09AD0611"/>
    <w:rsid w:val="0A1A1768"/>
    <w:rsid w:val="0DB35763"/>
    <w:rsid w:val="0F973739"/>
    <w:rsid w:val="0FDB0B60"/>
    <w:rsid w:val="10234CFD"/>
    <w:rsid w:val="102E3480"/>
    <w:rsid w:val="118010F2"/>
    <w:rsid w:val="1480456A"/>
    <w:rsid w:val="15672D47"/>
    <w:rsid w:val="186A4D4F"/>
    <w:rsid w:val="18A260D7"/>
    <w:rsid w:val="19522721"/>
    <w:rsid w:val="1A313A3D"/>
    <w:rsid w:val="1B0066B0"/>
    <w:rsid w:val="1BC5452A"/>
    <w:rsid w:val="1BD50E06"/>
    <w:rsid w:val="1ECD479D"/>
    <w:rsid w:val="20323A88"/>
    <w:rsid w:val="216336E6"/>
    <w:rsid w:val="21CB2A6D"/>
    <w:rsid w:val="22466ACF"/>
    <w:rsid w:val="2313186A"/>
    <w:rsid w:val="24224DE0"/>
    <w:rsid w:val="2702357C"/>
    <w:rsid w:val="27846E9D"/>
    <w:rsid w:val="2785416B"/>
    <w:rsid w:val="28E35D66"/>
    <w:rsid w:val="2B9744B9"/>
    <w:rsid w:val="2E061FBD"/>
    <w:rsid w:val="2EFD1BE5"/>
    <w:rsid w:val="3127041E"/>
    <w:rsid w:val="31B610BB"/>
    <w:rsid w:val="32FD09B7"/>
    <w:rsid w:val="33BE27B6"/>
    <w:rsid w:val="34224E26"/>
    <w:rsid w:val="346975BE"/>
    <w:rsid w:val="357B02FD"/>
    <w:rsid w:val="36663B0B"/>
    <w:rsid w:val="37916D3A"/>
    <w:rsid w:val="398451C2"/>
    <w:rsid w:val="39AA6929"/>
    <w:rsid w:val="39DD0868"/>
    <w:rsid w:val="3A120DD4"/>
    <w:rsid w:val="3A536E72"/>
    <w:rsid w:val="3B6322B8"/>
    <w:rsid w:val="3CE673D9"/>
    <w:rsid w:val="3D1D5BA5"/>
    <w:rsid w:val="3D3A20B8"/>
    <w:rsid w:val="3D6E7BDB"/>
    <w:rsid w:val="3E05009A"/>
    <w:rsid w:val="3E1C17F5"/>
    <w:rsid w:val="3F5D2214"/>
    <w:rsid w:val="3FA47666"/>
    <w:rsid w:val="3FD86BB9"/>
    <w:rsid w:val="40F365CA"/>
    <w:rsid w:val="42C04880"/>
    <w:rsid w:val="43220DBE"/>
    <w:rsid w:val="44100184"/>
    <w:rsid w:val="45C90709"/>
    <w:rsid w:val="45E10BA3"/>
    <w:rsid w:val="461C0349"/>
    <w:rsid w:val="46D61F44"/>
    <w:rsid w:val="475830A0"/>
    <w:rsid w:val="49043EE7"/>
    <w:rsid w:val="4E487487"/>
    <w:rsid w:val="4E947BA4"/>
    <w:rsid w:val="4F145230"/>
    <w:rsid w:val="50192970"/>
    <w:rsid w:val="50551EDA"/>
    <w:rsid w:val="52FA687F"/>
    <w:rsid w:val="56994A44"/>
    <w:rsid w:val="56E967B8"/>
    <w:rsid w:val="57C30A7D"/>
    <w:rsid w:val="5A723B20"/>
    <w:rsid w:val="5BA840FE"/>
    <w:rsid w:val="5CA71914"/>
    <w:rsid w:val="5CC176B4"/>
    <w:rsid w:val="5F117420"/>
    <w:rsid w:val="605A31D6"/>
    <w:rsid w:val="62D12F8F"/>
    <w:rsid w:val="646D04FD"/>
    <w:rsid w:val="649C4CE6"/>
    <w:rsid w:val="664539DC"/>
    <w:rsid w:val="673A553D"/>
    <w:rsid w:val="6835044E"/>
    <w:rsid w:val="68C44060"/>
    <w:rsid w:val="694E1583"/>
    <w:rsid w:val="69884EBD"/>
    <w:rsid w:val="6B3B16F4"/>
    <w:rsid w:val="6B6B0FCC"/>
    <w:rsid w:val="6C6532AB"/>
    <w:rsid w:val="6E0108CC"/>
    <w:rsid w:val="6EA05581"/>
    <w:rsid w:val="700E0E0E"/>
    <w:rsid w:val="71E44326"/>
    <w:rsid w:val="737B6545"/>
    <w:rsid w:val="74F36487"/>
    <w:rsid w:val="765812E0"/>
    <w:rsid w:val="772562E1"/>
    <w:rsid w:val="7756297D"/>
    <w:rsid w:val="775A2B3B"/>
    <w:rsid w:val="7AF66D69"/>
    <w:rsid w:val="7CB909A7"/>
    <w:rsid w:val="7D4332DA"/>
    <w:rsid w:val="7E9D1CE2"/>
    <w:rsid w:val="7F9605E5"/>
    <w:rsid w:val="7FA665E7"/>
    <w:rsid w:val="7FE0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rPr>
  </w:style>
  <w:style w:type="paragraph" w:customStyle="1" w:styleId="9">
    <w:name w:val=" Char Char Char"/>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2897</Words>
  <Characters>2925</Characters>
  <Lines>0</Lines>
  <Paragraphs>0</Paragraphs>
  <TotalTime>0</TotalTime>
  <ScaleCrop>false</ScaleCrop>
  <LinksUpToDate>false</LinksUpToDate>
  <CharactersWithSpaces>2927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2021-09-26T04:27:00Z</dcterms:created>
  <dc:creator>LX</dc:creator>
  <cp:lastModifiedBy>依然</cp:lastModifiedBy>
  <cp:lastPrinted>2021-10-12T09:09:00Z</cp:lastPrinted>
  <dcterms:modified xsi:type="dcterms:W3CDTF">2025-06-05T09:22:06Z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D86BF6540E3147D8A127BC00677ACA65_12</vt:lpwstr>
  </property>
  <property fmtid="{D5CDD505-2E9C-101B-9397-08002B2CF9AE}" pid="4" name="KSOTemplateDocerSaveRecord">
    <vt:lpwstr>eyJoZGlkIjoiODViY2JkMjU3NGYzZTEwMzZmMGFkZWViYmNkYWU3NDIiLCJ1c2VySWQiOiIxMTc2MDE0ODk4In0=</vt:lpwstr>
  </property>
</Properties>
</file>