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eastAsia="zh-CN"/>
        </w:rPr>
      </w:pPr>
      <w:bookmarkStart w:id="0" w:name="_GoBack"/>
      <w:bookmarkEnd w:id="0"/>
      <w:r>
        <w:rPr>
          <w:rFonts w:hint="eastAsia" w:eastAsia="方正小标宋简体" w:cs="Times New Roman"/>
          <w:sz w:val="44"/>
          <w:szCs w:val="44"/>
          <w:lang w:eastAsia="zh-CN"/>
        </w:rPr>
        <w:t>东城区东直门街道办事处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val="en-US" w:eastAsia="zh-CN"/>
        </w:rPr>
        <w:t>年以来，</w:t>
      </w:r>
      <w:r>
        <w:rPr>
          <w:rFonts w:hint="eastAsia" w:ascii="Times New Roman" w:hAnsi="Times New Roman" w:eastAsia="仿宋_GB2312" w:cs="Times New Roman"/>
          <w:sz w:val="32"/>
          <w:szCs w:val="32"/>
          <w:lang w:val="en-US" w:eastAsia="zh-CN"/>
        </w:rPr>
        <w:t>在习近平新时代中国特色社会主义思想特别是习近平法治思想的科学指引下，在区委、区政府的正确领导下，东直门街道</w:t>
      </w:r>
      <w:r>
        <w:rPr>
          <w:rFonts w:hint="default" w:ascii="Times New Roman" w:hAnsi="Times New Roman" w:eastAsia="仿宋_GB2312" w:cs="Times New Roman"/>
          <w:sz w:val="32"/>
          <w:szCs w:val="32"/>
          <w:lang w:val="en-US" w:eastAsia="zh-CN"/>
        </w:rPr>
        <w:t>全面</w:t>
      </w:r>
      <w:r>
        <w:rPr>
          <w:rFonts w:hint="eastAsia" w:ascii="Times New Roman" w:hAnsi="Times New Roman" w:eastAsia="仿宋_GB2312" w:cs="Times New Roman"/>
          <w:sz w:val="32"/>
          <w:szCs w:val="32"/>
          <w:lang w:val="en-US" w:eastAsia="zh-CN"/>
        </w:rPr>
        <w:t>贯彻</w:t>
      </w:r>
      <w:r>
        <w:rPr>
          <w:rFonts w:hint="default" w:ascii="Times New Roman" w:hAnsi="Times New Roman" w:eastAsia="仿宋_GB2312" w:cs="Times New Roman"/>
          <w:sz w:val="32"/>
          <w:szCs w:val="32"/>
          <w:lang w:val="en-US" w:eastAsia="zh-CN"/>
        </w:rPr>
        <w:t>落实《法治政府建设实施纲要（20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落实中央、市、区关于法治政府建设的决策部署，</w:t>
      </w:r>
      <w:r>
        <w:rPr>
          <w:rFonts w:hint="eastAsia" w:eastAsia="仿宋_GB2312" w:cs="Times New Roman"/>
          <w:sz w:val="32"/>
          <w:szCs w:val="32"/>
          <w:lang w:val="en-US" w:eastAsia="zh-CN"/>
        </w:rPr>
        <w:t>坚持依法行政、规范执法，</w:t>
      </w:r>
      <w:r>
        <w:rPr>
          <w:rFonts w:hint="eastAsia" w:ascii="Times New Roman" w:hAnsi="Times New Roman" w:eastAsia="仿宋_GB2312" w:cs="Times New Roman"/>
          <w:sz w:val="32"/>
          <w:szCs w:val="32"/>
          <w:lang w:val="en-US" w:eastAsia="zh-CN"/>
        </w:rPr>
        <w:t>努力提升执法水平，进一步推进法治政府建设工作制度化、规范化，营造良好法治环境。</w:t>
      </w:r>
      <w:r>
        <w:rPr>
          <w:rFonts w:hint="default" w:ascii="Times New Roman" w:hAnsi="Times New Roman" w:eastAsia="仿宋_GB2312" w:cs="Times New Roman"/>
          <w:sz w:val="32"/>
          <w:szCs w:val="32"/>
          <w:lang w:val="en-US" w:eastAsia="zh-CN"/>
        </w:rPr>
        <w:t>现将20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年度法治政府建设情况报告如下：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2021</w:t>
      </w:r>
      <w:r>
        <w:rPr>
          <w:rFonts w:hint="default" w:ascii="Times New Roman" w:hAnsi="Times New Roman" w:eastAsia="黑体" w:cs="Times New Roman"/>
          <w:sz w:val="32"/>
          <w:szCs w:val="32"/>
          <w:lang w:val="en-US" w:eastAsia="zh-CN"/>
        </w:rPr>
        <w:t>年推进法治政府建设的主要举措和成效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楷体_GB2312" w:hAnsi="楷体_GB2312" w:eastAsia="楷体_GB2312" w:cs="楷体_GB2312"/>
          <w:sz w:val="32"/>
          <w:szCs w:val="32"/>
          <w:lang w:val="en-US" w:eastAsia="zh-CN"/>
        </w:rPr>
        <w:t>（一）加强组织领导，明确责任落实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高度重视法治政府建设工作，严格落实上级关于全面推进法治政府建设的各项要求部署，将法治政府建设工作科学化、常态化。一是把依法行政作为工作的原则和标准，形成以街道主要领导为组长的依法行政领导小组，明确街道主要领导为依法行政工作第一责任人，各分管领导为工作落实具体责任人，层层压实，逐级监督。二是领导班子成员定期召开法治工作部署会，把法治政府建设工作列入重要议事日程，狠抓落实。三是按照“谁主管、谁负责”的原则，将工作责任明确到各分管领导、各部门、各具体负责人。四是把法治素养和依法履职情况纳入考核评价干部的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(二)健全决策机制，坚持科学民主依法决策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坚持科学决策、民主决策、依法决策</w:t>
      </w:r>
      <w:r>
        <w:rPr>
          <w:rFonts w:hint="eastAsia" w:ascii="仿宋_GB2312" w:hAnsi="仿宋_GB2312" w:eastAsia="仿宋_GB2312" w:cs="仿宋_GB2312"/>
          <w:sz w:val="32"/>
          <w:szCs w:val="32"/>
          <w:lang w:eastAsia="zh-CN"/>
        </w:rPr>
        <w:t>，确保决策内容符合法律法规规定。严格执行重大行政决策法定程序，认真落实政府法律顾问制度，加强对重大行政决策的合法性审查，推进决策的法治化。在涉及管辖区域内经济社会发展和群众利益的重大问题上，加大公众参与力度，深入开展风险评估，认真听取和反映利益相关群体的意见建议，提高了行政决策的科学化水平。街道始终坚持由职能部门提出决策议案，分管领导先期审查，最后提交街道主任办公会、工委会集体讨论决定的制度和程序，明确了决策主体、事项范围、法定程序、法律责任，防止了行政决策的随意性，规范了民主决策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（三）加强政务公开，拓宽民主监督渠道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一是加强政务公开工作的组织领导建设</w:t>
      </w:r>
      <w:r>
        <w:rPr>
          <w:rFonts w:hint="default" w:ascii="Times New Roman" w:hAnsi="Times New Roman" w:eastAsia="仿宋_GB2312" w:cs="Times New Roman"/>
          <w:sz w:val="32"/>
          <w:szCs w:val="32"/>
          <w:lang w:val="en-US" w:eastAsia="zh-CN"/>
        </w:rPr>
        <w:t>，明确</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信息公开</w:t>
      </w:r>
      <w:r>
        <w:rPr>
          <w:rFonts w:hint="eastAsia" w:ascii="Times New Roman" w:hAnsi="Times New Roman" w:eastAsia="仿宋_GB2312" w:cs="Times New Roman"/>
          <w:sz w:val="32"/>
          <w:szCs w:val="32"/>
          <w:lang w:val="en-US" w:eastAsia="zh-CN"/>
        </w:rPr>
        <w:t>工作主要</w:t>
      </w:r>
      <w:r>
        <w:rPr>
          <w:rFonts w:hint="default" w:ascii="Times New Roman" w:hAnsi="Times New Roman"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以及职能科室和具体工作人员。形成了主要领导亲自抓，分管领导具体抓，部门人员专门抓，层层抓落实的组织机构网络。二是</w:t>
      </w:r>
      <w:r>
        <w:rPr>
          <w:rFonts w:hint="default" w:ascii="Times New Roman" w:hAnsi="Times New Roman" w:eastAsia="仿宋_GB2312" w:cs="Times New Roman"/>
          <w:sz w:val="32"/>
          <w:szCs w:val="32"/>
          <w:lang w:val="en-US" w:eastAsia="zh-CN"/>
        </w:rPr>
        <w:t>认真贯彻《政府信息公开条例》，</w:t>
      </w:r>
      <w:r>
        <w:rPr>
          <w:rFonts w:hint="eastAsia" w:ascii="Times New Roman" w:hAnsi="Times New Roman" w:eastAsia="仿宋_GB2312" w:cs="Times New Roman"/>
          <w:sz w:val="32"/>
          <w:szCs w:val="32"/>
          <w:lang w:val="en-US" w:eastAsia="zh-CN"/>
        </w:rPr>
        <w:t>在区政务服务局的精确指导下，</w:t>
      </w:r>
      <w:r>
        <w:rPr>
          <w:rFonts w:hint="default" w:ascii="Times New Roman" w:hAnsi="Times New Roman" w:eastAsia="仿宋_GB2312" w:cs="Times New Roman"/>
          <w:sz w:val="32"/>
          <w:szCs w:val="32"/>
          <w:lang w:val="en-US" w:eastAsia="zh-CN"/>
        </w:rPr>
        <w:t>严格按照</w:t>
      </w:r>
      <w:r>
        <w:rPr>
          <w:rFonts w:hint="eastAsia" w:ascii="Times New Roman" w:hAnsi="Times New Roman" w:eastAsia="仿宋_GB2312" w:cs="Times New Roman"/>
          <w:sz w:val="32"/>
          <w:szCs w:val="32"/>
          <w:lang w:val="en-US" w:eastAsia="zh-CN"/>
        </w:rPr>
        <w:t>《政府信息公开条例》</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在“数字东城”上准确</w:t>
      </w:r>
      <w:r>
        <w:rPr>
          <w:rFonts w:hint="default" w:ascii="Times New Roman" w:hAnsi="Times New Roman" w:eastAsia="仿宋_GB2312" w:cs="Times New Roman"/>
          <w:sz w:val="32"/>
          <w:szCs w:val="32"/>
          <w:lang w:val="en-US" w:eastAsia="zh-CN"/>
        </w:rPr>
        <w:t>公开政府信息</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社区的信息</w:t>
      </w:r>
      <w:r>
        <w:rPr>
          <w:rFonts w:hint="default" w:ascii="Times New Roman" w:hAnsi="Times New Roman" w:eastAsia="仿宋_GB2312" w:cs="Times New Roman"/>
          <w:sz w:val="32"/>
          <w:szCs w:val="32"/>
          <w:lang w:val="en-US" w:eastAsia="zh-CN"/>
        </w:rPr>
        <w:t>公开栏</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及时公开</w:t>
      </w:r>
      <w:r>
        <w:rPr>
          <w:rFonts w:hint="eastAsia" w:ascii="Times New Roman" w:hAnsi="Times New Roman" w:eastAsia="仿宋_GB2312" w:cs="Times New Roman"/>
          <w:sz w:val="32"/>
          <w:szCs w:val="32"/>
          <w:lang w:val="en-US" w:eastAsia="zh-CN"/>
        </w:rPr>
        <w:t>街道、社区等相关政务</w:t>
      </w:r>
      <w:r>
        <w:rPr>
          <w:rFonts w:hint="default" w:ascii="Times New Roman" w:hAnsi="Times New Roman" w:eastAsia="仿宋_GB2312" w:cs="Times New Roman"/>
          <w:sz w:val="32"/>
          <w:szCs w:val="32"/>
          <w:lang w:val="en-US" w:eastAsia="zh-CN"/>
        </w:rPr>
        <w:t>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利用</w:t>
      </w:r>
      <w:r>
        <w:rPr>
          <w:rFonts w:hint="eastAsia" w:ascii="Times New Roman" w:hAnsi="Times New Roman" w:eastAsia="仿宋_GB2312" w:cs="Times New Roman"/>
          <w:sz w:val="32"/>
          <w:szCs w:val="32"/>
          <w:lang w:val="en-US" w:eastAsia="zh-CN"/>
        </w:rPr>
        <w:t>微博、</w:t>
      </w:r>
      <w:r>
        <w:rPr>
          <w:rFonts w:hint="default" w:ascii="Times New Roman" w:hAnsi="Times New Roman" w:eastAsia="仿宋_GB2312" w:cs="Times New Roman"/>
          <w:sz w:val="32"/>
          <w:szCs w:val="32"/>
          <w:lang w:val="en-US" w:eastAsia="zh-CN"/>
        </w:rPr>
        <w:t>微信公众号</w:t>
      </w:r>
      <w:r>
        <w:rPr>
          <w:rFonts w:hint="eastAsia" w:ascii="Times New Roman" w:hAnsi="Times New Roman" w:eastAsia="仿宋_GB2312" w:cs="Times New Roman"/>
          <w:sz w:val="32"/>
          <w:szCs w:val="32"/>
          <w:lang w:val="en-US" w:eastAsia="zh-CN"/>
        </w:rPr>
        <w:t>等网络新媒体</w:t>
      </w:r>
      <w:r>
        <w:rPr>
          <w:rFonts w:hint="default" w:ascii="Times New Roman" w:hAnsi="Times New Roman" w:eastAsia="仿宋_GB2312" w:cs="Times New Roman"/>
          <w:sz w:val="32"/>
          <w:szCs w:val="32"/>
          <w:lang w:val="en-US" w:eastAsia="zh-CN"/>
        </w:rPr>
        <w:t>及时发布</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政务、经济、文化等方面信息</w:t>
      </w:r>
      <w:r>
        <w:rPr>
          <w:rFonts w:hint="eastAsia" w:ascii="Times New Roman" w:hAnsi="Times New Roman" w:eastAsia="仿宋_GB2312" w:cs="Times New Roman"/>
          <w:sz w:val="32"/>
          <w:szCs w:val="32"/>
          <w:lang w:val="en-US" w:eastAsia="zh-CN"/>
        </w:rPr>
        <w:t>，拓宽民主监督渠道</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（四）严格履职执法，增强法治效能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严格依法行使权力,履行职责，规范执法行为，促进执法公正。一是以制度管人，按制度做事。街道严格要求执法人员遵守各项规章制度，按照各项执法流程履职，确保行政执法队伍秩序井然，风清气正。二是持续规范行政执法行为。加强程序制度建设，细化执法流程，明确执法环节和步骤，保障程序公正。健全行政执法调查规则，规范取证活动。全面严格落实告知制度，依法保障行政相对人陈述、申辩、提出听证申请等权利。全面推行行政执法公示制度、执法全过程记录制度、重大执法决定法制审核制度，严格落实执法责任，加强执法监督，推进严格规范公正文明执法。三是强化行政执法证件管理。建立了执法人员的培训考核与资格管理制度，配合司法局做好行政执法证的换发和报名审查工作，切实加强行政执法证件管理。</w:t>
      </w:r>
      <w:r>
        <w:rPr>
          <w:rFonts w:hint="eastAsia" w:ascii="仿宋_GB2312" w:hAnsi="仿宋_GB2312" w:eastAsia="仿宋_GB2312" w:cs="仿宋_GB2312"/>
          <w:color w:val="auto"/>
          <w:sz w:val="32"/>
          <w:szCs w:val="32"/>
          <w:lang w:val="en-US" w:eastAsia="zh-CN"/>
        </w:rPr>
        <w:t>四是加大重点领域执法力度，分领域梳理群众反映强烈的突出问题，开展集中专项整治。对潜在风险大、可能造成严重不良后果的，加强日常监管和执法巡查，从源头上预防和化解违法风险。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（五）做好行政复议应诉工作，规范制度流程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街道自觉接受司法监督，认真执行行政机关负责人出庭应诉制度</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加强对复议应诉工作的组织领导，完善工作机制，制定了行政案件复议应诉工作规定。今年街道涉及行政诉讼6件，行政复议7件</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在办理案件的过程中，街道全面履行复议应诉工作职责，尊重并执行生效行政复议决定和法院生效裁判。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val="en-US" w:eastAsia="zh-CN"/>
        </w:rPr>
        <w:t>（六）完善多元矛盾调解机制，依法有效化解矛盾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完善社会矛盾多元预防调处化解机制，加强社会治安防控体系建设，维护社会良好秩序，建立健全安全生产责任和管理制度体系、隐患防控体系，用法治守护人民群众生命财产安全。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加强基层组织建设，提升人民调解委员会的整体素质。开展社会矛盾纠纷排查化解，努力从源头上预防和减少矛盾纠纷。2021年街道各级调委会共调处矛盾纠纷200余件。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（七）积极开展法治宣传教育工作，营造法治氛围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贯彻落实“谁执法谁普法”，建立健全街道普法工作责任制，形成了各负其责、协调配合、齐抓共管的普法工作格局。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贯彻落实国家工作人员学法制度，组织街道机关公务员学法用法。学习贯彻落实习近平法治思想和中央全面依法治国工作会议精神，建立定期学法制度，利用理论中心组、</w:t>
      </w:r>
      <w:r>
        <w:rPr>
          <w:rFonts w:hint="eastAsia" w:eastAsia="仿宋_GB2312" w:cs="Times New Roman"/>
          <w:kern w:val="0"/>
          <w:sz w:val="32"/>
          <w:szCs w:val="32"/>
          <w:lang w:val="en-US" w:eastAsia="zh-CN"/>
        </w:rPr>
        <w:t>工委会、</w:t>
      </w:r>
      <w:r>
        <w:rPr>
          <w:rFonts w:hint="eastAsia" w:ascii="Times New Roman" w:hAnsi="Times New Roman" w:eastAsia="仿宋_GB2312" w:cs="Times New Roman"/>
          <w:kern w:val="0"/>
          <w:sz w:val="32"/>
          <w:szCs w:val="32"/>
          <w:lang w:val="en-US" w:eastAsia="zh-CN"/>
        </w:rPr>
        <w:t>主任办公会</w:t>
      </w:r>
      <w:r>
        <w:rPr>
          <w:rFonts w:hint="eastAsia" w:eastAsia="仿宋_GB2312" w:cs="Times New Roman"/>
          <w:kern w:val="0"/>
          <w:sz w:val="32"/>
          <w:szCs w:val="32"/>
          <w:lang w:val="en-US" w:eastAsia="zh-CN"/>
        </w:rPr>
        <w:t>等有利时机</w:t>
      </w:r>
      <w:r>
        <w:rPr>
          <w:rFonts w:hint="eastAsia"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开展会前学法15次</w:t>
      </w:r>
      <w:r>
        <w:rPr>
          <w:rFonts w:hint="eastAsia" w:ascii="Times New Roman" w:hAnsi="Times New Roman" w:eastAsia="仿宋_GB2312" w:cs="Times New Roman"/>
          <w:kern w:val="0"/>
          <w:sz w:val="32"/>
          <w:szCs w:val="32"/>
          <w:lang w:val="en-US" w:eastAsia="zh-CN"/>
        </w:rPr>
        <w:t>。以“法律十进”为载体，组织行政执法人员、律师开展经常性以案释法活动</w:t>
      </w:r>
      <w:r>
        <w:rPr>
          <w:rFonts w:hint="eastAsia" w:eastAsia="仿宋_GB2312" w:cs="Times New Roman"/>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街道在</w:t>
      </w:r>
      <w:r>
        <w:rPr>
          <w:rFonts w:hint="default" w:ascii="Times New Roman" w:hAnsi="Times New Roman" w:eastAsia="仿宋_GB2312" w:cs="Times New Roman"/>
          <w:kern w:val="0"/>
          <w:sz w:val="32"/>
          <w:szCs w:val="32"/>
          <w:lang w:eastAsia="zh-CN"/>
        </w:rPr>
        <w:t>推进法治政府建设</w:t>
      </w:r>
      <w:r>
        <w:rPr>
          <w:rFonts w:hint="eastAsia" w:ascii="Times New Roman" w:hAnsi="Times New Roman" w:eastAsia="仿宋_GB2312" w:cs="Times New Roman"/>
          <w:kern w:val="0"/>
          <w:sz w:val="32"/>
          <w:szCs w:val="32"/>
          <w:lang w:eastAsia="zh-CN"/>
        </w:rPr>
        <w:t>工作中虽然取得了一定成绩，但也</w:t>
      </w:r>
      <w:r>
        <w:rPr>
          <w:rFonts w:hint="default" w:ascii="Times New Roman" w:hAnsi="Times New Roman" w:eastAsia="仿宋_GB2312" w:cs="Times New Roman"/>
          <w:kern w:val="0"/>
          <w:sz w:val="32"/>
          <w:szCs w:val="32"/>
          <w:lang w:eastAsia="zh-CN"/>
        </w:rPr>
        <w:t>存在</w:t>
      </w:r>
      <w:r>
        <w:rPr>
          <w:rFonts w:hint="eastAsia" w:ascii="Times New Roman" w:hAnsi="Times New Roman" w:eastAsia="仿宋_GB2312" w:cs="Times New Roman"/>
          <w:kern w:val="0"/>
          <w:sz w:val="32"/>
          <w:szCs w:val="32"/>
          <w:lang w:eastAsia="zh-CN"/>
        </w:rPr>
        <w:t>一些问题。</w:t>
      </w:r>
      <w:r>
        <w:rPr>
          <w:rFonts w:hint="default" w:ascii="Times New Roman" w:hAnsi="Times New Roman" w:eastAsia="仿宋_GB2312" w:cs="Times New Roman"/>
          <w:kern w:val="0"/>
          <w:sz w:val="32"/>
          <w:szCs w:val="32"/>
          <w:lang w:eastAsia="zh-CN"/>
        </w:rPr>
        <w:t>主要包括</w:t>
      </w:r>
      <w:r>
        <w:rPr>
          <w:rFonts w:hint="eastAsia" w:ascii="Times New Roman" w:hAnsi="Times New Roman" w:eastAsia="仿宋_GB2312" w:cs="Times New Roman"/>
          <w:kern w:val="0"/>
          <w:sz w:val="32"/>
          <w:szCs w:val="32"/>
          <w:lang w:eastAsia="zh-CN"/>
        </w:rPr>
        <w:t>对法治政府建设中出现的问题未充分做好预判，部分党员干部的法治意识</w:t>
      </w:r>
      <w:r>
        <w:rPr>
          <w:rFonts w:hint="eastAsia" w:eastAsia="仿宋_GB2312" w:cs="Times New Roman"/>
          <w:kern w:val="0"/>
          <w:sz w:val="32"/>
          <w:szCs w:val="32"/>
          <w:lang w:eastAsia="zh-CN"/>
        </w:rPr>
        <w:t>还有待于进一步增强</w:t>
      </w:r>
      <w:r>
        <w:rPr>
          <w:rFonts w:hint="eastAsia" w:ascii="Times New Roman" w:hAnsi="Times New Roman" w:eastAsia="仿宋_GB2312" w:cs="Times New Roman"/>
          <w:kern w:val="0"/>
          <w:sz w:val="32"/>
          <w:szCs w:val="32"/>
          <w:lang w:eastAsia="zh-CN"/>
        </w:rPr>
        <w:t>，依法行政水平有待</w:t>
      </w:r>
      <w:r>
        <w:rPr>
          <w:rFonts w:hint="eastAsia" w:eastAsia="仿宋_GB2312" w:cs="Times New Roman"/>
          <w:kern w:val="0"/>
          <w:sz w:val="32"/>
          <w:szCs w:val="32"/>
          <w:lang w:eastAsia="zh-CN"/>
        </w:rPr>
        <w:t>进一步</w:t>
      </w:r>
      <w:r>
        <w:rPr>
          <w:rFonts w:hint="eastAsia" w:ascii="Times New Roman" w:hAnsi="Times New Roman" w:eastAsia="仿宋_GB2312" w:cs="Times New Roman"/>
          <w:kern w:val="0"/>
          <w:sz w:val="32"/>
          <w:szCs w:val="32"/>
          <w:lang w:eastAsia="zh-CN"/>
        </w:rPr>
        <w:t>提高</w:t>
      </w:r>
      <w:r>
        <w:rPr>
          <w:rFonts w:hint="default" w:ascii="Times New Roman" w:hAnsi="Times New Roman" w:eastAsia="仿宋_GB2312" w:cs="Times New Roman"/>
          <w:kern w:val="0"/>
          <w:sz w:val="32"/>
          <w:szCs w:val="32"/>
          <w:lang w:eastAsia="zh-CN"/>
        </w:rPr>
        <w:t>等问题。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面对这些问题，我们认真反思，在今后的工作中进一步强化干部的法治宣传教育培训工作，尤其是对行政执法人员开展专业培训，增强机关工作人员运用法治思维和法治方法推动各项工作的意识和能力。加强行政执法规范化建设，</w:t>
      </w:r>
      <w:r>
        <w:rPr>
          <w:rFonts w:hint="eastAsia" w:ascii="仿宋_GB2312" w:eastAsia="仿宋_GB2312"/>
          <w:color w:val="000000"/>
          <w:sz w:val="32"/>
          <w:szCs w:val="32"/>
          <w:lang w:eastAsia="zh-CN"/>
        </w:rPr>
        <w:t>积极</w:t>
      </w:r>
      <w:r>
        <w:rPr>
          <w:rFonts w:ascii="仿宋_GB2312" w:eastAsia="仿宋_GB2312"/>
          <w:color w:val="000000"/>
          <w:sz w:val="32"/>
          <w:szCs w:val="32"/>
        </w:rPr>
        <w:t>推进依法行政</w:t>
      </w:r>
      <w:r>
        <w:rPr>
          <w:rFonts w:hint="eastAsia" w:ascii="仿宋_GB2312" w:eastAsia="仿宋_GB2312"/>
          <w:color w:val="000000"/>
          <w:sz w:val="32"/>
          <w:szCs w:val="32"/>
          <w:lang w:eastAsia="zh-CN"/>
        </w:rPr>
        <w:t>和</w:t>
      </w:r>
      <w:r>
        <w:rPr>
          <w:rFonts w:ascii="仿宋_GB2312" w:eastAsia="仿宋_GB2312"/>
          <w:color w:val="000000"/>
          <w:sz w:val="32"/>
          <w:szCs w:val="32"/>
        </w:rPr>
        <w:t>法治政府建设</w:t>
      </w:r>
      <w:r>
        <w:rPr>
          <w:rFonts w:hint="eastAsia" w:ascii="仿宋_GB2312" w:eastAsia="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lang w:val="en-US" w:eastAsia="zh-CN"/>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snapToGrid w:val="0"/>
          <w:sz w:val="32"/>
          <w:szCs w:val="32"/>
          <w:lang w:eastAsia="zh-CN" w:bidi="ar-SA"/>
        </w:rPr>
      </w:pPr>
      <w:r>
        <w:rPr>
          <w:rFonts w:hint="eastAsia" w:eastAsia="仿宋_GB2312" w:cs="Times New Roman"/>
          <w:kern w:val="0"/>
          <w:sz w:val="32"/>
          <w:szCs w:val="32"/>
          <w:lang w:val="en-US" w:eastAsia="zh-CN"/>
        </w:rPr>
        <w:t>2021年，街道党政主要负责人以习近平法治思想为指引，</w:t>
      </w:r>
      <w:r>
        <w:rPr>
          <w:rFonts w:hint="eastAsia" w:ascii="仿宋_GB2312" w:eastAsia="仿宋_GB2312"/>
          <w:snapToGrid w:val="0"/>
          <w:sz w:val="32"/>
          <w:szCs w:val="32"/>
          <w:lang w:bidi="ar-SA"/>
        </w:rPr>
        <w:t>围绕</w:t>
      </w:r>
      <w:r>
        <w:rPr>
          <w:rFonts w:hint="eastAsia" w:ascii="仿宋_GB2312" w:eastAsia="仿宋_GB2312"/>
          <w:snapToGrid w:val="0"/>
          <w:sz w:val="32"/>
          <w:szCs w:val="32"/>
          <w:lang w:eastAsia="zh-CN" w:bidi="ar-SA"/>
        </w:rPr>
        <w:t>“依法行政、规范执法”</w:t>
      </w:r>
      <w:r>
        <w:rPr>
          <w:rFonts w:hint="eastAsia" w:ascii="仿宋_GB2312" w:eastAsia="仿宋_GB2312"/>
          <w:snapToGrid w:val="0"/>
          <w:sz w:val="32"/>
          <w:szCs w:val="32"/>
          <w:lang w:bidi="ar-SA"/>
        </w:rPr>
        <w:t>这条主线，</w:t>
      </w:r>
      <w:r>
        <w:rPr>
          <w:rFonts w:hint="eastAsia" w:ascii="仿宋_GB2312" w:eastAsia="仿宋_GB2312"/>
          <w:snapToGrid w:val="0"/>
          <w:sz w:val="32"/>
          <w:szCs w:val="32"/>
          <w:lang w:eastAsia="zh-CN" w:bidi="ar-SA"/>
        </w:rPr>
        <w:t>切实履行推进法治建设第一责任人职责，扎实推进法治建设</w:t>
      </w:r>
      <w:r>
        <w:rPr>
          <w:rFonts w:hint="eastAsia" w:ascii="仿宋_GB2312" w:eastAsia="仿宋_GB2312"/>
          <w:snapToGrid w:val="0"/>
          <w:sz w:val="32"/>
          <w:szCs w:val="32"/>
          <w:lang w:bidi="ar-SA"/>
        </w:rPr>
        <w:t>的</w:t>
      </w:r>
      <w:r>
        <w:rPr>
          <w:rFonts w:hint="eastAsia" w:ascii="仿宋_GB2312" w:eastAsia="仿宋_GB2312"/>
          <w:snapToGrid w:val="0"/>
          <w:sz w:val="32"/>
          <w:szCs w:val="32"/>
          <w:lang w:eastAsia="zh-CN" w:bidi="ar-SA"/>
        </w:rPr>
        <w:t>各项</w:t>
      </w:r>
      <w:r>
        <w:rPr>
          <w:rFonts w:hint="eastAsia" w:ascii="仿宋_GB2312" w:eastAsia="仿宋_GB2312"/>
          <w:snapToGrid w:val="0"/>
          <w:sz w:val="32"/>
          <w:szCs w:val="32"/>
          <w:lang w:bidi="ar-SA"/>
        </w:rPr>
        <w:t>任务</w:t>
      </w:r>
      <w:r>
        <w:rPr>
          <w:rFonts w:hint="eastAsia" w:ascii="仿宋_GB2312" w:eastAsia="仿宋_GB2312"/>
          <w:snapToGrid w:val="0"/>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bCs/>
          <w:sz w:val="32"/>
          <w:szCs w:val="32"/>
          <w:lang w:eastAsia="zh-CN"/>
        </w:rPr>
      </w:pPr>
      <w:r>
        <w:rPr>
          <w:rFonts w:hint="eastAsia" w:ascii="仿宋_GB2312" w:eastAsia="仿宋_GB2312"/>
          <w:snapToGrid w:val="0"/>
          <w:sz w:val="32"/>
          <w:szCs w:val="32"/>
          <w:lang w:val="en-US" w:eastAsia="zh-CN" w:bidi="ar-SA"/>
        </w:rPr>
        <w:t>一是强化对法治政府建设的组织领导，</w:t>
      </w:r>
      <w:r>
        <w:rPr>
          <w:rFonts w:hint="eastAsia" w:ascii="仿宋_GB2312" w:eastAsia="仿宋_GB2312"/>
          <w:bCs/>
          <w:sz w:val="32"/>
          <w:szCs w:val="32"/>
        </w:rPr>
        <w:t>切实</w:t>
      </w:r>
      <w:r>
        <w:rPr>
          <w:rFonts w:hint="eastAsia" w:ascii="仿宋_GB2312" w:eastAsia="仿宋_GB2312"/>
          <w:bCs/>
          <w:sz w:val="32"/>
          <w:szCs w:val="32"/>
          <w:lang w:eastAsia="zh-CN"/>
        </w:rPr>
        <w:t>履行领导班子的集体责任。党政领导班子加大了对街道法治政府建设工作的研究力度，召开了</w:t>
      </w:r>
      <w:r>
        <w:rPr>
          <w:rFonts w:hint="eastAsia" w:eastAsia="仿宋_GB2312" w:cs="Times New Roman"/>
          <w:kern w:val="0"/>
          <w:sz w:val="32"/>
          <w:szCs w:val="32"/>
          <w:lang w:val="en-US" w:eastAsia="zh-CN"/>
        </w:rPr>
        <w:t>2021</w:t>
      </w:r>
      <w:r>
        <w:rPr>
          <w:rFonts w:hint="eastAsia" w:ascii="仿宋_GB2312" w:eastAsia="仿宋_GB2312"/>
          <w:bCs/>
          <w:sz w:val="32"/>
          <w:szCs w:val="32"/>
          <w:lang w:eastAsia="zh-CN"/>
        </w:rPr>
        <w:t>年东直门街道法治政府建设工作部署会，</w:t>
      </w:r>
      <w:r>
        <w:rPr>
          <w:rFonts w:hint="default" w:ascii="Times New Roman" w:hAnsi="Times New Roman" w:eastAsia="仿宋_GB2312" w:cs="Times New Roman"/>
          <w:sz w:val="32"/>
          <w:szCs w:val="32"/>
          <w:lang w:val="en-US" w:eastAsia="zh-CN"/>
        </w:rPr>
        <w:t>制定工作规划和年度工作计划，</w:t>
      </w:r>
      <w:r>
        <w:rPr>
          <w:rFonts w:hint="eastAsia" w:ascii="仿宋_GB2312" w:eastAsia="仿宋_GB2312"/>
          <w:bCs/>
          <w:sz w:val="32"/>
          <w:szCs w:val="32"/>
          <w:lang w:eastAsia="zh-CN"/>
        </w:rPr>
        <w:t>对开展好全年法治政府建设各项工作提出要求，明确各责任主体的职责分工。督促班子成员履行法治职责，定期集中听取街道重点科室法治建设责任制落实情况汇报，指出存在的问题并提出改进要求。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二是深化落实主任办公会会前学法、理论中心组学法、重大决策专题学法等制度，推动领导干部做尊法学法守法用法的模范，提高领导干部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三是坚持科学民主依法决策机制。街道党政主要负责人不断强化依法决策意识，严格遵循法定权限和程序作出决策，确保决策内容符合法律法规规定。严格执行《重大行政决策程序暂行条例》、《东城区重大行政决策程序实施细则》，确保所有重大行政决策都严格履行合法性审查和集体讨论决定程序。按照“集体领导、民主集中、个别酝酿、会议决定”的十六字方针要求，不搞个人说了算，不搞议而不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Cs/>
          <w:sz w:val="32"/>
          <w:szCs w:val="32"/>
          <w:lang w:val="en-US" w:eastAsia="zh-CN"/>
        </w:rPr>
      </w:pPr>
      <w:r>
        <w:rPr>
          <w:rFonts w:hint="eastAsia" w:ascii="仿宋_GB2312" w:hAnsi="宋体" w:eastAsia="仿宋_GB2312" w:cs="宋体"/>
          <w:kern w:val="0"/>
          <w:sz w:val="32"/>
          <w:szCs w:val="32"/>
          <w:lang w:eastAsia="zh-CN"/>
        </w:rPr>
        <w:t>四是坚</w:t>
      </w:r>
      <w:r>
        <w:rPr>
          <w:rFonts w:hint="default" w:ascii="Times New Roman" w:hAnsi="Times New Roman" w:eastAsia="仿宋_GB2312" w:cs="Times New Roman"/>
          <w:sz w:val="32"/>
          <w:szCs w:val="32"/>
          <w:lang w:val="en-US" w:eastAsia="zh-CN"/>
        </w:rPr>
        <w:t>持督查整改，确保落实到位。对群众关心、社会关注的与群众利益息息相关的问题进行监督，排查法治</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eastAsia="zh-CN"/>
        </w:rPr>
        <w:t>建设中的突出问题，及时提出建设性的整改意见，并督促整改到位。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2022</w:t>
      </w:r>
      <w:r>
        <w:rPr>
          <w:rFonts w:hint="default" w:ascii="Times New Roman" w:hAnsi="Times New Roman" w:eastAsia="黑体" w:cs="Times New Roman"/>
          <w:kern w:val="0"/>
          <w:sz w:val="32"/>
          <w:szCs w:val="32"/>
          <w:lang w:val="en-US" w:eastAsia="zh-CN"/>
        </w:rPr>
        <w:t>年推进法治政府建设的主要安排</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sz w:val="32"/>
          <w:szCs w:val="32"/>
          <w:lang w:val="en-US" w:eastAsia="zh-CN"/>
        </w:rPr>
        <w:t>深入学习贯彻习近平法治思想，</w:t>
      </w:r>
      <w:r>
        <w:rPr>
          <w:rFonts w:hint="eastAsia" w:ascii="楷体_GB2312" w:hAnsi="楷体_GB2312" w:eastAsia="楷体_GB2312" w:cs="楷体_GB2312"/>
          <w:kern w:val="0"/>
          <w:sz w:val="32"/>
          <w:szCs w:val="32"/>
          <w:lang w:val="en-US" w:eastAsia="zh-CN"/>
        </w:rPr>
        <w:t>不断提升依法行政意识和能力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5" w:leftChars="0" w:right="0" w:rightChars="0"/>
        <w:jc w:val="left"/>
        <w:textAlignment w:val="auto"/>
        <w:outlineLvl w:val="9"/>
        <w:rPr>
          <w:rFonts w:hint="eastAsia" w:ascii="仿宋_GB2312" w:hAnsi="仿宋_GB2312" w:eastAsia="仿宋_GB2312" w:cs="仿宋_GB2312"/>
          <w:sz w:val="32"/>
          <w:szCs w:val="32"/>
        </w:rPr>
      </w:pPr>
      <w:r>
        <w:rPr>
          <w:rFonts w:hint="eastAsia" w:eastAsia="仿宋_GB2312" w:cs="Times New Roman"/>
          <w:kern w:val="0"/>
          <w:sz w:val="32"/>
          <w:szCs w:val="32"/>
          <w:lang w:val="en-US" w:eastAsia="zh-CN"/>
        </w:rPr>
        <w:t>2022年，</w:t>
      </w:r>
      <w:r>
        <w:rPr>
          <w:rFonts w:hint="eastAsia" w:ascii="仿宋_GB2312" w:hAnsi="仿宋_GB2312" w:eastAsia="仿宋_GB2312" w:cs="仿宋_GB2312"/>
          <w:kern w:val="0"/>
          <w:sz w:val="32"/>
          <w:szCs w:val="32"/>
          <w:lang w:val="en-US" w:eastAsia="zh-CN"/>
        </w:rPr>
        <w:t>街道将深入学习贯彻落实习近平法治思想，</w:t>
      </w:r>
      <w:r>
        <w:rPr>
          <w:rFonts w:hint="eastAsia" w:ascii="仿宋_GB2312" w:hAnsi="仿宋_GB2312" w:eastAsia="仿宋_GB2312" w:cs="仿宋_GB2312"/>
          <w:sz w:val="32"/>
          <w:szCs w:val="32"/>
        </w:rPr>
        <w:t>把学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法、用法作为一项重要内容狠抓落实。</w:t>
      </w:r>
      <w:r>
        <w:rPr>
          <w:rFonts w:hint="eastAsia" w:ascii="仿宋_GB2312" w:hAnsi="仿宋_GB2312" w:eastAsia="仿宋_GB2312" w:cs="仿宋_GB2312"/>
          <w:sz w:val="32"/>
          <w:szCs w:val="32"/>
          <w:lang w:eastAsia="zh-CN"/>
        </w:rPr>
        <w:t>将继续</w:t>
      </w:r>
      <w:r>
        <w:rPr>
          <w:rFonts w:hint="eastAsia" w:ascii="仿宋_GB2312" w:hAnsi="仿宋_GB2312" w:eastAsia="仿宋_GB2312" w:cs="仿宋_GB2312"/>
          <w:sz w:val="32"/>
          <w:szCs w:val="32"/>
        </w:rPr>
        <w:t>坚持主任办公会会前学法</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制定主任办公会</w:t>
      </w:r>
      <w:r>
        <w:rPr>
          <w:rFonts w:hint="eastAsia" w:ascii="仿宋_GB2312" w:hAnsi="仿宋_GB2312" w:eastAsia="仿宋_GB2312" w:cs="仿宋_GB2312"/>
          <w:sz w:val="32"/>
          <w:szCs w:val="32"/>
          <w:lang w:eastAsia="zh-CN"/>
        </w:rPr>
        <w:t>会前</w:t>
      </w:r>
      <w:r>
        <w:rPr>
          <w:rFonts w:hint="eastAsia" w:ascii="仿宋_GB2312" w:hAnsi="仿宋_GB2312" w:eastAsia="仿宋_GB2312" w:cs="仿宋_GB2312"/>
          <w:sz w:val="32"/>
          <w:szCs w:val="32"/>
        </w:rPr>
        <w:t>学法年度</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color w:val="auto"/>
          <w:kern w:val="0"/>
          <w:sz w:val="32"/>
          <w:szCs w:val="32"/>
          <w:lang w:val="en-US" w:eastAsia="zh-CN"/>
        </w:rPr>
        <w:t>把法治教育纳入领导干部理论学习规划，开展理论中心组专题学习。全面</w:t>
      </w:r>
      <w:r>
        <w:rPr>
          <w:rFonts w:hint="eastAsia" w:ascii="仿宋_GB2312" w:hAnsi="仿宋_GB2312" w:eastAsia="仿宋_GB2312" w:cs="仿宋_GB2312"/>
          <w:kern w:val="0"/>
          <w:sz w:val="32"/>
          <w:szCs w:val="32"/>
          <w:lang w:val="en-US" w:eastAsia="zh-CN"/>
        </w:rPr>
        <w:t>落实国家工作人员学法用法制度，把法治教育纳入干部教育培训内容，定期组织开展法治讲座、法治研讨和旁听庭审等活动。</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对新出台的法律法规的学习，</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提高领导班子依法决策、民主决策和科学决策的能力，增强各科室的法规意识和依法行政意识。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（二）坚持完善队伍建设，推进严格规范公正文明执法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仿宋_GB2312" w:eastAsia="仿宋_GB2312"/>
          <w:sz w:val="32"/>
          <w:szCs w:val="32"/>
          <w:lang w:val="en-US" w:eastAsia="zh-CN"/>
        </w:rPr>
        <w:t>狠抓队伍建设，通过完善规章制度、开展法律法规及业务培训等方式，努力建立一支政治坚定、业务精通、作风优良、执法公正的执法队伍。完善行政执法程序，严格落实行政执法公示、执法全过程记录、重大执法决定法制审核制度，提高执法案卷、文书规范化水平。创新行政执法方式，广泛运用说服教育、劝导示范、警示告诫、指导约谈等方式，努力做到宽严相济、法理相融，让执法既有力度又有温度。</w:t>
      </w:r>
      <w:r>
        <w:rPr>
          <w:rFonts w:hint="default" w:ascii="Times New Roman" w:hAnsi="Times New Roman" w:eastAsia="仿宋_GB2312" w:cs="Times New Roman"/>
          <w:sz w:val="32"/>
          <w:szCs w:val="32"/>
          <w:lang w:val="en-US" w:eastAsia="zh-CN"/>
        </w:rPr>
        <w:t>严格</w:t>
      </w:r>
      <w:r>
        <w:rPr>
          <w:rFonts w:hint="eastAsia"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lang w:val="en-US" w:eastAsia="zh-CN"/>
        </w:rPr>
        <w:t>执法责任，加强执法监督，推进严格规范公正文明执法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sz w:val="32"/>
          <w:szCs w:val="32"/>
          <w:lang w:val="en-US" w:eastAsia="zh-CN"/>
        </w:rPr>
        <w:t>）持续</w:t>
      </w:r>
      <w:r>
        <w:rPr>
          <w:rFonts w:hint="eastAsia" w:ascii="楷体_GB2312" w:hAnsi="楷体_GB2312" w:eastAsia="楷体_GB2312" w:cs="楷体_GB2312"/>
          <w:sz w:val="32"/>
          <w:szCs w:val="32"/>
        </w:rPr>
        <w:t>推进政务公开和政府信息公开。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sz w:val="32"/>
          <w:szCs w:val="32"/>
        </w:rPr>
      </w:pPr>
      <w:r>
        <w:rPr>
          <w:rFonts w:hint="eastAsia" w:ascii="仿宋_GB2312" w:hAnsi="宋体" w:eastAsia="仿宋_GB2312"/>
          <w:sz w:val="32"/>
          <w:szCs w:val="32"/>
          <w:lang w:eastAsia="zh-CN"/>
        </w:rPr>
        <w:t>一是继续执行</w:t>
      </w:r>
      <w:r>
        <w:rPr>
          <w:rFonts w:hint="eastAsia" w:ascii="仿宋_GB2312" w:hAnsi="宋体" w:eastAsia="仿宋_GB2312"/>
          <w:sz w:val="32"/>
          <w:szCs w:val="32"/>
        </w:rPr>
        <w:t>政务公开动态调整机制和信息公开保密审查制度，坚持政风行风评议制度，充分利用机关电子政务专网和公示栏定期进行公示</w:t>
      </w:r>
      <w:r>
        <w:rPr>
          <w:rFonts w:hint="eastAsia" w:ascii="仿宋_GB2312" w:hAnsi="宋体" w:eastAsia="仿宋_GB2312"/>
          <w:sz w:val="32"/>
          <w:szCs w:val="32"/>
          <w:lang w:eastAsia="zh-CN"/>
        </w:rPr>
        <w:t>。二是继续</w:t>
      </w:r>
      <w:r>
        <w:rPr>
          <w:rFonts w:hint="eastAsia" w:ascii="仿宋_GB2312" w:hAnsi="宋体" w:eastAsia="仿宋_GB2312"/>
          <w:sz w:val="32"/>
          <w:szCs w:val="32"/>
        </w:rPr>
        <w:t>规范政务服务大厅工作，为辖区单位和居民群众提供“热情、便民、快捷、到位”的服务。</w:t>
      </w:r>
      <w:r>
        <w:rPr>
          <w:rFonts w:hint="eastAsia" w:ascii="仿宋_GB2312" w:hAnsi="宋体" w:eastAsia="仿宋_GB2312"/>
          <w:sz w:val="32"/>
          <w:szCs w:val="32"/>
          <w:lang w:eastAsia="zh-CN"/>
        </w:rPr>
        <w:t>三是继续</w:t>
      </w:r>
      <w:r>
        <w:rPr>
          <w:rFonts w:hint="eastAsia" w:ascii="仿宋_GB2312" w:eastAsia="仿宋_GB2312"/>
          <w:sz w:val="32"/>
          <w:szCs w:val="32"/>
        </w:rPr>
        <w:t>完善街道党务公开</w:t>
      </w:r>
      <w:r>
        <w:rPr>
          <w:rFonts w:hint="eastAsia" w:ascii="仿宋_GB2312" w:eastAsia="仿宋_GB2312"/>
          <w:sz w:val="32"/>
          <w:szCs w:val="32"/>
          <w:lang w:eastAsia="zh-CN"/>
        </w:rPr>
        <w:t>、</w:t>
      </w:r>
      <w:r>
        <w:rPr>
          <w:rFonts w:hint="eastAsia" w:ascii="仿宋_GB2312" w:eastAsia="仿宋_GB2312"/>
          <w:sz w:val="32"/>
          <w:szCs w:val="32"/>
        </w:rPr>
        <w:t>社区党务公开、居务公开</w:t>
      </w:r>
      <w:r>
        <w:rPr>
          <w:rFonts w:hint="eastAsia" w:ascii="仿宋_GB2312" w:eastAsia="仿宋_GB2312"/>
          <w:sz w:val="32"/>
          <w:szCs w:val="32"/>
          <w:lang w:eastAsia="zh-CN"/>
        </w:rPr>
        <w:t>制度，</w:t>
      </w:r>
      <w:r>
        <w:rPr>
          <w:rFonts w:hint="eastAsia" w:eastAsia="仿宋_GB2312"/>
          <w:kern w:val="0"/>
          <w:sz w:val="32"/>
          <w:szCs w:val="32"/>
        </w:rPr>
        <w:t>同时增</w:t>
      </w:r>
      <w:r>
        <w:rPr>
          <w:rFonts w:hint="eastAsia" w:eastAsia="仿宋_GB2312"/>
          <w:kern w:val="0"/>
          <w:sz w:val="32"/>
          <w:szCs w:val="32"/>
          <w:lang w:eastAsia="zh-CN"/>
        </w:rPr>
        <w:t>强</w:t>
      </w:r>
      <w:r>
        <w:rPr>
          <w:rFonts w:hint="eastAsia" w:eastAsia="仿宋_GB2312"/>
          <w:kern w:val="0"/>
          <w:sz w:val="32"/>
          <w:szCs w:val="32"/>
        </w:rPr>
        <w:t>社区服务和法规咨询的功能，使公开工作内容更加全面。</w:t>
      </w:r>
      <w:r>
        <w:rPr>
          <w:rFonts w:hint="eastAsia" w:ascii="仿宋_GB2312" w:eastAsia="仿宋_GB2312"/>
          <w:sz w:val="32"/>
          <w:szCs w:val="32"/>
          <w:lang w:eastAsia="zh-CN"/>
        </w:rPr>
        <w:t>四是</w:t>
      </w:r>
      <w:r>
        <w:rPr>
          <w:rFonts w:hint="eastAsia" w:ascii="仿宋_GB2312" w:eastAsia="仿宋_GB2312"/>
          <w:sz w:val="32"/>
          <w:szCs w:val="32"/>
        </w:rPr>
        <w:t>街道</w:t>
      </w:r>
      <w:r>
        <w:rPr>
          <w:rFonts w:hint="eastAsia" w:ascii="仿宋_GB2312" w:eastAsia="仿宋_GB2312"/>
          <w:sz w:val="32"/>
          <w:szCs w:val="32"/>
          <w:lang w:eastAsia="zh-CN"/>
        </w:rPr>
        <w:t>将</w:t>
      </w:r>
      <w:r>
        <w:rPr>
          <w:rFonts w:hint="eastAsia" w:ascii="仿宋_GB2312" w:eastAsia="仿宋_GB2312"/>
          <w:sz w:val="32"/>
          <w:szCs w:val="32"/>
        </w:rPr>
        <w:t>依托电子政务平台，进一步加强政务公开，</w:t>
      </w:r>
      <w:r>
        <w:rPr>
          <w:rFonts w:hint="eastAsia" w:ascii="仿宋_GB2312" w:eastAsia="仿宋_GB2312"/>
          <w:sz w:val="32"/>
          <w:szCs w:val="32"/>
          <w:lang w:eastAsia="zh-CN"/>
        </w:rPr>
        <w:t>做到</w:t>
      </w:r>
      <w:r>
        <w:rPr>
          <w:rFonts w:hint="eastAsia" w:ascii="仿宋_GB2312" w:eastAsia="仿宋_GB2312"/>
          <w:sz w:val="32"/>
          <w:szCs w:val="32"/>
        </w:rPr>
        <w:t>准确及时发布政府信息公开事项，加强政府信息公开条例执行情况的监督检查。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eastAsia="zh-CN"/>
        </w:rPr>
        <w:t>（四）依法有效化解矛盾纠纷，促进辖区和谐稳定。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依法有效化解社会矛盾，完善社会矛盾多元预防调处化解机制，加强社会治安防控体系建设，维护社会良好秩序，建立健全安全生产责任和管理制度体系、隐患防控体系，用法治守护人民群众生命财产安全。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（五）落实普法责任制，深化法治宣传教育工作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贯彻落实“八五”普法规划，深入开展法治宣传教育活动。继续</w:t>
      </w:r>
      <w:r>
        <w:rPr>
          <w:rFonts w:hint="default" w:ascii="Times New Roman" w:hAnsi="Times New Roman" w:eastAsia="仿宋_GB2312" w:cs="Times New Roman"/>
          <w:sz w:val="32"/>
          <w:szCs w:val="32"/>
          <w:lang w:val="en-US" w:eastAsia="zh-CN"/>
        </w:rPr>
        <w:t>推动落实“谁执法谁普法”责任，</w:t>
      </w:r>
      <w:r>
        <w:rPr>
          <w:rFonts w:hint="eastAsia" w:ascii="Times New Roman" w:hAnsi="Times New Roman" w:eastAsia="仿宋_GB2312" w:cs="Times New Roman"/>
          <w:sz w:val="32"/>
          <w:szCs w:val="32"/>
          <w:lang w:val="en-US" w:eastAsia="zh-CN"/>
        </w:rPr>
        <w:t>把普法融入执法过程，实现执法办案的全员普法、全程普法。加大以案普法力度，落实行政执法人员、律师等以案释法制度，健全以案普法长效机制，充分利用典型案事件向公众进行法律解读，积极引导公民、法人和其他组织依法维护自身权益，营造全社会共同关注、共同参与和监督依法行政工作的良好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center"/>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东直门街道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righ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2021年12月28日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Ebrima">
    <w:panose1 w:val="02000000000000000000"/>
    <w:charset w:val="00"/>
    <w:family w:val="auto"/>
    <w:pitch w:val="default"/>
    <w:sig w:usb0="A000505F" w:usb1="02000041" w:usb2="00000000" w:usb3="00000404" w:csb0="00000093"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Latha">
    <w:panose1 w:val="020B0604020202020204"/>
    <w:charset w:val="00"/>
    <w:family w:val="auto"/>
    <w:pitch w:val="default"/>
    <w:sig w:usb0="001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PhagsPa">
    <w:panose1 w:val="020B0502040204020203"/>
    <w:charset w:val="00"/>
    <w:family w:val="auto"/>
    <w:pitch w:val="default"/>
    <w:sig w:usb0="00000003" w:usb1="00200000" w:usb2="08000000" w:usb3="00000000" w:csb0="00000001" w:csb1="00000000"/>
  </w:font>
  <w:font w:name="方正楷体简体">
    <w:altName w:val="楷体_GB2312"/>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E-BZ">
    <w:altName w:val="方正舒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华文隶书">
    <w:panose1 w:val="02010800040101010101"/>
    <w:charset w:val="86"/>
    <w:family w:val="auto"/>
    <w:pitch w:val="default"/>
    <w:sig w:usb0="00000001" w:usb1="080F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Lucida Sans Unicode">
    <w:panose1 w:val="020B0602030504020204"/>
    <w:charset w:val="00"/>
    <w:family w:val="auto"/>
    <w:pitch w:val="default"/>
    <w:sig w:usb0="80001AFF" w:usb1="0000396B" w:usb2="00000000" w:usb3="00000000" w:csb0="200000BF" w:csb1="D7F70000"/>
  </w:font>
  <w:font w:name="宋体-18030">
    <w:altName w:val="微软雅黑"/>
    <w:panose1 w:val="00000000000000000000"/>
    <w:charset w:val="86"/>
    <w:family w:val="modern"/>
    <w:pitch w:val="default"/>
    <w:sig w:usb0="00000000" w:usb1="00000000" w:usb2="000A005E"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VTQJRI+FZFSK--GBK1-0">
    <w:altName w:val="Segoe Print"/>
    <w:panose1 w:val="00000000000000000000"/>
    <w:charset w:val="00"/>
    <w:family w:val="auto"/>
    <w:pitch w:val="default"/>
    <w:sig w:usb0="00000000" w:usb1="00000000" w:usb2="00000000" w:usb3="00000000" w:csb0="00000000" w:csb1="00000000"/>
  </w:font>
  <w:font w:name="VTQJRI FZFSK--GBK1-0">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swiss"/>
    <w:pitch w:val="default"/>
    <w:sig w:usb0="00000000" w:usb1="00000000" w:usb2="00000010" w:usb3="00000000" w:csb0="00000001" w:csb1="00000000"/>
  </w:font>
  <w:font w:name="Times">
    <w:altName w:val="Times New Roman"/>
    <w:panose1 w:val="02020603050405020304"/>
    <w:charset w:val="00"/>
    <w:family w:val="roman"/>
    <w:pitch w:val="default"/>
    <w:sig w:usb0="00000000" w:usb1="00000000" w:usb2="00000008" w:usb3="00000000" w:csb0="000001FF" w:csb1="00000000"/>
  </w:font>
  <w:font w:name="VTQJRI+FZFSK--GBK1-0">
    <w:altName w:val="宋体"/>
    <w:panose1 w:val="00000000000000000000"/>
    <w:charset w:val="86"/>
    <w:family w:val="swiss"/>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0" w:csb1="00000000"/>
  </w:font>
  <w:font w:name="E-BX">
    <w:altName w:val="方正舒体"/>
    <w:panose1 w:val="00000000000000000000"/>
    <w:charset w:val="86"/>
    <w:family w:val="auto"/>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Menlo">
    <w:altName w:val="Latha"/>
    <w:panose1 w:val="00000000000000000000"/>
    <w:charset w:val="00"/>
    <w:family w:val="auto"/>
    <w:pitch w:val="default"/>
    <w:sig w:usb0="00000000" w:usb1="00000000" w:usb2="00000000" w:usb3="00000000" w:csb0="00040001" w:csb1="00000000"/>
  </w:font>
  <w:font w:name="FZXBSK--GBK1-0">
    <w:altName w:val="方正舒体"/>
    <w:panose1 w:val="00000000000000000000"/>
    <w:charset w:val="86"/>
    <w:family w:val="auto"/>
    <w:pitch w:val="default"/>
    <w:sig w:usb0="00000000" w:usb1="00000000" w:usb2="00000010" w:usb3="00000000" w:csb0="00040000" w:csb1="00000000"/>
  </w:font>
  <w:font w:name="FZKTK--GBK1-0">
    <w:altName w:val="方正舒体"/>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 ? _GB2312?f?lt">
    <w:altName w:val="Times New Roman"/>
    <w:panose1 w:val="00000000000000000000"/>
    <w:charset w:val="00"/>
    <w:family w:val="roman"/>
    <w:pitch w:val="default"/>
    <w:sig w:usb0="00000000" w:usb1="00000000" w:usb2="00000000" w:usb3="00000000" w:csb0="00000001" w:csb1="00000000"/>
  </w:font>
  <w:font w:name="? ??f?">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1CAAD04"/>
    <w:multiLevelType w:val="singleLevel"/>
    <w:tmpl w:val="61CAAD0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55"/>
    <w:rsid w:val="0001245F"/>
    <w:rsid w:val="00057072"/>
    <w:rsid w:val="000801B4"/>
    <w:rsid w:val="000816B6"/>
    <w:rsid w:val="000C72B3"/>
    <w:rsid w:val="00131E6C"/>
    <w:rsid w:val="0019626C"/>
    <w:rsid w:val="001C4EEA"/>
    <w:rsid w:val="001F6541"/>
    <w:rsid w:val="002102BD"/>
    <w:rsid w:val="00220EE0"/>
    <w:rsid w:val="00281EC0"/>
    <w:rsid w:val="002B5BF1"/>
    <w:rsid w:val="002D7FAE"/>
    <w:rsid w:val="003502DC"/>
    <w:rsid w:val="00377D57"/>
    <w:rsid w:val="003A0E55"/>
    <w:rsid w:val="003D0293"/>
    <w:rsid w:val="003D629E"/>
    <w:rsid w:val="004076A8"/>
    <w:rsid w:val="004175A4"/>
    <w:rsid w:val="0044497E"/>
    <w:rsid w:val="004775FC"/>
    <w:rsid w:val="004B3AFD"/>
    <w:rsid w:val="004C6A1E"/>
    <w:rsid w:val="004E4B9F"/>
    <w:rsid w:val="004E5DAE"/>
    <w:rsid w:val="005201D1"/>
    <w:rsid w:val="005724CF"/>
    <w:rsid w:val="005769D1"/>
    <w:rsid w:val="00596AA1"/>
    <w:rsid w:val="005A5B71"/>
    <w:rsid w:val="005C2851"/>
    <w:rsid w:val="005D21FF"/>
    <w:rsid w:val="005E192F"/>
    <w:rsid w:val="005E3668"/>
    <w:rsid w:val="00612F91"/>
    <w:rsid w:val="00643CA7"/>
    <w:rsid w:val="006452EC"/>
    <w:rsid w:val="00646D76"/>
    <w:rsid w:val="00650BF6"/>
    <w:rsid w:val="006605EA"/>
    <w:rsid w:val="006662DF"/>
    <w:rsid w:val="006C230D"/>
    <w:rsid w:val="006C5205"/>
    <w:rsid w:val="006E7B0B"/>
    <w:rsid w:val="00703E00"/>
    <w:rsid w:val="00771D86"/>
    <w:rsid w:val="007B7E30"/>
    <w:rsid w:val="007C1197"/>
    <w:rsid w:val="007D1B96"/>
    <w:rsid w:val="00814A59"/>
    <w:rsid w:val="0082644A"/>
    <w:rsid w:val="008271C2"/>
    <w:rsid w:val="008319EB"/>
    <w:rsid w:val="00844253"/>
    <w:rsid w:val="00845F4C"/>
    <w:rsid w:val="00884E3F"/>
    <w:rsid w:val="008967B6"/>
    <w:rsid w:val="008B471F"/>
    <w:rsid w:val="008C37A8"/>
    <w:rsid w:val="009412C0"/>
    <w:rsid w:val="00957725"/>
    <w:rsid w:val="009C1C18"/>
    <w:rsid w:val="009C263F"/>
    <w:rsid w:val="00A109CA"/>
    <w:rsid w:val="00A45CF4"/>
    <w:rsid w:val="00A66107"/>
    <w:rsid w:val="00A91D64"/>
    <w:rsid w:val="00A97B34"/>
    <w:rsid w:val="00AD5C18"/>
    <w:rsid w:val="00B17E55"/>
    <w:rsid w:val="00B80D19"/>
    <w:rsid w:val="00B85A79"/>
    <w:rsid w:val="00BA09AF"/>
    <w:rsid w:val="00BB5B84"/>
    <w:rsid w:val="00BD0762"/>
    <w:rsid w:val="00BD7890"/>
    <w:rsid w:val="00BF5878"/>
    <w:rsid w:val="00C1191E"/>
    <w:rsid w:val="00C441DE"/>
    <w:rsid w:val="00C5580E"/>
    <w:rsid w:val="00C934FF"/>
    <w:rsid w:val="00C94BB1"/>
    <w:rsid w:val="00C95257"/>
    <w:rsid w:val="00CA4440"/>
    <w:rsid w:val="00CC6AA7"/>
    <w:rsid w:val="00D54968"/>
    <w:rsid w:val="00D637E9"/>
    <w:rsid w:val="00DA2789"/>
    <w:rsid w:val="00DD3BE9"/>
    <w:rsid w:val="00DE02B4"/>
    <w:rsid w:val="00E06110"/>
    <w:rsid w:val="00E572DF"/>
    <w:rsid w:val="00E62512"/>
    <w:rsid w:val="00E74F2E"/>
    <w:rsid w:val="00E95EA8"/>
    <w:rsid w:val="00EA3069"/>
    <w:rsid w:val="00EA4FA9"/>
    <w:rsid w:val="00F15DF4"/>
    <w:rsid w:val="00F61FFC"/>
    <w:rsid w:val="00F775ED"/>
    <w:rsid w:val="00FA04DA"/>
    <w:rsid w:val="00FD1B05"/>
    <w:rsid w:val="00FE4FA7"/>
    <w:rsid w:val="01657ABB"/>
    <w:rsid w:val="02655824"/>
    <w:rsid w:val="03056A54"/>
    <w:rsid w:val="05695EF4"/>
    <w:rsid w:val="066817C3"/>
    <w:rsid w:val="07E21D1B"/>
    <w:rsid w:val="095F19EA"/>
    <w:rsid w:val="09777543"/>
    <w:rsid w:val="098812A7"/>
    <w:rsid w:val="0A3B367A"/>
    <w:rsid w:val="0ADA3446"/>
    <w:rsid w:val="0B274B50"/>
    <w:rsid w:val="0CCE34CF"/>
    <w:rsid w:val="0D367AB5"/>
    <w:rsid w:val="0E3E333C"/>
    <w:rsid w:val="0E903081"/>
    <w:rsid w:val="10074AB3"/>
    <w:rsid w:val="10843169"/>
    <w:rsid w:val="11C1588C"/>
    <w:rsid w:val="124F7250"/>
    <w:rsid w:val="138711F2"/>
    <w:rsid w:val="161A70B0"/>
    <w:rsid w:val="187C5C79"/>
    <w:rsid w:val="18AD3BE6"/>
    <w:rsid w:val="1975621F"/>
    <w:rsid w:val="19E71B71"/>
    <w:rsid w:val="1A707468"/>
    <w:rsid w:val="1C29022D"/>
    <w:rsid w:val="1CC60BA7"/>
    <w:rsid w:val="1DE229DD"/>
    <w:rsid w:val="20AE7986"/>
    <w:rsid w:val="212E1882"/>
    <w:rsid w:val="2418456C"/>
    <w:rsid w:val="2ABC0BFF"/>
    <w:rsid w:val="2ADD261D"/>
    <w:rsid w:val="2CAB7E1B"/>
    <w:rsid w:val="2DA92B2F"/>
    <w:rsid w:val="2DCC09CA"/>
    <w:rsid w:val="2FFD5E22"/>
    <w:rsid w:val="30201DC9"/>
    <w:rsid w:val="30246120"/>
    <w:rsid w:val="30535A53"/>
    <w:rsid w:val="326C03FB"/>
    <w:rsid w:val="32820142"/>
    <w:rsid w:val="33092F71"/>
    <w:rsid w:val="393C5114"/>
    <w:rsid w:val="3993109A"/>
    <w:rsid w:val="39F73188"/>
    <w:rsid w:val="3B7E2738"/>
    <w:rsid w:val="3CDB6921"/>
    <w:rsid w:val="3D283D0D"/>
    <w:rsid w:val="3D393E45"/>
    <w:rsid w:val="3F1E7746"/>
    <w:rsid w:val="3F271B72"/>
    <w:rsid w:val="4071099E"/>
    <w:rsid w:val="408300CF"/>
    <w:rsid w:val="40AE48AC"/>
    <w:rsid w:val="40D94F01"/>
    <w:rsid w:val="416E7E6F"/>
    <w:rsid w:val="417D55ED"/>
    <w:rsid w:val="4252213E"/>
    <w:rsid w:val="43386752"/>
    <w:rsid w:val="45133104"/>
    <w:rsid w:val="45690B6C"/>
    <w:rsid w:val="4752572C"/>
    <w:rsid w:val="47655767"/>
    <w:rsid w:val="477751A4"/>
    <w:rsid w:val="47822112"/>
    <w:rsid w:val="47D43A07"/>
    <w:rsid w:val="480B78C0"/>
    <w:rsid w:val="499518B4"/>
    <w:rsid w:val="4B33218D"/>
    <w:rsid w:val="4BCF65F1"/>
    <w:rsid w:val="4C4A7F78"/>
    <w:rsid w:val="4D5935CE"/>
    <w:rsid w:val="4D7C21BF"/>
    <w:rsid w:val="4E243988"/>
    <w:rsid w:val="4F3A60DC"/>
    <w:rsid w:val="506A2F1D"/>
    <w:rsid w:val="507C0214"/>
    <w:rsid w:val="50F1111C"/>
    <w:rsid w:val="519C62AC"/>
    <w:rsid w:val="51FC243A"/>
    <w:rsid w:val="525A28F1"/>
    <w:rsid w:val="52BE32B7"/>
    <w:rsid w:val="53331300"/>
    <w:rsid w:val="54253421"/>
    <w:rsid w:val="54F256AA"/>
    <w:rsid w:val="550A015B"/>
    <w:rsid w:val="56345538"/>
    <w:rsid w:val="577E51F3"/>
    <w:rsid w:val="57F462EE"/>
    <w:rsid w:val="5B337E4D"/>
    <w:rsid w:val="5B5B25B5"/>
    <w:rsid w:val="5DC84360"/>
    <w:rsid w:val="5E1478FA"/>
    <w:rsid w:val="5E315FA9"/>
    <w:rsid w:val="5E5E66D6"/>
    <w:rsid w:val="60024FED"/>
    <w:rsid w:val="60605169"/>
    <w:rsid w:val="615F7A2B"/>
    <w:rsid w:val="64CD3A7B"/>
    <w:rsid w:val="64E638B5"/>
    <w:rsid w:val="651A21DE"/>
    <w:rsid w:val="65542C91"/>
    <w:rsid w:val="661C4785"/>
    <w:rsid w:val="66491C9F"/>
    <w:rsid w:val="67263FE0"/>
    <w:rsid w:val="67EF2732"/>
    <w:rsid w:val="68317E01"/>
    <w:rsid w:val="68787EB2"/>
    <w:rsid w:val="6A3D5330"/>
    <w:rsid w:val="6A6E3062"/>
    <w:rsid w:val="6B1B3ED3"/>
    <w:rsid w:val="6C6A1EDE"/>
    <w:rsid w:val="6C926034"/>
    <w:rsid w:val="6EAB7401"/>
    <w:rsid w:val="6FEB74E8"/>
    <w:rsid w:val="71330D5C"/>
    <w:rsid w:val="7181123B"/>
    <w:rsid w:val="723E3B42"/>
    <w:rsid w:val="727B6603"/>
    <w:rsid w:val="73013931"/>
    <w:rsid w:val="74DB1B24"/>
    <w:rsid w:val="75953172"/>
    <w:rsid w:val="777D0FB6"/>
    <w:rsid w:val="78F82C2A"/>
    <w:rsid w:val="7A5E6BEE"/>
    <w:rsid w:val="7ADC35D8"/>
    <w:rsid w:val="7C097375"/>
    <w:rsid w:val="7C112467"/>
    <w:rsid w:val="7F0415C6"/>
    <w:rsid w:val="7F79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415</Words>
  <Characters>110</Characters>
  <Lines>1</Lines>
  <Paragraphs>1</Paragraphs>
  <ScaleCrop>false</ScaleCrop>
  <LinksUpToDate>false</LinksUpToDate>
  <CharactersWithSpaces>524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2020-02-29T02:58:00Z</dcterms:created>
  <dc:creator>dzmjd28</dc:creator>
  <cp:lastModifiedBy>lenovo</cp:lastModifiedBy>
  <dcterms:modified xsi:type="dcterms:W3CDTF">2022-02-25T03:11:52Z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