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东城区司法局</w:t>
      </w:r>
    </w:p>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2020年法治政府建设</w:t>
      </w:r>
      <w:r>
        <w:rPr>
          <w:rFonts w:hint="eastAsia" w:ascii="方正小标宋简体" w:hAnsi="方正小标宋简体" w:eastAsia="方正小标宋简体" w:cs="方正小标宋简体"/>
          <w:sz w:val="44"/>
          <w:szCs w:val="44"/>
          <w:lang w:val="en-US" w:eastAsia="zh-CN"/>
        </w:rPr>
        <w:t>年度</w:t>
      </w:r>
      <w:r>
        <w:rPr>
          <w:rFonts w:hint="eastAsia" w:ascii="方正小标宋简体" w:hAnsi="方正小标宋简体" w:eastAsia="方正小标宋简体" w:cs="方正小标宋简体"/>
          <w:sz w:val="44"/>
          <w:szCs w:val="44"/>
        </w:rPr>
        <w:t>情况报告</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p>
    <w:p>
      <w:pPr>
        <w:keepNext w:val="0"/>
        <w:keepLines w:val="0"/>
        <w:pageBreakBefore w:val="0"/>
        <w:kinsoku/>
        <w:wordWrap/>
        <w:overflowPunct/>
        <w:topLinePunct w:val="0"/>
        <w:autoSpaceDE/>
        <w:autoSpaceDN/>
        <w:bidi w:val="0"/>
        <w:adjustRightInd/>
        <w:spacing w:line="560" w:lineRule="exact"/>
        <w:ind w:left="0" w:leftChars="0" w:right="0" w:rightChars="0" w:firstLine="640"/>
        <w:textAlignment w:val="auto"/>
        <w:rPr>
          <w:rFonts w:ascii="仿宋_GB2312" w:hAnsi="仿宋_GB2312" w:cs="仿宋_GB2312"/>
        </w:rPr>
      </w:pPr>
      <w:r>
        <w:rPr>
          <w:rFonts w:hint="eastAsia" w:ascii="仿宋_GB2312" w:hAnsi="仿宋_GB2312" w:cs="仿宋_GB2312"/>
        </w:rPr>
        <w:t>2020年，是全面建成小康社会和“十三五”规划的收官之年,也是东城区司法行政系统凝心聚力、实现创新发展的融合之年。东城区司法局紧紧围绕全面建成小康社会的目标任务和推进国家治理体系和治理能力现代化的总体要求，坚持稳中求进的工作总基调，坚持以防控新冠肺炎疫情为首要政治任务，以深入推进全面依法治区工作为统领，以落实街道综合执法改革任务为指引，全面履行行政立规、行政执法、刑事执行和公共法律服务职责，统筹做好稳增长、促改革、调结构、惠民生、防风险、保稳定的法治保障工作，为建设国际一流的和谐宜居之都的首善之区保驾护航。</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Times New Roman" w:hAnsi="Times New Roman" w:eastAsia="黑体" w:cs="Times New Roman"/>
        </w:rPr>
      </w:pPr>
      <w:r>
        <w:rPr>
          <w:rFonts w:hint="eastAsia" w:ascii="黑体" w:hAnsi="黑体" w:eastAsia="黑体" w:cs="黑体"/>
        </w:rPr>
        <w:t>一、2020年度</w:t>
      </w:r>
      <w:r>
        <w:rPr>
          <w:rFonts w:hint="eastAsia" w:ascii="Times New Roman" w:hAnsi="Times New Roman" w:eastAsia="黑体" w:cs="Times New Roman"/>
        </w:rPr>
        <w:t>推进法治政府建设的主要举措和成效</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b/>
          <w:bCs/>
        </w:rPr>
      </w:pPr>
      <w:r>
        <w:rPr>
          <w:rFonts w:hint="eastAsia" w:ascii="楷体" w:hAnsi="楷体" w:eastAsia="楷体" w:cs="楷体"/>
        </w:rPr>
        <w:t>（一）充分发挥统筹职能，扎实推进依法行政工作领导小组各项工作</w:t>
      </w:r>
    </w:p>
    <w:p>
      <w:pPr>
        <w:pStyle w:val="11"/>
        <w:keepNext w:val="0"/>
        <w:keepLines w:val="0"/>
        <w:pageBreakBefore w:val="0"/>
        <w:kinsoku/>
        <w:wordWrap/>
        <w:overflowPunct/>
        <w:topLinePunct w:val="0"/>
        <w:autoSpaceDE/>
        <w:autoSpaceDN/>
        <w:bidi w:val="0"/>
        <w:adjustRightInd/>
        <w:spacing w:before="0" w:after="0" w:afterAutospacing="0" w:line="560" w:lineRule="exact"/>
        <w:ind w:left="0" w:leftChars="0" w:right="0" w:rightChars="0" w:firstLine="640" w:firstLineChars="200"/>
        <w:textAlignment w:val="auto"/>
        <w:rPr>
          <w:rFonts w:hint="eastAsia" w:ascii="仿宋_GB2312" w:hAnsi="Times New Roman"/>
          <w:color w:val="4F4F4F"/>
        </w:rPr>
      </w:pPr>
      <w:r>
        <w:rPr>
          <w:rFonts w:eastAsia="仿宋_GB2312"/>
          <w:b w:val="0"/>
          <w:bCs/>
          <w:sz w:val="32"/>
          <w:szCs w:val="32"/>
        </w:rPr>
        <w:t>1.</w:t>
      </w:r>
      <w:r>
        <w:rPr>
          <w:rFonts w:hint="eastAsia" w:ascii="仿宋_GB2312" w:hAnsi="仿宋_GB2312" w:eastAsia="仿宋_GB2312" w:cs="仿宋_GB2312"/>
          <w:b w:val="0"/>
          <w:bCs/>
          <w:kern w:val="2"/>
          <w:sz w:val="32"/>
          <w:szCs w:val="32"/>
        </w:rPr>
        <w:t>组织召开推进依法行政工作领导小组</w:t>
      </w:r>
      <w:r>
        <w:rPr>
          <w:rFonts w:ascii="仿宋_GB2312" w:hAnsi="仿宋_GB2312" w:eastAsia="仿宋_GB2312" w:cs="仿宋_GB2312"/>
          <w:b w:val="0"/>
          <w:bCs/>
          <w:kern w:val="2"/>
          <w:sz w:val="32"/>
          <w:szCs w:val="32"/>
        </w:rPr>
        <w:t>（扩大）会议</w:t>
      </w:r>
      <w:r>
        <w:rPr>
          <w:rFonts w:hint="eastAsia" w:ascii="仿宋_GB2312" w:hAnsi="仿宋_GB2312" w:eastAsia="仿宋_GB2312" w:cs="仿宋_GB2312"/>
          <w:b w:val="0"/>
          <w:bCs/>
          <w:kern w:val="2"/>
          <w:sz w:val="32"/>
          <w:szCs w:val="32"/>
        </w:rPr>
        <w:t>。</w:t>
      </w:r>
      <w:r>
        <w:rPr>
          <w:rFonts w:hint="eastAsia" w:ascii="仿宋_GB2312" w:hAnsi="仿宋_GB2312" w:eastAsia="仿宋_GB2312" w:cs="仿宋_GB2312"/>
          <w:kern w:val="2"/>
          <w:sz w:val="32"/>
          <w:szCs w:val="32"/>
        </w:rPr>
        <w:t>作为推进依法行政领导小组办公室，筹备召开</w:t>
      </w:r>
      <w:r>
        <w:rPr>
          <w:rFonts w:ascii="仿宋_GB2312" w:hAnsi="仿宋_GB2312" w:eastAsia="仿宋_GB2312" w:cs="仿宋_GB2312"/>
          <w:kern w:val="2"/>
          <w:sz w:val="32"/>
          <w:szCs w:val="32"/>
        </w:rPr>
        <w:t>东城区委全面依法治区委员会</w:t>
      </w:r>
      <w:r>
        <w:rPr>
          <w:rFonts w:hint="eastAsia" w:ascii="仿宋_GB2312" w:hAnsi="仿宋_GB2312" w:eastAsia="仿宋_GB2312" w:cs="仿宋_GB2312"/>
          <w:kern w:val="2"/>
          <w:sz w:val="32"/>
          <w:szCs w:val="32"/>
        </w:rPr>
        <w:t>推进依法行政工作领导小组</w:t>
      </w:r>
      <w:r>
        <w:rPr>
          <w:rFonts w:ascii="仿宋_GB2312" w:hAnsi="仿宋_GB2312" w:eastAsia="仿宋_GB2312" w:cs="仿宋_GB2312"/>
          <w:kern w:val="2"/>
          <w:sz w:val="32"/>
          <w:szCs w:val="32"/>
        </w:rPr>
        <w:t>（扩大）会议</w:t>
      </w:r>
      <w:r>
        <w:rPr>
          <w:rFonts w:hint="eastAsia" w:ascii="仿宋_GB2312" w:hAnsi="Times New Roman" w:eastAsia="仿宋_GB2312"/>
          <w:color w:val="4F4F4F"/>
          <w:sz w:val="32"/>
          <w:szCs w:val="32"/>
        </w:rPr>
        <w:t>，</w:t>
      </w:r>
      <w:r>
        <w:rPr>
          <w:rFonts w:ascii="仿宋_GB2312" w:hAnsi="仿宋_GB2312" w:eastAsia="仿宋_GB2312" w:cs="仿宋_GB2312"/>
          <w:kern w:val="2"/>
          <w:sz w:val="32"/>
          <w:szCs w:val="32"/>
        </w:rPr>
        <w:t>区委</w:t>
      </w:r>
      <w:r>
        <w:rPr>
          <w:rFonts w:hint="eastAsia" w:ascii="仿宋_GB2312" w:hAnsi="仿宋_GB2312" w:eastAsia="仿宋_GB2312" w:cs="仿宋_GB2312"/>
          <w:kern w:val="2"/>
          <w:sz w:val="32"/>
          <w:szCs w:val="32"/>
        </w:rPr>
        <w:t>副书记</w:t>
      </w:r>
      <w:r>
        <w:rPr>
          <w:rFonts w:ascii="仿宋_GB2312" w:hAnsi="仿宋_GB2312" w:eastAsia="仿宋_GB2312" w:cs="仿宋_GB2312"/>
          <w:kern w:val="2"/>
          <w:sz w:val="32"/>
          <w:szCs w:val="32"/>
        </w:rPr>
        <w:t>、区</w:t>
      </w:r>
      <w:r>
        <w:rPr>
          <w:rFonts w:hint="eastAsia" w:ascii="仿宋_GB2312" w:hAnsi="仿宋_GB2312" w:eastAsia="仿宋_GB2312" w:cs="仿宋_GB2312"/>
          <w:kern w:val="2"/>
          <w:sz w:val="32"/>
          <w:szCs w:val="32"/>
        </w:rPr>
        <w:t>长</w:t>
      </w:r>
      <w:r>
        <w:rPr>
          <w:rFonts w:ascii="仿宋_GB2312" w:hAnsi="仿宋_GB2312" w:eastAsia="仿宋_GB2312" w:cs="仿宋_GB2312"/>
          <w:kern w:val="2"/>
          <w:sz w:val="32"/>
          <w:szCs w:val="32"/>
        </w:rPr>
        <w:t>、区</w:t>
      </w:r>
      <w:r>
        <w:rPr>
          <w:rFonts w:hint="eastAsia" w:ascii="仿宋_GB2312" w:hAnsi="仿宋_GB2312" w:eastAsia="仿宋_GB2312" w:cs="仿宋_GB2312"/>
          <w:kern w:val="2"/>
          <w:sz w:val="32"/>
          <w:szCs w:val="32"/>
        </w:rPr>
        <w:t>推进依法行政工作领导小组组长金晖主持</w:t>
      </w:r>
      <w:r>
        <w:rPr>
          <w:rFonts w:ascii="仿宋_GB2312" w:hAnsi="仿宋_GB2312" w:eastAsia="仿宋_GB2312" w:cs="仿宋_GB2312"/>
          <w:kern w:val="2"/>
          <w:sz w:val="32"/>
          <w:szCs w:val="32"/>
        </w:rPr>
        <w:t>会议。会议</w:t>
      </w:r>
      <w:r>
        <w:rPr>
          <w:rFonts w:hint="eastAsia" w:ascii="仿宋_GB2312" w:hAnsi="仿宋_GB2312" w:eastAsia="仿宋_GB2312" w:cs="仿宋_GB2312"/>
          <w:kern w:val="2"/>
          <w:sz w:val="32"/>
          <w:szCs w:val="32"/>
        </w:rPr>
        <w:t>总结2019年法治政府建设工作，研究</w:t>
      </w:r>
      <w:r>
        <w:rPr>
          <w:rFonts w:ascii="仿宋_GB2312" w:hAnsi="仿宋_GB2312" w:eastAsia="仿宋_GB2312" w:cs="仿宋_GB2312"/>
          <w:kern w:val="2"/>
          <w:sz w:val="32"/>
          <w:szCs w:val="32"/>
        </w:rPr>
        <w:t>审议</w:t>
      </w:r>
      <w:r>
        <w:rPr>
          <w:rFonts w:hint="eastAsia" w:ascii="仿宋_GB2312" w:hAnsi="仿宋_GB2312" w:eastAsia="仿宋_GB2312" w:cs="仿宋_GB2312"/>
          <w:kern w:val="2"/>
          <w:sz w:val="32"/>
          <w:szCs w:val="32"/>
        </w:rPr>
        <w:t>《2020年东城区关于开展法治政府建设示范创建活动的实施方案》《2020年</w:t>
      </w:r>
      <w:r>
        <w:rPr>
          <w:rFonts w:ascii="仿宋_GB2312" w:hAnsi="仿宋_GB2312" w:eastAsia="仿宋_GB2312" w:cs="仿宋_GB2312"/>
          <w:kern w:val="2"/>
          <w:sz w:val="32"/>
          <w:szCs w:val="32"/>
        </w:rPr>
        <w:t>区</w:t>
      </w:r>
      <w:r>
        <w:rPr>
          <w:rFonts w:hint="eastAsia" w:ascii="仿宋_GB2312" w:hAnsi="仿宋_GB2312" w:eastAsia="仿宋_GB2312" w:cs="仿宋_GB2312"/>
          <w:kern w:val="2"/>
          <w:sz w:val="32"/>
          <w:szCs w:val="32"/>
        </w:rPr>
        <w:t>政府</w:t>
      </w:r>
      <w:r>
        <w:rPr>
          <w:rFonts w:ascii="仿宋_GB2312" w:hAnsi="仿宋_GB2312" w:eastAsia="仿宋_GB2312" w:cs="仿宋_GB2312"/>
          <w:kern w:val="2"/>
          <w:sz w:val="32"/>
          <w:szCs w:val="32"/>
        </w:rPr>
        <w:t>依法行政考核指标任务分工</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和</w:t>
      </w:r>
      <w:r>
        <w:rPr>
          <w:rFonts w:hint="eastAsia" w:ascii="仿宋_GB2312" w:hAnsi="仿宋_GB2312" w:eastAsia="仿宋_GB2312" w:cs="仿宋_GB2312"/>
          <w:kern w:val="2"/>
          <w:sz w:val="32"/>
          <w:szCs w:val="32"/>
        </w:rPr>
        <w:t>《2020年</w:t>
      </w:r>
      <w:r>
        <w:rPr>
          <w:rFonts w:ascii="仿宋_GB2312" w:hAnsi="仿宋_GB2312" w:eastAsia="仿宋_GB2312" w:cs="仿宋_GB2312"/>
          <w:kern w:val="2"/>
          <w:sz w:val="32"/>
          <w:szCs w:val="32"/>
        </w:rPr>
        <w:t>东城区推进法治政府建设工作要点</w:t>
      </w:r>
      <w:r>
        <w:rPr>
          <w:rFonts w:hint="eastAsia" w:ascii="仿宋_GB2312" w:hAnsi="仿宋_GB2312" w:eastAsia="仿宋_GB2312" w:cs="仿宋_GB2312"/>
          <w:kern w:val="2"/>
          <w:sz w:val="32"/>
          <w:szCs w:val="32"/>
        </w:rPr>
        <w:t>》等文件</w:t>
      </w:r>
      <w:r>
        <w:rPr>
          <w:rFonts w:ascii="仿宋_GB2312" w:hAnsi="仿宋_GB2312" w:eastAsia="仿宋_GB2312" w:cs="仿宋_GB2312"/>
          <w:kern w:val="2"/>
          <w:sz w:val="32"/>
          <w:szCs w:val="32"/>
        </w:rPr>
        <w:t>。</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pPr>
      <w:r>
        <w:rPr>
          <w:rFonts w:hint="eastAsia"/>
          <w:b w:val="0"/>
          <w:bCs/>
        </w:rPr>
        <w:t>2.</w:t>
      </w:r>
      <w:r>
        <w:rPr>
          <w:b w:val="0"/>
          <w:bCs/>
        </w:rPr>
        <w:t>规范依法决策程序。</w:t>
      </w:r>
      <w:r>
        <w:t>加强重大行政决策机制建设，</w:t>
      </w:r>
      <w:r>
        <w:rPr>
          <w:rFonts w:hint="eastAsia"/>
        </w:rPr>
        <w:t>严格</w:t>
      </w:r>
      <w:r>
        <w:t>落实重大行政决策公众参与、专家论证</w:t>
      </w:r>
      <w:r>
        <w:rPr>
          <w:rFonts w:hint="eastAsia"/>
        </w:rPr>
        <w:t>、风险评估、合法性审查、集体讨论等</w:t>
      </w:r>
      <w:r>
        <w:t>工作制度。全面落实《重大行政决策程序暂行条例》，实行重大行政决策目录化</w:t>
      </w:r>
      <w:r>
        <w:rPr>
          <w:rFonts w:hint="eastAsia"/>
        </w:rPr>
        <w:t>、档案化</w:t>
      </w:r>
      <w:r>
        <w:t>管理</w:t>
      </w:r>
      <w:r>
        <w:rPr>
          <w:rFonts w:hint="eastAsia"/>
        </w:rPr>
        <w:t>，举办决策案例评审工作培训会，提高</w:t>
      </w:r>
      <w:r>
        <w:t>决策承办单位</w:t>
      </w:r>
      <w:r>
        <w:rPr>
          <w:rFonts w:hint="eastAsia" w:ascii="仿宋_GB2312" w:hAnsi="仿宋_GB2312" w:cs="仿宋_GB2312"/>
        </w:rPr>
        <w:t>工作规范化水平，努力</w:t>
      </w:r>
      <w:r>
        <w:t>实现决策全过程记录。强化重大行政决策合法性审查机制建设，出台《关于进一步完善重大行政决策合法性审核工作机制的实施意见》</w:t>
      </w:r>
      <w:r>
        <w:rPr>
          <w:rFonts w:hint="eastAsia"/>
        </w:rPr>
        <w:t>。</w:t>
      </w:r>
      <w:r>
        <w:t>持续深入开展区政府重大行政决策评审交流。</w:t>
      </w:r>
    </w:p>
    <w:p>
      <w:pPr>
        <w:pStyle w:val="5"/>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pPr>
      <w:r>
        <w:rPr>
          <w:rFonts w:hint="eastAsia" w:ascii="仿宋_GB2312" w:hAnsi="仿宋_GB2312" w:cs="仿宋_GB2312"/>
          <w:b w:val="0"/>
          <w:bCs/>
          <w:sz w:val="32"/>
        </w:rPr>
        <w:t>3.全面开展法治政府建设评估调研工作。</w:t>
      </w:r>
      <w:r>
        <w:rPr>
          <w:rFonts w:hint="eastAsia" w:ascii="仿宋_GB2312" w:hAnsi="仿宋_GB2312" w:cs="仿宋_GB2312"/>
          <w:sz w:val="32"/>
        </w:rPr>
        <w:t>委托法治政府研究机构对东城区政府法治政府建设情况开展全面深度评估，形成《东城区法治政府建设评估报告》，总结经验，发现差距与不足，为政府科学决策提出专业建议。针对问题制定整改报告，在全区范围印发，促进法治政府建设各项目标任务落实到位，从决策层面提升政府依法行政水平。</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楷体" w:hAnsi="楷体" w:eastAsia="楷体" w:cs="楷体"/>
        </w:rPr>
      </w:pPr>
      <w:r>
        <w:rPr>
          <w:rFonts w:hint="eastAsia" w:ascii="楷体" w:hAnsi="楷体" w:eastAsia="楷体" w:cs="楷体"/>
        </w:rPr>
        <w:t>（二）充分发挥保障职能，全面推进法治政府建设</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b w:val="0"/>
          <w:bCs w:val="0"/>
        </w:rPr>
      </w:pPr>
      <w:r>
        <w:rPr>
          <w:rFonts w:hint="eastAsia" w:ascii="仿宋_GB2312" w:hAnsi="仿宋_GB2312" w:cs="仿宋_GB2312"/>
          <w:b w:val="0"/>
          <w:bCs w:val="0"/>
        </w:rPr>
        <w:t>1.扎实做好行政文件合法性审查工作</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kern w:val="0"/>
        </w:rPr>
        <w:t>重大行政决策机制逐步完善，规范性文件备案审查制度落实到位。</w:t>
      </w:r>
      <w:r>
        <w:rPr>
          <w:rFonts w:hint="eastAsia" w:ascii="仿宋_GB2312" w:hAnsi="仿宋_GB2312" w:cs="仿宋_GB2312"/>
        </w:rPr>
        <w:t>出台《关于进一步完善重大行政决策合法性审</w:t>
      </w:r>
      <w:r>
        <w:rPr>
          <w:rFonts w:hint="eastAsia" w:ascii="仿宋_GB2312" w:hAnsi="仿宋_GB2312" w:cs="仿宋_GB2312"/>
          <w:lang w:eastAsia="zh-CN"/>
        </w:rPr>
        <w:t>查</w:t>
      </w:r>
      <w:r>
        <w:rPr>
          <w:rFonts w:hint="eastAsia" w:ascii="仿宋_GB2312" w:hAnsi="仿宋_GB2312" w:cs="仿宋_GB2312"/>
        </w:rPr>
        <w:t>工作机制的实施意见》和《东城区行政规范性文件制定、备案和监督的若干规定》两大制度，健全审核体制。制定重大行政决策合法性审查表、行政规范性文件合法性审核表等一系列文书，加强程序规范。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截至目前，全年共开展四次行政规范性文件清理工作，废止</w:t>
      </w:r>
      <w:r>
        <w:rPr>
          <w:rFonts w:hint="eastAsia" w:ascii="仿宋_GB2312" w:hAnsi="仿宋_GB2312" w:cs="仿宋_GB2312"/>
          <w:lang w:val="en-US" w:eastAsia="zh-CN"/>
        </w:rPr>
        <w:t>19</w:t>
      </w:r>
      <w:r>
        <w:rPr>
          <w:rFonts w:hint="eastAsia" w:ascii="仿宋_GB2312" w:hAnsi="仿宋_GB2312" w:cs="仿宋_GB2312"/>
        </w:rPr>
        <w:t>件行政规范性文件，清理结果已对外公布。全年共开展上会材料、公文制发的合法性审核及各类区政府文件征求意见</w:t>
      </w:r>
      <w:r>
        <w:rPr>
          <w:rFonts w:hint="eastAsia" w:ascii="仿宋_GB2312" w:hAnsi="仿宋_GB2312" w:cs="仿宋_GB2312"/>
          <w:color w:val="auto"/>
          <w:lang w:val="en-US" w:eastAsia="zh-CN"/>
        </w:rPr>
        <w:t>493</w:t>
      </w:r>
      <w:r>
        <w:rPr>
          <w:rFonts w:hint="eastAsia" w:ascii="仿宋_GB2312" w:hAnsi="仿宋_GB2312" w:eastAsia="仿宋_GB2312" w:cs="仿宋_GB2312"/>
          <w:color w:val="auto"/>
          <w:lang w:val="en-US" w:eastAsia="zh-CN"/>
        </w:rPr>
        <w:t>件，</w:t>
      </w:r>
      <w:r>
        <w:rPr>
          <w:rFonts w:hint="eastAsia" w:ascii="仿宋_GB2312" w:hAnsi="仿宋_GB2312" w:cs="仿宋_GB2312"/>
          <w:color w:val="auto"/>
          <w:lang w:val="en-US" w:eastAsia="zh-CN"/>
        </w:rPr>
        <w:t>审核</w:t>
      </w:r>
      <w:r>
        <w:rPr>
          <w:rFonts w:hint="eastAsia" w:ascii="仿宋_GB2312" w:hAnsi="仿宋_GB2312" w:eastAsia="仿宋_GB2312" w:cs="仿宋_GB2312"/>
          <w:color w:val="auto"/>
          <w:lang w:val="en-US" w:eastAsia="zh-CN"/>
        </w:rPr>
        <w:t>全区行政规范性文件</w:t>
      </w:r>
      <w:r>
        <w:rPr>
          <w:rFonts w:hint="eastAsia" w:ascii="仿宋_GB2312" w:hAnsi="仿宋_GB2312" w:cs="仿宋_GB2312"/>
          <w:color w:val="auto"/>
          <w:lang w:val="en-US" w:eastAsia="zh-CN"/>
        </w:rPr>
        <w:t>23</w:t>
      </w:r>
      <w:r>
        <w:rPr>
          <w:rFonts w:hint="eastAsia" w:ascii="仿宋_GB2312" w:hAnsi="仿宋_GB2312" w:eastAsia="仿宋_GB2312" w:cs="仿宋_GB2312"/>
          <w:color w:val="auto"/>
          <w:lang w:val="en-US" w:eastAsia="zh-CN"/>
        </w:rPr>
        <w:t>件，以区政府及政府办名义制发的规范性文件</w:t>
      </w:r>
      <w:r>
        <w:rPr>
          <w:rFonts w:hint="eastAsia" w:ascii="仿宋_GB2312" w:hAnsi="仿宋_GB2312" w:cs="仿宋_GB2312"/>
          <w:color w:val="auto"/>
          <w:lang w:val="en-US" w:eastAsia="zh-CN"/>
        </w:rPr>
        <w:t>6</w:t>
      </w:r>
      <w:r>
        <w:rPr>
          <w:rFonts w:hint="eastAsia" w:ascii="仿宋_GB2312" w:hAnsi="仿宋_GB2312" w:eastAsia="仿宋_GB2312" w:cs="仿宋_GB2312"/>
          <w:color w:val="auto"/>
          <w:lang w:val="en-US" w:eastAsia="zh-CN"/>
        </w:rPr>
        <w:t>件，均按要求备案。通过提前介入、电话交流、座谈磋商等形式提出法制审核意见</w:t>
      </w:r>
      <w:r>
        <w:rPr>
          <w:rFonts w:hint="eastAsia" w:ascii="仿宋_GB2312" w:hAnsi="仿宋_GB2312" w:cs="仿宋_GB2312"/>
          <w:color w:val="auto"/>
          <w:lang w:val="en-US" w:eastAsia="zh-CN"/>
        </w:rPr>
        <w:t>198</w:t>
      </w:r>
      <w:r>
        <w:rPr>
          <w:rFonts w:hint="eastAsia" w:ascii="仿宋_GB2312" w:hAnsi="仿宋_GB2312" w:eastAsia="仿宋_GB2312" w:cs="仿宋_GB2312"/>
          <w:color w:val="auto"/>
          <w:lang w:val="en-US" w:eastAsia="zh-CN"/>
        </w:rPr>
        <w:t>件次，均被采纳。办理市立法草案征求意见</w:t>
      </w:r>
      <w:r>
        <w:rPr>
          <w:rFonts w:hint="eastAsia" w:ascii="仿宋_GB2312" w:hAnsi="仿宋_GB2312" w:cs="仿宋_GB2312"/>
          <w:color w:val="auto"/>
          <w:lang w:val="en-US" w:eastAsia="zh-CN"/>
        </w:rPr>
        <w:t>21</w:t>
      </w:r>
      <w:r>
        <w:rPr>
          <w:rFonts w:hint="eastAsia" w:ascii="仿宋_GB2312" w:hAnsi="仿宋_GB2312" w:eastAsia="仿宋_GB2312" w:cs="仿宋_GB2312"/>
          <w:color w:val="auto"/>
          <w:lang w:val="en-US" w:eastAsia="zh-CN"/>
        </w:rPr>
        <w:t>件、市政府常务会背景材料1</w:t>
      </w:r>
      <w:r>
        <w:rPr>
          <w:rFonts w:hint="eastAsia" w:ascii="仿宋_GB2312" w:hAnsi="仿宋_GB2312" w:cs="仿宋_GB2312"/>
          <w:color w:val="auto"/>
          <w:lang w:val="en-US" w:eastAsia="zh-CN"/>
        </w:rPr>
        <w:t>8</w:t>
      </w:r>
      <w:r>
        <w:rPr>
          <w:rFonts w:hint="eastAsia" w:ascii="仿宋_GB2312" w:hAnsi="仿宋_GB2312" w:eastAsia="仿宋_GB2312" w:cs="仿宋_GB2312"/>
          <w:color w:val="auto"/>
          <w:lang w:val="en-US" w:eastAsia="zh-CN"/>
        </w:rPr>
        <w:t>件，</w:t>
      </w:r>
      <w:r>
        <w:rPr>
          <w:rFonts w:hint="eastAsia" w:ascii="仿宋_GB2312" w:hAnsi="仿宋_GB2312" w:cs="仿宋_GB2312"/>
        </w:rPr>
        <w:t>充分发挥了区政府参谋助手的作用，为区政府决策提供有力的法制保障。</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b w:val="0"/>
          <w:bCs w:val="0"/>
        </w:rPr>
      </w:pPr>
      <w:r>
        <w:rPr>
          <w:rFonts w:hint="eastAsia" w:ascii="仿宋_GB2312" w:hAnsi="仿宋_GB2312" w:cs="仿宋_GB2312"/>
          <w:b w:val="0"/>
          <w:bCs w:val="0"/>
        </w:rPr>
        <w:t>2.深入推进街道综合执法改革</w:t>
      </w:r>
    </w:p>
    <w:p>
      <w:pPr>
        <w:keepNext w:val="0"/>
        <w:keepLines w:val="0"/>
        <w:pageBreakBefore w:val="0"/>
        <w:kinsoku/>
        <w:wordWrap/>
        <w:overflowPunct/>
        <w:topLinePunct w:val="0"/>
        <w:autoSpaceDE/>
        <w:autoSpaceDN/>
        <w:bidi w:val="0"/>
        <w:adjustRightInd/>
        <w:spacing w:line="560" w:lineRule="exact"/>
        <w:ind w:left="0" w:leftChars="0" w:right="0" w:rightChars="0" w:firstLine="630"/>
        <w:textAlignment w:val="auto"/>
        <w:rPr>
          <w:rFonts w:ascii="仿宋_GB2312" w:hAnsi="仿宋_GB2312" w:cs="仿宋_GB2312"/>
        </w:rPr>
      </w:pPr>
      <w:r>
        <w:rPr>
          <w:rFonts w:hint="eastAsia" w:ascii="仿宋_GB2312" w:hAnsi="仿宋_GB2312" w:cs="仿宋_GB2312"/>
          <w:color w:val="000000"/>
        </w:rPr>
        <w:t>（1）</w:t>
      </w:r>
      <w:r>
        <w:rPr>
          <w:rFonts w:hint="eastAsia" w:ascii="仿宋_GB2312" w:hAnsi="仿宋_GB2312" w:cs="仿宋_GB2312"/>
          <w:kern w:val="0"/>
        </w:rPr>
        <w:t>“街乡吹哨部门报到”综合执法改革平稳落地，430项行政执法权下沉的法治保障工作高效运行，从制定方案保过渡、出台规定明职责、编写指引定标准、线上线下强培训4个方面保驾护航。</w:t>
      </w:r>
      <w:r>
        <w:rPr>
          <w:rFonts w:hint="eastAsia" w:ascii="仿宋_GB2312" w:hAnsi="仿宋_GB2312" w:cs="仿宋_GB2312"/>
          <w:b/>
          <w:bCs/>
          <w:kern w:val="0"/>
        </w:rPr>
        <w:t>一是保过渡</w:t>
      </w:r>
      <w:r>
        <w:rPr>
          <w:rFonts w:hint="eastAsia" w:ascii="仿宋_GB2312" w:hAnsi="仿宋_GB2312" w:cs="仿宋_GB2312"/>
          <w:kern w:val="0"/>
        </w:rPr>
        <w:t>，制定出台了《关于做好我区行政执法职权下放法治保障工作的过渡期实施方案》，从区级层面明确了改革过渡期（2020年12月底前），推进街道执法工作的法制审核小组实体化运行，有效缓解改革初期街道法治保障的巨大压力。</w:t>
      </w:r>
      <w:r>
        <w:rPr>
          <w:rFonts w:hint="eastAsia" w:ascii="仿宋_GB2312" w:hAnsi="仿宋_GB2312" w:cs="仿宋_GB2312"/>
          <w:b/>
          <w:bCs/>
          <w:kern w:val="0"/>
        </w:rPr>
        <w:t>二是明职责</w:t>
      </w:r>
      <w:r>
        <w:rPr>
          <w:rFonts w:hint="eastAsia" w:ascii="仿宋_GB2312" w:hAnsi="仿宋_GB2312" w:cs="仿宋_GB2312"/>
          <w:kern w:val="0"/>
        </w:rPr>
        <w:t>，为</w:t>
      </w:r>
      <w:r>
        <w:rPr>
          <w:rFonts w:hint="eastAsia" w:ascii="Times New Roman" w:hAnsi="Times New Roman"/>
        </w:rPr>
        <w:t>避免执法实践中出现推诿扯皮，出台了</w:t>
      </w:r>
      <w:r>
        <w:rPr>
          <w:rFonts w:ascii="Times New Roman" w:hAnsi="Times New Roman"/>
        </w:rPr>
        <w:t>执法权限划分</w:t>
      </w:r>
      <w:r>
        <w:rPr>
          <w:rFonts w:hint="eastAsia" w:ascii="Times New Roman" w:hAnsi="Times New Roman"/>
        </w:rPr>
        <w:t>、</w:t>
      </w:r>
      <w:r>
        <w:rPr>
          <w:rFonts w:ascii="Times New Roman" w:hAnsi="Times New Roman"/>
        </w:rPr>
        <w:t>执法责任制</w:t>
      </w:r>
      <w:r>
        <w:rPr>
          <w:rFonts w:hint="eastAsia" w:ascii="Times New Roman" w:hAnsi="Times New Roman"/>
        </w:rPr>
        <w:t>和</w:t>
      </w:r>
      <w:r>
        <w:rPr>
          <w:rFonts w:ascii="Times New Roman" w:hAnsi="Times New Roman"/>
        </w:rPr>
        <w:t>案件指定管辖</w:t>
      </w:r>
      <w:r>
        <w:rPr>
          <w:rFonts w:hint="eastAsia" w:ascii="Times New Roman" w:hAnsi="Times New Roman"/>
        </w:rPr>
        <w:t>等</w:t>
      </w:r>
      <w:r>
        <w:rPr>
          <w:rFonts w:ascii="Times New Roman" w:hAnsi="Times New Roman"/>
        </w:rPr>
        <w:t>工作规定</w:t>
      </w:r>
      <w:r>
        <w:rPr>
          <w:rFonts w:hint="eastAsia" w:ascii="仿宋_GB2312" w:hAnsi="仿宋_GB2312" w:cs="仿宋_GB2312"/>
          <w:kern w:val="0"/>
        </w:rPr>
        <w:t>。</w:t>
      </w:r>
      <w:r>
        <w:rPr>
          <w:rFonts w:hint="eastAsia" w:ascii="仿宋_GB2312" w:hAnsi="仿宋_GB2312" w:cs="仿宋_GB2312"/>
          <w:b/>
          <w:bCs/>
          <w:kern w:val="0"/>
        </w:rPr>
        <w:t>三是定标准，</w:t>
      </w:r>
      <w:r>
        <w:rPr>
          <w:rFonts w:hint="eastAsia" w:ascii="仿宋_GB2312" w:hAnsi="仿宋_GB2312" w:cs="仿宋_GB2312"/>
          <w:kern w:val="0"/>
        </w:rPr>
        <w:t>针对</w:t>
      </w:r>
      <w:r>
        <w:rPr>
          <w:rFonts w:ascii="Times New Roman" w:hAnsi="Times New Roman"/>
        </w:rPr>
        <w:t>各街道在执法中反映</w:t>
      </w:r>
      <w:r>
        <w:rPr>
          <w:rFonts w:hint="eastAsia" w:ascii="Times New Roman" w:hAnsi="Times New Roman"/>
        </w:rPr>
        <w:t>出</w:t>
      </w:r>
      <w:r>
        <w:rPr>
          <w:rFonts w:ascii="Times New Roman" w:hAnsi="Times New Roman"/>
        </w:rPr>
        <w:t>的难点问题，区司法局编写了</w:t>
      </w:r>
      <w:r>
        <w:rPr>
          <w:rFonts w:hint="eastAsia" w:ascii="Times New Roman" w:hAnsi="Times New Roman"/>
        </w:rPr>
        <w:t>相应的工作制度汇编、问答式工作指引，对街道执法工作流程、标准、案卷制作等方面进行指导。</w:t>
      </w:r>
      <w:r>
        <w:rPr>
          <w:rFonts w:hint="eastAsia" w:ascii="Times New Roman" w:hAnsi="Times New Roman"/>
          <w:b/>
          <w:bCs/>
        </w:rPr>
        <w:t>四是强培训，</w:t>
      </w:r>
      <w:r>
        <w:rPr>
          <w:rFonts w:hint="eastAsia" w:ascii="Times New Roman" w:hAnsi="Times New Roman"/>
        </w:rPr>
        <w:t>采取线上线下等多种形式分批次对街道人员进行不同内容、不同角度的业</w:t>
      </w:r>
      <w:r>
        <w:rPr>
          <w:rFonts w:hint="eastAsia" w:ascii="仿宋_GB2312" w:hAnsi="仿宋_GB2312" w:cs="仿宋_GB2312"/>
        </w:rPr>
        <w:t>务培训</w:t>
      </w:r>
      <w:r>
        <w:rPr>
          <w:rFonts w:hint="eastAsia" w:ascii="仿宋_GB2312" w:hAnsi="仿宋_GB2312" w:cs="仿宋_GB2312"/>
          <w:lang w:val="en-US" w:eastAsia="zh-CN"/>
        </w:rPr>
        <w:t>9</w:t>
      </w:r>
      <w:r>
        <w:rPr>
          <w:rFonts w:hint="eastAsia" w:ascii="仿宋_GB2312" w:hAnsi="仿宋_GB2312" w:cs="仿宋_GB2312"/>
        </w:rPr>
        <w:t>00余人次，组织街道干部参加全市统一的执法资格考试，充实一线执法力量。7月份以来，</w:t>
      </w:r>
      <w:r>
        <w:rPr>
          <w:rFonts w:hint="eastAsia" w:ascii="仿宋_GB2312" w:hAnsi="仿宋_GB2312" w:cs="仿宋_GB2312"/>
          <w:bCs/>
          <w:kern w:val="0"/>
        </w:rPr>
        <w:t>各街道综合执法队在疫情防控检查、复产复工、生活垃圾分类以及大气、噪声污染防治、控烟管理等方面开展执法检查</w:t>
      </w:r>
      <w:r>
        <w:rPr>
          <w:rFonts w:hint="eastAsia" w:ascii="仿宋_GB2312" w:hAnsi="仿宋_GB2312" w:cs="仿宋_GB2312"/>
          <w:bCs/>
          <w:color w:val="auto"/>
          <w:kern w:val="0"/>
          <w:sz w:val="32"/>
          <w:szCs w:val="32"/>
          <w:lang w:val="en-US" w:eastAsia="zh-CN"/>
        </w:rPr>
        <w:t>10.7万</w:t>
      </w:r>
      <w:r>
        <w:rPr>
          <w:rFonts w:hint="eastAsia" w:ascii="仿宋_GB2312" w:hAnsi="仿宋_GB2312" w:eastAsia="仿宋_GB2312" w:cs="仿宋_GB2312"/>
          <w:bCs/>
          <w:color w:val="auto"/>
          <w:kern w:val="0"/>
          <w:sz w:val="32"/>
          <w:szCs w:val="32"/>
        </w:rPr>
        <w:t>件</w:t>
      </w:r>
      <w:r>
        <w:rPr>
          <w:rFonts w:hint="eastAsia" w:ascii="仿宋_GB2312" w:hAnsi="仿宋_GB2312" w:cs="仿宋_GB2312"/>
          <w:bCs/>
          <w:kern w:val="0"/>
        </w:rPr>
        <w:t>，从数据上看，职权下放以来街道综合执法力度呈现了稳步提升的趋势。</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2）大力推进东城区行政执法规范化建设评估工作。组织全区各行政执法部门系统梳理行政执法工作资料，对各单位进行实地走访，调查基层行政执法规范化建设的具体情况，并对评估过程中形成的数据、材料进行分析、汇总、整理、研判，形成《东城区行政执法规范化建设现状及问题分析对策评估报告》。</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（3）全面监督落实行政执法“三项制度”，督促全区各执法部门加大执法力度。</w:t>
      </w:r>
      <w:r>
        <w:rPr>
          <w:rFonts w:hint="eastAsia" w:ascii="仿宋_GB2312" w:hAnsi="仿宋_GB2312" w:cs="仿宋_GB2312"/>
          <w:color w:val="auto"/>
          <w:lang w:val="en-US" w:eastAsia="zh-CN"/>
        </w:rPr>
        <w:t>全区共产生行政执法量43.3万件（人均执法量418.36件），在</w:t>
      </w:r>
      <w:r>
        <w:rPr>
          <w:rFonts w:hint="eastAsia" w:ascii="仿宋_GB2312" w:hAnsi="仿宋_GB2312" w:eastAsia="仿宋_GB2312" w:cs="仿宋_GB2312"/>
          <w:color w:val="auto"/>
          <w:lang w:val="en-US" w:eastAsia="zh-CN"/>
        </w:rPr>
        <w:t>连续机构改革</w:t>
      </w:r>
      <w:r>
        <w:rPr>
          <w:rFonts w:hint="eastAsia" w:ascii="仿宋_GB2312" w:hAnsi="仿宋_GB2312" w:cs="仿宋_GB2312"/>
          <w:color w:val="auto"/>
          <w:lang w:val="en-US" w:eastAsia="zh-CN"/>
        </w:rPr>
        <w:t>及疫情防控常态化</w:t>
      </w:r>
      <w:r>
        <w:rPr>
          <w:rFonts w:hint="eastAsia" w:ascii="仿宋_GB2312" w:hAnsi="仿宋_GB2312" w:eastAsia="仿宋_GB2312" w:cs="仿宋_GB2312"/>
          <w:color w:val="auto"/>
          <w:lang w:val="en-US" w:eastAsia="zh-CN"/>
        </w:rPr>
        <w:t>背景下，同比上涨了</w:t>
      </w:r>
      <w:r>
        <w:rPr>
          <w:rFonts w:hint="eastAsia" w:ascii="仿宋_GB2312" w:hAnsi="仿宋_GB2312" w:cs="仿宋_GB2312"/>
          <w:color w:val="auto"/>
          <w:lang w:val="en-US" w:eastAsia="zh-CN"/>
        </w:rPr>
        <w:t>39.64</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，执法效能进一步提高</w:t>
      </w:r>
      <w:r>
        <w:rPr>
          <w:rFonts w:hint="eastAsia" w:ascii="仿宋_GB2312" w:hAnsi="仿宋_GB2312" w:eastAsia="仿宋_GB2312" w:cs="仿宋_GB2312"/>
          <w:color w:val="auto"/>
          <w:lang w:val="en-US" w:eastAsia="zh-CN"/>
        </w:rPr>
        <w:t>。组织</w:t>
      </w:r>
      <w:r>
        <w:rPr>
          <w:rFonts w:hint="eastAsia" w:ascii="仿宋_GB2312" w:hAnsi="仿宋_GB2312" w:cs="仿宋_GB2312"/>
          <w:color w:val="auto"/>
          <w:lang w:val="en-US" w:eastAsia="zh-CN"/>
        </w:rPr>
        <w:t>全区</w:t>
      </w:r>
      <w:r>
        <w:rPr>
          <w:rFonts w:hint="eastAsia" w:ascii="仿宋_GB2312" w:hAnsi="仿宋_GB2312" w:eastAsia="仿宋_GB2312" w:cs="仿宋_GB2312"/>
          <w:color w:val="auto"/>
          <w:lang w:val="en-US" w:eastAsia="zh-CN"/>
        </w:rPr>
        <w:t>执法资格考试3次，整体通过率</w:t>
      </w:r>
      <w:r>
        <w:rPr>
          <w:rFonts w:hint="eastAsia" w:ascii="仿宋_GB2312" w:hAnsi="仿宋_GB2312" w:cs="仿宋_GB2312"/>
          <w:color w:val="auto"/>
          <w:lang w:val="en-US" w:eastAsia="zh-CN"/>
        </w:rPr>
        <w:t>83.2</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审核强制拆除违法建设案件</w:t>
      </w:r>
      <w:r>
        <w:rPr>
          <w:rFonts w:hint="eastAsia" w:ascii="仿宋_GB2312" w:hAnsi="仿宋_GB2312" w:cs="仿宋_GB2312"/>
          <w:color w:val="auto"/>
          <w:lang w:val="en-US" w:eastAsia="zh-CN"/>
        </w:rPr>
        <w:t>4</w:t>
      </w:r>
      <w:r>
        <w:rPr>
          <w:rFonts w:hint="eastAsia" w:ascii="仿宋_GB2312" w:hAnsi="仿宋_GB2312" w:eastAsia="仿宋_GB2312" w:cs="仿宋_GB2312"/>
          <w:color w:val="auto"/>
          <w:lang w:val="en-US" w:eastAsia="zh-CN"/>
        </w:rPr>
        <w:t>2件，审核通过2</w:t>
      </w:r>
      <w:r>
        <w:rPr>
          <w:rFonts w:hint="eastAsia" w:ascii="仿宋_GB2312" w:hAnsi="仿宋_GB2312" w:cs="仿宋_GB2312"/>
          <w:color w:val="auto"/>
          <w:lang w:val="en-US" w:eastAsia="zh-CN"/>
        </w:rPr>
        <w:t>8</w:t>
      </w:r>
      <w:r>
        <w:rPr>
          <w:rFonts w:hint="eastAsia" w:ascii="仿宋_GB2312" w:hAnsi="仿宋_GB2312" w:eastAsia="仿宋_GB2312" w:cs="仿宋_GB2312"/>
          <w:color w:val="auto"/>
          <w:lang w:val="en-US" w:eastAsia="zh-CN"/>
        </w:rPr>
        <w:t>件，退回1</w:t>
      </w:r>
      <w:r>
        <w:rPr>
          <w:rFonts w:hint="eastAsia" w:ascii="仿宋_GB2312" w:hAnsi="仿宋_GB2312" w:cs="仿宋_GB2312"/>
          <w:color w:val="auto"/>
          <w:lang w:val="en-US" w:eastAsia="zh-CN"/>
        </w:rPr>
        <w:t>4</w:t>
      </w:r>
      <w:r>
        <w:rPr>
          <w:rFonts w:hint="eastAsia" w:ascii="仿宋_GB2312" w:hAnsi="仿宋_GB2312" w:eastAsia="仿宋_GB2312" w:cs="仿宋_GB2312"/>
          <w:color w:val="auto"/>
          <w:lang w:val="en-US" w:eastAsia="zh-CN"/>
        </w:rPr>
        <w:t>件</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组织开展全区案卷评查及质量抽验工作，共抽取17个行政执法部门行政处罚案卷82卷，其中优秀卷81卷，合格卷1卷。</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eastAsia="仿宋_GB2312"/>
          <w:kern w:val="0"/>
          <w:sz w:val="32"/>
          <w:szCs w:val="32"/>
        </w:rPr>
      </w:pPr>
      <w:r>
        <w:rPr>
          <w:rFonts w:hint="eastAsia" w:ascii="仿宋_GB2312" w:hAnsi="仿宋_GB2312" w:cs="仿宋_GB2312"/>
          <w:b w:val="0"/>
          <w:bCs w:val="0"/>
        </w:rPr>
        <w:t>3.坚持依法做好复议、诉讼案件办理工作</w:t>
      </w:r>
      <w:r>
        <w:rPr>
          <w:rFonts w:hint="eastAsia" w:ascii="仿宋_GB2312" w:hAnsi="仿宋_GB2312" w:cs="仿宋_GB2312"/>
          <w:b w:val="0"/>
          <w:bCs w:val="0"/>
          <w:lang w:eastAsia="zh-CN"/>
        </w:rPr>
        <w:t>。</w:t>
      </w:r>
      <w:r>
        <w:rPr>
          <w:rFonts w:hint="eastAsia" w:ascii="仿宋_GB2312" w:hAnsi="仿宋_GB2312" w:cs="仿宋_GB2312"/>
          <w:bCs/>
          <w:kern w:val="0"/>
        </w:rPr>
        <w:t>充分发挥行政复议化解行政争议主渠道作用，</w:t>
      </w:r>
      <w:r>
        <w:rPr>
          <w:rFonts w:hint="eastAsia" w:ascii="仿宋_GB2312" w:hAnsi="仿宋_GB2312" w:cs="仿宋_GB2312"/>
        </w:rPr>
        <w:t>依法办理行政复议、诉讼案件。</w:t>
      </w:r>
      <w:r>
        <w:rPr>
          <w:rFonts w:eastAsia="仿宋_GB2312"/>
          <w:sz w:val="32"/>
          <w:szCs w:val="32"/>
        </w:rPr>
        <w:t>全年共收到行政复议申请</w:t>
      </w:r>
      <w:r>
        <w:rPr>
          <w:rFonts w:hint="eastAsia" w:eastAsia="仿宋_GB2312"/>
          <w:sz w:val="32"/>
          <w:szCs w:val="32"/>
        </w:rPr>
        <w:t>312</w:t>
      </w:r>
      <w:r>
        <w:rPr>
          <w:rFonts w:eastAsia="仿宋_GB2312"/>
          <w:sz w:val="32"/>
          <w:szCs w:val="32"/>
        </w:rPr>
        <w:t>件，</w:t>
      </w:r>
      <w:r>
        <w:rPr>
          <w:rFonts w:hint="eastAsia" w:eastAsia="仿宋_GB2312"/>
          <w:sz w:val="32"/>
          <w:szCs w:val="32"/>
        </w:rPr>
        <w:t>立案282件，</w:t>
      </w:r>
      <w:r>
        <w:rPr>
          <w:rFonts w:eastAsia="仿宋_GB2312"/>
          <w:kern w:val="0"/>
          <w:sz w:val="32"/>
          <w:szCs w:val="32"/>
        </w:rPr>
        <w:t>受理2</w:t>
      </w:r>
      <w:r>
        <w:rPr>
          <w:rFonts w:hint="eastAsia" w:eastAsia="仿宋_GB2312"/>
          <w:kern w:val="0"/>
          <w:sz w:val="32"/>
          <w:szCs w:val="32"/>
        </w:rPr>
        <w:t>65</w:t>
      </w:r>
      <w:r>
        <w:rPr>
          <w:rFonts w:eastAsia="仿宋_GB2312"/>
          <w:kern w:val="0"/>
          <w:sz w:val="32"/>
          <w:szCs w:val="32"/>
        </w:rPr>
        <w:t>件，</w:t>
      </w:r>
      <w:r>
        <w:rPr>
          <w:rFonts w:hint="eastAsia" w:eastAsia="仿宋_GB2312"/>
          <w:kern w:val="0"/>
          <w:sz w:val="32"/>
          <w:szCs w:val="32"/>
        </w:rPr>
        <w:t>不予受理17件，</w:t>
      </w:r>
      <w:r>
        <w:rPr>
          <w:rFonts w:eastAsia="仿宋_GB2312"/>
          <w:sz w:val="32"/>
          <w:szCs w:val="32"/>
        </w:rPr>
        <w:t>审结</w:t>
      </w:r>
      <w:r>
        <w:rPr>
          <w:rFonts w:hint="eastAsia" w:eastAsia="仿宋_GB2312"/>
          <w:sz w:val="32"/>
          <w:szCs w:val="32"/>
        </w:rPr>
        <w:t>247</w:t>
      </w:r>
      <w:r>
        <w:rPr>
          <w:rFonts w:eastAsia="仿宋_GB2312"/>
          <w:sz w:val="32"/>
          <w:szCs w:val="32"/>
        </w:rPr>
        <w:t>件，综合纠错案件</w:t>
      </w:r>
      <w:r>
        <w:rPr>
          <w:rFonts w:hint="eastAsia" w:eastAsia="仿宋_GB2312"/>
          <w:sz w:val="32"/>
          <w:szCs w:val="32"/>
        </w:rPr>
        <w:t>34</w:t>
      </w:r>
      <w:r>
        <w:rPr>
          <w:rFonts w:eastAsia="仿宋_GB2312"/>
          <w:sz w:val="32"/>
          <w:szCs w:val="32"/>
        </w:rPr>
        <w:t>件，</w:t>
      </w:r>
      <w:r>
        <w:rPr>
          <w:rFonts w:eastAsia="仿宋_GB2312"/>
          <w:kern w:val="0"/>
          <w:sz w:val="32"/>
          <w:szCs w:val="32"/>
        </w:rPr>
        <w:t>其中撤销具体行政行为8件。</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eastAsia="仿宋_GB2312"/>
          <w:kern w:val="0"/>
          <w:sz w:val="32"/>
          <w:szCs w:val="32"/>
        </w:rPr>
        <w:t>办理以区政府为被告的行政诉讼案件35</w:t>
      </w:r>
      <w:r>
        <w:rPr>
          <w:rFonts w:hint="eastAsia" w:eastAsia="仿宋_GB2312"/>
          <w:kern w:val="0"/>
          <w:sz w:val="32"/>
          <w:szCs w:val="32"/>
        </w:rPr>
        <w:t>7</w:t>
      </w:r>
      <w:r>
        <w:rPr>
          <w:rFonts w:eastAsia="仿宋_GB2312"/>
          <w:kern w:val="0"/>
          <w:sz w:val="32"/>
          <w:szCs w:val="32"/>
        </w:rPr>
        <w:t>件，其中一审行政应诉案件23</w:t>
      </w:r>
      <w:r>
        <w:rPr>
          <w:rFonts w:hint="eastAsia" w:eastAsia="仿宋_GB2312"/>
          <w:kern w:val="0"/>
          <w:sz w:val="32"/>
          <w:szCs w:val="32"/>
        </w:rPr>
        <w:t>2</w:t>
      </w:r>
      <w:r>
        <w:rPr>
          <w:rFonts w:eastAsia="仿宋_GB2312"/>
          <w:kern w:val="0"/>
          <w:sz w:val="32"/>
          <w:szCs w:val="32"/>
        </w:rPr>
        <w:t>件，二审行政应诉案件12</w:t>
      </w:r>
      <w:r>
        <w:rPr>
          <w:rFonts w:hint="eastAsia" w:eastAsia="仿宋_GB2312"/>
          <w:kern w:val="0"/>
          <w:sz w:val="32"/>
          <w:szCs w:val="32"/>
        </w:rPr>
        <w:t>5</w:t>
      </w:r>
      <w:r>
        <w:rPr>
          <w:rFonts w:eastAsia="仿宋_GB2312"/>
          <w:kern w:val="0"/>
          <w:sz w:val="32"/>
          <w:szCs w:val="32"/>
        </w:rPr>
        <w:t>件。进一步加强行政行为规范性、合法性，办理区政府被复议案件</w:t>
      </w:r>
      <w:r>
        <w:rPr>
          <w:rFonts w:hint="eastAsia" w:eastAsia="仿宋_GB2312"/>
          <w:kern w:val="0"/>
          <w:sz w:val="32"/>
          <w:szCs w:val="32"/>
        </w:rPr>
        <w:t>14</w:t>
      </w:r>
      <w:r>
        <w:rPr>
          <w:rFonts w:eastAsia="仿宋_GB2312"/>
          <w:kern w:val="0"/>
          <w:sz w:val="32"/>
          <w:szCs w:val="32"/>
        </w:rPr>
        <w:t>件，已结案</w:t>
      </w:r>
      <w:r>
        <w:rPr>
          <w:rFonts w:hint="eastAsia" w:eastAsia="仿宋_GB2312"/>
          <w:kern w:val="0"/>
          <w:sz w:val="32"/>
          <w:szCs w:val="32"/>
        </w:rPr>
        <w:t>7</w:t>
      </w:r>
      <w:r>
        <w:rPr>
          <w:rFonts w:eastAsia="仿宋_GB2312"/>
          <w:kern w:val="0"/>
          <w:sz w:val="32"/>
          <w:szCs w:val="32"/>
        </w:rPr>
        <w:t>件，维持</w:t>
      </w:r>
      <w:r>
        <w:rPr>
          <w:rFonts w:hint="eastAsia" w:eastAsia="仿宋_GB2312"/>
          <w:kern w:val="0"/>
          <w:sz w:val="32"/>
          <w:szCs w:val="32"/>
        </w:rPr>
        <w:t>2</w:t>
      </w:r>
      <w:r>
        <w:rPr>
          <w:rFonts w:eastAsia="仿宋_GB2312"/>
          <w:kern w:val="0"/>
          <w:sz w:val="32"/>
          <w:szCs w:val="32"/>
        </w:rPr>
        <w:t>件，驳回行政复议申请4件，部分撤销1件，</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同时，积极做好区政府领导出庭应诉工作。金晖区长、薛国强副区长分别参加北京市第四中级人民法院云法庭出庭应诉。</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楷体" w:hAnsi="楷体" w:eastAsia="楷体" w:cs="楷体"/>
        </w:rPr>
      </w:pPr>
      <w:r>
        <w:rPr>
          <w:rFonts w:hint="eastAsia" w:ascii="楷体" w:hAnsi="楷体" w:eastAsia="楷体" w:cs="楷体"/>
        </w:rPr>
        <w:t>（二）充分发挥管理职能，全面推进司法行政工作进程</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b w:val="0"/>
          <w:bCs w:val="0"/>
        </w:rPr>
        <w:t>1.完成2020年东城区人民陪审员选任工作。</w:t>
      </w:r>
      <w:r>
        <w:rPr>
          <w:rFonts w:hint="eastAsia" w:ascii="仿宋_GB2312" w:hAnsi="仿宋_GB2312" w:cs="仿宋_GB2312"/>
        </w:rPr>
        <w:t>通过两个月时间的精心筹备、精细组织、广泛宣传、严格审查，以公开抽选的方式，从658名常住居民和个人申请正式候选人中随机抽选出585名拟任命人民陪审员。</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lang w:val="zh-TW"/>
        </w:rPr>
      </w:pPr>
      <w:r>
        <w:rPr>
          <w:rFonts w:hint="eastAsia" w:ascii="仿宋_GB2312" w:hAnsi="仿宋_GB2312" w:cs="仿宋_GB2312"/>
          <w:b w:val="0"/>
          <w:bCs w:val="0"/>
        </w:rPr>
        <w:t>2.积极履行律师行业监管服务责任。</w:t>
      </w:r>
      <w:r>
        <w:rPr>
          <w:rFonts w:hint="eastAsia" w:ascii="仿宋_GB2312" w:hAnsi="仿宋_GB2312" w:cs="仿宋_GB2312"/>
        </w:rPr>
        <w:t>一是注重发挥律师行业党建工作全覆盖的组织优势，引导律师党员</w:t>
      </w:r>
      <w:r>
        <w:rPr>
          <w:rFonts w:hint="eastAsia" w:ascii="仿宋_GB2312" w:hAnsi="仿宋_GB2312" w:cs="仿宋_GB2312"/>
          <w:lang w:val="zh-TW" w:eastAsia="zh-TW"/>
        </w:rPr>
        <w:t>为区域经济发展和改善营商环境建言献策。成立区疫情防控法律专家顾问团</w:t>
      </w:r>
      <w:r>
        <w:rPr>
          <w:rFonts w:hint="eastAsia" w:ascii="仿宋_GB2312" w:hAnsi="仿宋_GB2312" w:cs="仿宋_GB2312"/>
          <w:lang w:val="zh-TW"/>
        </w:rPr>
        <w:t>，</w:t>
      </w:r>
      <w:r>
        <w:rPr>
          <w:rFonts w:hint="eastAsia" w:ascii="仿宋_GB2312" w:hAnsi="仿宋_GB2312" w:cs="仿宋_GB2312"/>
          <w:lang w:val="zh-TW" w:eastAsia="zh-TW"/>
        </w:rPr>
        <w:t>依法助力疫情防控和企业复产复工。</w:t>
      </w:r>
      <w:r>
        <w:rPr>
          <w:rFonts w:hint="eastAsia" w:ascii="仿宋_GB2312" w:hAnsi="仿宋_GB2312" w:cs="仿宋_GB2312"/>
          <w:lang w:val="zh-TW"/>
        </w:rPr>
        <w:t>组织</w:t>
      </w:r>
      <w:r>
        <w:rPr>
          <w:rFonts w:hint="eastAsia" w:ascii="仿宋_GB2312" w:hAnsi="仿宋_GB2312" w:cs="仿宋_GB2312"/>
          <w:lang w:val="zh-TW" w:eastAsia="zh-TW"/>
        </w:rPr>
        <w:t>34家律所136名律师</w:t>
      </w:r>
      <w:r>
        <w:rPr>
          <w:rFonts w:hint="eastAsia" w:ascii="仿宋_GB2312" w:hAnsi="仿宋_GB2312" w:cs="仿宋_GB2312"/>
          <w:lang w:val="zh-TW"/>
        </w:rPr>
        <w:t>成立法律服务志愿者团队</w:t>
      </w:r>
      <w:r>
        <w:rPr>
          <w:rFonts w:hint="eastAsia" w:ascii="仿宋_GB2312" w:hAnsi="仿宋_GB2312" w:cs="仿宋_GB2312"/>
          <w:lang w:val="zh-TW" w:eastAsia="zh-TW"/>
        </w:rPr>
        <w:t>，将</w:t>
      </w:r>
      <w:r>
        <w:rPr>
          <w:rFonts w:hint="eastAsia" w:ascii="仿宋_GB2312" w:hAnsi="仿宋_GB2312" w:cs="仿宋_GB2312"/>
          <w:lang w:val="zh-TW"/>
        </w:rPr>
        <w:t>法律</w:t>
      </w:r>
      <w:r>
        <w:rPr>
          <w:rFonts w:hint="eastAsia" w:ascii="仿宋_GB2312" w:hAnsi="仿宋_GB2312" w:cs="仿宋_GB2312"/>
          <w:lang w:val="zh-TW" w:eastAsia="zh-TW"/>
        </w:rPr>
        <w:t>服务资源下沉到街道、社区。组织开展民营企业法治体检活动，为300多家民营企业提供法律意见、防范法律风险</w:t>
      </w:r>
      <w:r>
        <w:rPr>
          <w:rFonts w:hint="eastAsia" w:ascii="仿宋_GB2312" w:hAnsi="仿宋_GB2312" w:cs="仿宋_GB2312"/>
          <w:lang w:val="zh-TW"/>
        </w:rPr>
        <w:t>。</w:t>
      </w:r>
      <w:r>
        <w:rPr>
          <w:rFonts w:hint="eastAsia" w:ascii="仿宋_GB2312" w:hAnsi="仿宋_GB2312" w:cs="仿宋_GB2312"/>
        </w:rPr>
        <w:t>当好区重点纳税律所的“紫金服务”管家，积极对接服务对象发展诉求，努力构造亲清政商关系。</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cs="仿宋_GB2312"/>
        </w:rPr>
      </w:pPr>
      <w:r>
        <w:rPr>
          <w:rFonts w:hint="eastAsia" w:ascii="仿宋_GB2312" w:hAnsi="仿宋_GB2312" w:cs="仿宋_GB2312"/>
        </w:rPr>
        <w:t>二是压实律师行业监管责任，加大投诉举报案件的查处力度。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cs="仿宋_GB2312"/>
        </w:rPr>
        <w:t>三是开展行政审批事项“全程网办”和“一网通办”推进工作，进一步推动减证便民、优化政务服务。</w:t>
      </w:r>
      <w:r>
        <w:rPr>
          <w:rFonts w:hint="eastAsia" w:ascii="仿宋_GB2312" w:hAnsi="仿宋_GB2312" w:eastAsia="仿宋_GB2312" w:cs="仿宋_GB2312"/>
          <w:color w:val="auto"/>
          <w:lang w:val="en-US" w:eastAsia="zh-CN"/>
        </w:rPr>
        <w:t>全年共办理律师、律师事务所行政申请事项2305件，就律师转所工作开展调查核验律师1204人，3195人次。</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楷体" w:hAnsi="楷体" w:eastAsia="楷体" w:cs="楷体"/>
        </w:rPr>
      </w:pPr>
      <w:r>
        <w:rPr>
          <w:rFonts w:hint="eastAsia" w:ascii="楷体" w:hAnsi="楷体" w:eastAsia="楷体" w:cs="楷体"/>
        </w:rPr>
        <w:t>（三）充分发挥服务职能，全面高效提供法律服务</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b w:val="0"/>
          <w:bCs w:val="0"/>
        </w:rPr>
        <w:t>1.全面提供优质高效的公共法律服务</w:t>
      </w:r>
      <w:r>
        <w:rPr>
          <w:rFonts w:hint="eastAsia" w:ascii="仿宋_GB2312" w:hAnsi="仿宋_GB2312" w:cs="仿宋_GB2312"/>
          <w:b w:val="0"/>
          <w:bCs w:val="0"/>
          <w:lang w:eastAsia="zh-CN"/>
        </w:rPr>
        <w:t>。</w:t>
      </w:r>
      <w:r>
        <w:rPr>
          <w:rFonts w:hint="eastAsia" w:ascii="仿宋_GB2312" w:hAnsi="仿宋_GB2312" w:cs="仿宋_GB2312"/>
        </w:rPr>
        <w:t>一是公共法律服务区、街道、社区三级工作网络全面建成，</w:t>
      </w:r>
      <w:r>
        <w:rPr>
          <w:rFonts w:hint="eastAsia" w:ascii="仿宋_GB2312" w:hAnsi="仿宋_GB2312" w:cs="仿宋_GB2312"/>
          <w:kern w:val="0"/>
        </w:rPr>
        <w:t>公</w:t>
      </w:r>
      <w:r>
        <w:rPr>
          <w:rFonts w:hint="eastAsia" w:ascii="仿宋_GB2312" w:hAnsi="仿宋_GB2312" w:cs="仿宋_GB2312"/>
        </w:rPr>
        <w:t>共法律服务实体平台、热线平台、网络平台“三台融合”，全面提升法律服务质量。</w:t>
      </w:r>
      <w:r>
        <w:rPr>
          <w:rFonts w:hint="eastAsia" w:ascii="仿宋_GB2312" w:hAnsi="仿宋_GB2312" w:eastAsia="仿宋_GB2312" w:cs="仿宋_GB2312"/>
          <w:color w:val="auto"/>
          <w:lang w:val="en-US" w:eastAsia="zh-CN"/>
        </w:rPr>
        <w:t>截至目前，全区法律援助机构共办理法律援助案件</w:t>
      </w:r>
      <w:r>
        <w:rPr>
          <w:rFonts w:hint="eastAsia" w:ascii="仿宋_GB2312" w:hAnsi="仿宋_GB2312" w:cs="仿宋_GB2312"/>
          <w:color w:val="auto"/>
          <w:lang w:val="en-US" w:eastAsia="zh-CN"/>
        </w:rPr>
        <w:t>387</w:t>
      </w:r>
      <w:r>
        <w:rPr>
          <w:rFonts w:hint="eastAsia" w:ascii="仿宋_GB2312" w:hAnsi="仿宋_GB2312" w:eastAsia="仿宋_GB2312" w:cs="仿宋_GB2312"/>
          <w:color w:val="auto"/>
          <w:lang w:val="en-US" w:eastAsia="zh-CN"/>
        </w:rPr>
        <w:t>件</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接待法律咨询</w:t>
      </w:r>
      <w:r>
        <w:rPr>
          <w:rFonts w:hint="eastAsia" w:ascii="仿宋_GB2312" w:hAnsi="仿宋_GB2312" w:cs="仿宋_GB2312"/>
          <w:color w:val="auto"/>
          <w:lang w:val="en-US" w:eastAsia="zh-CN"/>
        </w:rPr>
        <w:t>34956</w:t>
      </w:r>
      <w:r>
        <w:rPr>
          <w:rFonts w:hint="eastAsia" w:ascii="仿宋_GB2312" w:hAnsi="仿宋_GB2312" w:eastAsia="仿宋_GB2312" w:cs="仿宋_GB2312"/>
          <w:color w:val="auto"/>
          <w:lang w:val="en-US" w:eastAsia="zh-CN"/>
        </w:rPr>
        <w:t>人次，其中12348热线接待法律咨询</w:t>
      </w:r>
      <w:r>
        <w:rPr>
          <w:rFonts w:hint="eastAsia" w:ascii="仿宋_GB2312" w:hAnsi="仿宋_GB2312" w:cs="仿宋_GB2312"/>
          <w:color w:val="auto"/>
          <w:lang w:val="en-US" w:eastAsia="zh-CN"/>
        </w:rPr>
        <w:t>7949</w:t>
      </w:r>
      <w:r>
        <w:rPr>
          <w:rFonts w:hint="eastAsia" w:ascii="仿宋_GB2312" w:hAnsi="仿宋_GB2312" w:eastAsia="仿宋_GB2312" w:cs="仿宋_GB2312"/>
          <w:color w:val="auto"/>
          <w:lang w:val="en-US" w:eastAsia="zh-CN"/>
        </w:rPr>
        <w:t>人次，区公共法律服务中心和街道公共法律服务工作站共接待法律咨询</w:t>
      </w:r>
      <w:r>
        <w:rPr>
          <w:rFonts w:hint="eastAsia" w:ascii="仿宋_GB2312" w:hAnsi="仿宋_GB2312" w:cs="仿宋_GB2312"/>
          <w:color w:val="auto"/>
          <w:lang w:val="en-US" w:eastAsia="zh-CN"/>
        </w:rPr>
        <w:t>27007</w:t>
      </w:r>
      <w:r>
        <w:rPr>
          <w:rFonts w:hint="eastAsia" w:ascii="仿宋_GB2312" w:hAnsi="仿宋_GB2312" w:eastAsia="仿宋_GB2312" w:cs="仿宋_GB2312"/>
          <w:color w:val="auto"/>
          <w:lang w:val="en-US" w:eastAsia="zh-CN"/>
        </w:rPr>
        <w:t>人次。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cs="仿宋_GB2312"/>
        </w:rPr>
        <w:t>同时，认真落实为民办实事和市区重点工作，做好弱势群体维权工作。</w:t>
      </w:r>
      <w:r>
        <w:rPr>
          <w:rFonts w:hint="eastAsia" w:ascii="仿宋_GB2312" w:hAnsi="仿宋_GB2312" w:eastAsia="仿宋_GB2312" w:cs="仿宋_GB2312"/>
          <w:color w:val="auto"/>
          <w:lang w:val="en-US" w:eastAsia="zh-CN"/>
        </w:rPr>
        <w:t>办理农民工援助案件</w:t>
      </w:r>
      <w:r>
        <w:rPr>
          <w:rFonts w:hint="eastAsia" w:ascii="仿宋_GB2312" w:hAnsi="仿宋_GB2312" w:cs="仿宋_GB2312"/>
          <w:color w:val="auto"/>
          <w:lang w:val="en-US" w:eastAsia="zh-CN"/>
        </w:rPr>
        <w:t>51</w:t>
      </w:r>
      <w:r>
        <w:rPr>
          <w:rFonts w:hint="eastAsia" w:ascii="仿宋_GB2312" w:hAnsi="仿宋_GB2312" w:eastAsia="仿宋_GB2312" w:cs="仿宋_GB2312"/>
          <w:color w:val="auto"/>
          <w:lang w:val="en-US" w:eastAsia="zh-CN"/>
        </w:rPr>
        <w:t>件、80岁以上高龄老人援助案件</w:t>
      </w:r>
      <w:r>
        <w:rPr>
          <w:rFonts w:hint="eastAsia" w:ascii="仿宋_GB2312" w:hAnsi="仿宋_GB2312" w:cs="仿宋_GB2312"/>
          <w:color w:val="auto"/>
          <w:lang w:val="en-US" w:eastAsia="zh-CN"/>
        </w:rPr>
        <w:t>21</w:t>
      </w:r>
      <w:r>
        <w:rPr>
          <w:rFonts w:hint="eastAsia" w:ascii="仿宋_GB2312" w:hAnsi="仿宋_GB2312" w:eastAsia="仿宋_GB2312" w:cs="仿宋_GB2312"/>
          <w:color w:val="auto"/>
          <w:lang w:val="en-US" w:eastAsia="zh-CN"/>
        </w:rPr>
        <w:t>件、残疾人援助案件</w:t>
      </w:r>
      <w:r>
        <w:rPr>
          <w:rFonts w:hint="eastAsia" w:ascii="仿宋_GB2312" w:hAnsi="仿宋_GB2312" w:cs="仿宋_GB2312"/>
          <w:color w:val="auto"/>
          <w:lang w:val="en-US" w:eastAsia="zh-CN"/>
        </w:rPr>
        <w:t>27</w:t>
      </w:r>
      <w:r>
        <w:rPr>
          <w:rFonts w:hint="eastAsia" w:ascii="仿宋_GB2312" w:hAnsi="仿宋_GB2312" w:eastAsia="仿宋_GB2312" w:cs="仿宋_GB2312"/>
          <w:color w:val="auto"/>
          <w:lang w:val="en-US" w:eastAsia="zh-CN"/>
        </w:rPr>
        <w:t>件，为60岁以上老年人提供免费代书</w:t>
      </w:r>
      <w:r>
        <w:rPr>
          <w:rFonts w:hint="eastAsia" w:ascii="仿宋_GB2312" w:hAnsi="仿宋_GB2312" w:cs="仿宋_GB2312"/>
          <w:color w:val="auto"/>
          <w:lang w:val="en-US" w:eastAsia="zh-CN"/>
        </w:rPr>
        <w:t>15</w:t>
      </w:r>
      <w:r>
        <w:rPr>
          <w:rFonts w:hint="eastAsia" w:ascii="仿宋_GB2312" w:hAnsi="仿宋_GB2312" w:eastAsia="仿宋_GB2312" w:cs="仿宋_GB2312"/>
          <w:color w:val="auto"/>
          <w:lang w:val="en-US" w:eastAsia="zh-CN"/>
        </w:rPr>
        <w:t>人次，提供上门服务</w:t>
      </w:r>
      <w:r>
        <w:rPr>
          <w:rFonts w:hint="eastAsia" w:ascii="仿宋_GB2312" w:hAnsi="仿宋_GB2312" w:cs="仿宋_GB2312"/>
          <w:color w:val="auto"/>
          <w:lang w:val="en-US" w:eastAsia="zh-CN"/>
        </w:rPr>
        <w:t>6</w:t>
      </w:r>
      <w:r>
        <w:rPr>
          <w:rFonts w:hint="eastAsia" w:ascii="仿宋_GB2312" w:hAnsi="仿宋_GB2312" w:eastAsia="仿宋_GB2312" w:cs="仿宋_GB2312"/>
          <w:color w:val="auto"/>
          <w:lang w:val="en-US" w:eastAsia="zh-CN"/>
        </w:rPr>
        <w:t>人次，收到锦旗</w:t>
      </w:r>
      <w:r>
        <w:rPr>
          <w:rFonts w:hint="eastAsia" w:ascii="仿宋_GB2312" w:hAnsi="仿宋_GB2312" w:cs="仿宋_GB2312"/>
          <w:color w:val="auto"/>
          <w:lang w:val="en-US" w:eastAsia="zh-CN"/>
        </w:rPr>
        <w:t>8</w:t>
      </w:r>
      <w:r>
        <w:rPr>
          <w:rFonts w:hint="eastAsia" w:ascii="仿宋_GB2312" w:hAnsi="仿宋_GB2312" w:eastAsia="仿宋_GB2312" w:cs="仿宋_GB2312"/>
          <w:color w:val="auto"/>
          <w:lang w:val="en-US" w:eastAsia="zh-CN"/>
        </w:rPr>
        <w:t>面。</w:t>
      </w:r>
      <w:r>
        <w:rPr>
          <w:rFonts w:hint="eastAsia" w:ascii="仿宋_GB2312" w:hAnsi="仿宋_GB2312" w:cs="仿宋_GB2312"/>
        </w:rPr>
        <w:t>积极开展法律援助“六季行”宣传活动，在重要时间节点，开展面向妇女、残疾人、农民工、未成年人、军人军属、老年人的专项法律援助宣传活动。</w:t>
      </w:r>
      <w:r>
        <w:rPr>
          <w:rFonts w:hint="eastAsia" w:ascii="仿宋_GB2312" w:hAnsi="仿宋_GB2312" w:eastAsia="仿宋_GB2312" w:cs="仿宋_GB2312"/>
          <w:color w:val="auto"/>
          <w:lang w:val="en-US" w:eastAsia="zh-CN"/>
        </w:rPr>
        <w:t>全年共指导工作站深入工地、社区、学校、驻区部队开展法律咨询、维权讲座等宣传活动20场，发放宣传材料、宣传品2000余份，进一步提高法律援助社会知晓率和影响力。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cs="仿宋_GB2312"/>
        </w:rPr>
      </w:pPr>
      <w:r>
        <w:rPr>
          <w:rFonts w:hint="eastAsia" w:ascii="仿宋_GB2312" w:hAnsi="仿宋_GB2312" w:cs="仿宋_GB2312"/>
        </w:rPr>
        <w:t>二是加强公证质量管理，提升公证法律服务的水平和质量，全面开展公证执业专项自查工作。</w:t>
      </w:r>
      <w:r>
        <w:rPr>
          <w:rFonts w:hint="eastAsia" w:ascii="仿宋_GB2312" w:hAnsi="仿宋_GB2312" w:eastAsia="仿宋_GB2312" w:cs="仿宋_GB2312"/>
          <w:color w:val="auto"/>
          <w:lang w:eastAsia="zh-CN"/>
        </w:rPr>
        <w:t>东方、信德公证处</w:t>
      </w:r>
      <w:r>
        <w:rPr>
          <w:rFonts w:hint="eastAsia" w:ascii="仿宋_GB2312" w:hAnsi="仿宋_GB2312" w:eastAsia="仿宋_GB2312" w:cs="仿宋_GB2312"/>
          <w:color w:val="auto"/>
        </w:rPr>
        <w:t>共计办理国内公证业务</w:t>
      </w:r>
      <w:r>
        <w:rPr>
          <w:rFonts w:hint="eastAsia" w:ascii="仿宋_GB2312" w:hAnsi="仿宋_GB2312" w:cs="仿宋_GB2312"/>
          <w:color w:val="auto"/>
          <w:lang w:val="en-US" w:eastAsia="zh-CN"/>
        </w:rPr>
        <w:t>23933</w:t>
      </w:r>
      <w:r>
        <w:rPr>
          <w:rFonts w:hint="eastAsia" w:ascii="仿宋_GB2312" w:hAnsi="仿宋_GB2312" w:eastAsia="仿宋_GB2312" w:cs="仿宋_GB2312"/>
          <w:color w:val="auto"/>
        </w:rPr>
        <w:t>件，</w:t>
      </w:r>
      <w:r>
        <w:rPr>
          <w:rFonts w:hint="eastAsia" w:ascii="仿宋_GB2312" w:hAnsi="仿宋_GB2312" w:eastAsia="仿宋_GB2312" w:cs="仿宋_GB2312"/>
          <w:color w:val="auto"/>
          <w:lang w:val="en-US" w:eastAsia="zh-CN"/>
        </w:rPr>
        <w:t>涉外公证</w:t>
      </w:r>
      <w:r>
        <w:rPr>
          <w:rFonts w:hint="eastAsia" w:ascii="仿宋_GB2312" w:hAnsi="仿宋_GB2312" w:cs="仿宋_GB2312"/>
          <w:color w:val="auto"/>
          <w:lang w:val="en-US" w:eastAsia="zh-CN"/>
        </w:rPr>
        <w:t>14345</w:t>
      </w:r>
      <w:r>
        <w:rPr>
          <w:rFonts w:hint="eastAsia" w:ascii="仿宋_GB2312" w:hAnsi="仿宋_GB2312" w:eastAsia="仿宋_GB2312" w:cs="仿宋_GB2312"/>
          <w:color w:val="auto"/>
          <w:lang w:val="en-US" w:eastAsia="zh-CN"/>
        </w:rPr>
        <w:t>件及涉港澳公证业务</w:t>
      </w:r>
      <w:r>
        <w:rPr>
          <w:rFonts w:hint="eastAsia" w:ascii="仿宋_GB2312" w:hAnsi="仿宋_GB2312" w:cs="仿宋_GB2312"/>
          <w:color w:val="auto"/>
          <w:lang w:val="en-US" w:eastAsia="zh-CN"/>
        </w:rPr>
        <w:t>243</w:t>
      </w:r>
      <w:r>
        <w:rPr>
          <w:rFonts w:hint="eastAsia" w:ascii="仿宋_GB2312" w:hAnsi="仿宋_GB2312" w:eastAsia="仿宋_GB2312" w:cs="仿宋_GB2312"/>
          <w:color w:val="auto"/>
          <w:lang w:val="en-US" w:eastAsia="zh-CN"/>
        </w:rPr>
        <w:t>件。</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b w:val="0"/>
          <w:bCs w:val="0"/>
        </w:rPr>
        <w:t>2.全面发挥法治宣传教育的基础性先导性作用</w:t>
      </w:r>
      <w:r>
        <w:rPr>
          <w:rFonts w:hint="eastAsia" w:ascii="仿宋_GB2312" w:hAnsi="仿宋_GB2312" w:cs="仿宋_GB2312"/>
          <w:b w:val="0"/>
          <w:bCs w:val="0"/>
          <w:lang w:eastAsia="zh-CN"/>
        </w:rPr>
        <w:t>。</w:t>
      </w:r>
      <w:r>
        <w:rPr>
          <w:rFonts w:hint="eastAsia" w:ascii="仿宋_GB2312" w:hAnsi="仿宋_GB2312" w:cs="仿宋_GB2312"/>
        </w:rPr>
        <w:t>一是多措并举，开展疫情防控法治宣传。先后两次部署，发布疫情防控宣传信息5000余条，发放张贴各类宣传材料共计70万余份，编辑普法与依法治理工作简报20期，制作8个普法微视频，覆盖人员达到150万人次。二是宏观统筹，高位推进民法典学习宣传。组建区民法典讲师团，与依法行政相融合，邀请金国坤教授进行民法典解读，购置民法典书籍，开展民法典知识答题，连续制作多部《民法典》微视频在全区广泛投放。三是精心安排，开展全区“七五”普法总结验收工作。编纂工作情况报告，制作工作宣传片和《东城区“七五”普法成果汇编》，对全区82家单位的自查材料和工作档案检查督促整改。对区应急局等6家区属重点单位实地检查，听取了区检察院等四家单位工作情况汇报。四是落实普法责任制，开展督导检查。召开督导检查会议，听取区教委等重点普法责任制单位汇报，查阅档案等。五是围绕扫黑除恶、国家安全及《社区矫正法》《北京市街道办事处条例》《北京市物业管理条例》《北京市生活垃圾管理条例》《北京市文明行为促进条例》等重点节点和新颁布法律法规组织学习宣传。</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b w:val="0"/>
          <w:bCs w:val="0"/>
        </w:rPr>
        <w:t>3.全面开展社会矛盾纠纷排查化解</w:t>
      </w:r>
      <w:r>
        <w:rPr>
          <w:rFonts w:hint="eastAsia" w:ascii="仿宋_GB2312" w:hAnsi="仿宋_GB2312" w:cs="仿宋_GB2312"/>
          <w:b w:val="0"/>
          <w:bCs w:val="0"/>
          <w:lang w:eastAsia="zh-CN"/>
        </w:rPr>
        <w:t>。</w:t>
      </w:r>
      <w:r>
        <w:rPr>
          <w:rFonts w:hint="eastAsia" w:ascii="仿宋_GB2312" w:hAnsi="仿宋_GB2312" w:cs="仿宋_GB2312"/>
        </w:rPr>
        <w:t>一是在常规排查化解的同时，重点围绕元旦、春节、“两会”、十九届五中全会和新冠疫情防控等特殊时期开展专项矛盾纠纷排查化解活动，建立工作台账，实行日报告制度等。</w:t>
      </w:r>
      <w:r>
        <w:rPr>
          <w:rFonts w:hint="eastAsia" w:ascii="仿宋_GB2312" w:hAnsi="仿宋_GB2312" w:cs="仿宋_GB2312"/>
          <w:lang w:eastAsia="zh-CN"/>
        </w:rPr>
        <w:t>二</w:t>
      </w:r>
      <w:r>
        <w:rPr>
          <w:rFonts w:hint="eastAsia" w:ascii="仿宋_GB2312" w:hAnsi="仿宋_GB2312" w:cs="仿宋_GB2312"/>
        </w:rPr>
        <w:t>是积极推动人民调解队伍建设和信息化建设，不断完善以人民为中心的社会矛盾多元化解体系建设。在“诉调对接”深度融合试点经验的基础上，逐步推广“法官+司法助理员+人民调解员三联动”社区人民调解新模式，选取适合开展的地区开展“诉调对接”全覆盖。</w:t>
      </w:r>
    </w:p>
    <w:p>
      <w:pPr>
        <w:pStyle w:val="4"/>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eastAsia="黑体"/>
        </w:rPr>
      </w:pPr>
      <w:r>
        <w:rPr>
          <w:rFonts w:eastAsia="黑体"/>
          <w:kern w:val="0"/>
        </w:rPr>
        <w:t>二、</w:t>
      </w:r>
      <w:r>
        <w:rPr>
          <w:rFonts w:hint="eastAsia" w:eastAsia="黑体"/>
          <w:kern w:val="0"/>
        </w:rPr>
        <w:t>2020</w:t>
      </w:r>
      <w:r>
        <w:rPr>
          <w:rFonts w:eastAsia="黑体"/>
          <w:kern w:val="0"/>
        </w:rPr>
        <w:t>年度推进法治政府建设存在的不足和原因</w:t>
      </w:r>
    </w:p>
    <w:p>
      <w:pPr>
        <w:pStyle w:val="4"/>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楷体_GB2312" w:hAnsi="楷体_GB2312" w:eastAsia="楷体_GB2312" w:cs="楷体_GB2312"/>
        </w:rPr>
      </w:pPr>
      <w:r>
        <w:rPr>
          <w:rFonts w:hint="eastAsia" w:ascii="楷体_GB2312" w:hAnsi="楷体_GB2312" w:eastAsia="楷体_GB2312" w:cs="楷体_GB2312"/>
        </w:rPr>
        <w:t>（一）对推进法治政府建设的认识程度有待进一步改进</w:t>
      </w:r>
    </w:p>
    <w:p>
      <w:pPr>
        <w:pStyle w:val="4"/>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pPr>
      <w:r>
        <w:rPr>
          <w:rFonts w:hint="eastAsia"/>
        </w:rPr>
        <w:t>工作人员法治引领和法治导向的思维模式尚未完全确立，运用法治思维和法治方式解决问题的能力和素质不高，在行政管理中过分依赖文件，对本领域法律法规运用不充分，只重视事前审批，事中、事后监管方法和手段欠缺。</w:t>
      </w:r>
    </w:p>
    <w:p>
      <w:pPr>
        <w:pStyle w:val="2"/>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Times New Roman" w:hAnsi="Times New Roman" w:eastAsia="楷体_GB2312"/>
          <w:szCs w:val="32"/>
        </w:rPr>
      </w:pPr>
      <w:r>
        <w:rPr>
          <w:rFonts w:ascii="Times New Roman" w:hAnsi="Times New Roman" w:eastAsia="楷体_GB2312"/>
          <w:szCs w:val="32"/>
        </w:rPr>
        <w:t>（</w:t>
      </w:r>
      <w:r>
        <w:rPr>
          <w:rFonts w:hint="eastAsia" w:ascii="Times New Roman" w:hAnsi="Times New Roman" w:eastAsia="楷体_GB2312"/>
          <w:szCs w:val="32"/>
        </w:rPr>
        <w:t>二</w:t>
      </w:r>
      <w:r>
        <w:rPr>
          <w:rFonts w:ascii="Times New Roman" w:hAnsi="Times New Roman" w:eastAsia="楷体_GB2312"/>
          <w:szCs w:val="32"/>
        </w:rPr>
        <w:t>）法治政府建设统筹推进格局有待进一步完善</w:t>
      </w:r>
    </w:p>
    <w:p>
      <w:pPr>
        <w:pStyle w:val="2"/>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pPr>
      <w:r>
        <w:rPr>
          <w:rFonts w:ascii="Times New Roman" w:hAnsi="Times New Roman" w:eastAsia="仿宋_GB2312"/>
          <w:szCs w:val="32"/>
        </w:rPr>
        <w:t>法治政府建设各项</w:t>
      </w:r>
      <w:r>
        <w:rPr>
          <w:rFonts w:hint="eastAsia" w:ascii="Times New Roman" w:hAnsi="Times New Roman" w:eastAsia="仿宋_GB2312"/>
          <w:szCs w:val="32"/>
        </w:rPr>
        <w:t>工作</w:t>
      </w:r>
      <w:r>
        <w:rPr>
          <w:rFonts w:ascii="Times New Roman" w:hAnsi="Times New Roman" w:eastAsia="仿宋_GB2312"/>
          <w:szCs w:val="32"/>
        </w:rPr>
        <w:t>体制机制创新性不足，工作合力不够，</w:t>
      </w:r>
      <w:r>
        <w:rPr>
          <w:rFonts w:hint="eastAsia" w:ascii="Times New Roman" w:hAnsi="Times New Roman" w:eastAsia="仿宋_GB2312"/>
          <w:szCs w:val="32"/>
        </w:rPr>
        <w:t>部门间通力合作、协同治理仍需加强。</w:t>
      </w:r>
      <w:r>
        <w:rPr>
          <w:rFonts w:ascii="Times New Roman" w:hAnsi="Times New Roman" w:eastAsia="仿宋_GB2312"/>
          <w:szCs w:val="32"/>
        </w:rPr>
        <w:t>工作品牌创建能力欠缺，工作特色亮点不够突出</w:t>
      </w:r>
      <w:r>
        <w:rPr>
          <w:rFonts w:hint="eastAsia" w:ascii="Times New Roman" w:hAnsi="Times New Roman" w:eastAsia="仿宋_GB2312"/>
          <w:szCs w:val="32"/>
        </w:rPr>
        <w:t>，魄力不足，前瞻性不强。各项法治工作大数据分析运用能力不足。</w:t>
      </w:r>
    </w:p>
    <w:p>
      <w:pPr>
        <w:keepNext w:val="0"/>
        <w:keepLines w:val="0"/>
        <w:pageBreakBefore w:val="0"/>
        <w:numPr>
          <w:ilvl w:val="0"/>
          <w:numId w:val="1"/>
        </w:numPr>
        <w:kinsoku/>
        <w:wordWrap/>
        <w:overflowPunct/>
        <w:topLinePunct w:val="0"/>
        <w:autoSpaceDE/>
        <w:autoSpaceDN/>
        <w:bidi w:val="0"/>
        <w:adjustRightInd/>
        <w:spacing w:line="560" w:lineRule="exact"/>
        <w:ind w:left="0" w:leftChars="0" w:right="0" w:rightChars="0" w:firstLine="640" w:firstLineChars="200"/>
        <w:jc w:val="left"/>
        <w:textAlignment w:val="auto"/>
        <w:rPr>
          <w:rFonts w:eastAsia="黑体"/>
          <w:kern w:val="0"/>
        </w:rPr>
      </w:pPr>
      <w:r>
        <w:rPr>
          <w:rFonts w:eastAsia="黑体"/>
          <w:kern w:val="0"/>
        </w:rPr>
        <w:t>20</w:t>
      </w:r>
      <w:r>
        <w:rPr>
          <w:rFonts w:hint="eastAsia" w:eastAsia="黑体"/>
          <w:kern w:val="0"/>
        </w:rPr>
        <w:t>20</w:t>
      </w:r>
      <w:r>
        <w:rPr>
          <w:rFonts w:eastAsia="黑体"/>
          <w:kern w:val="0"/>
        </w:rPr>
        <w:t>年政府主要负责人履行推进法治建设第一责任人职责，加强法治政府建设的有关情况</w:t>
      </w:r>
    </w:p>
    <w:p>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640" w:firstLineChars="200"/>
        <w:textAlignment w:val="auto"/>
        <w:rPr>
          <w:rFonts w:eastAsia="楷体_GB2312"/>
        </w:rPr>
      </w:pPr>
      <w:r>
        <w:rPr>
          <w:rFonts w:eastAsia="楷体_GB2312"/>
        </w:rPr>
        <w:t>加强法治建设工作统筹领导</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left"/>
        <w:textAlignment w:val="auto"/>
      </w:pPr>
      <w:r>
        <w:t>为落实中央、市委关于“推进依法行政工作领导小组是党政主要负责人履行推进法治建设第一责任人职责”的相关要求，</w:t>
      </w:r>
      <w:r>
        <w:rPr>
          <w:rFonts w:hint="eastAsia"/>
        </w:rPr>
        <w:t>东城区</w:t>
      </w:r>
      <w:r>
        <w:t>设立中共东城区委全面依法治区委员会推进依法行政工作领导小组，组长由区长担任，</w:t>
      </w:r>
      <w:r>
        <w:rPr>
          <w:rFonts w:hint="eastAsia"/>
        </w:rPr>
        <w:t>司法局为成员单位，司法局局长</w:t>
      </w:r>
      <w:r>
        <w:rPr>
          <w:rFonts w:ascii="Times New Roman" w:hAnsi="Times New Roman" w:eastAsia="仿宋"/>
        </w:rPr>
        <w:t>兼任</w:t>
      </w:r>
      <w:r>
        <w:rPr>
          <w:rFonts w:hint="eastAsia" w:ascii="Times New Roman" w:hAnsi="Times New Roman" w:eastAsia="仿宋"/>
        </w:rPr>
        <w:t>领导小组</w:t>
      </w:r>
      <w:r>
        <w:rPr>
          <w:rFonts w:ascii="Times New Roman" w:hAnsi="Times New Roman" w:eastAsia="仿宋"/>
        </w:rPr>
        <w:t>办公室主任</w:t>
      </w:r>
      <w:r>
        <w:rPr>
          <w:rFonts w:hint="eastAsia" w:ascii="Times New Roman" w:hAnsi="Times New Roman" w:eastAsia="仿宋"/>
        </w:rPr>
        <w:t>，</w:t>
      </w:r>
      <w:r>
        <w:t>进一步统筹推进东城区法治政府建设，领导小组负责全区法治政府建设的统筹规划、督促指导、考核评价等工作。</w:t>
      </w:r>
    </w:p>
    <w:p>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640" w:firstLineChars="200"/>
        <w:textAlignment w:val="auto"/>
        <w:rPr>
          <w:rFonts w:eastAsia="楷体_GB2312"/>
        </w:rPr>
      </w:pPr>
      <w:r>
        <w:rPr>
          <w:rFonts w:eastAsia="楷体_GB2312"/>
        </w:rPr>
        <w:t>统筹推进法</w:t>
      </w:r>
      <w:bookmarkStart w:id="0" w:name="_GoBack"/>
      <w:bookmarkEnd w:id="0"/>
      <w:r>
        <w:rPr>
          <w:rFonts w:eastAsia="楷体_GB2312"/>
        </w:rPr>
        <w:t>治政府建设</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pPr>
      <w:r>
        <w:t>组织召开东城区推进依法行政工作领导小组（扩大）会议，</w:t>
      </w:r>
      <w:r>
        <w:rPr>
          <w:rFonts w:hint="eastAsia"/>
        </w:rPr>
        <w:t>起草</w:t>
      </w:r>
      <w:r>
        <w:t>《2020年东城区推进法治政府建设工作要点》《20</w:t>
      </w:r>
      <w:r>
        <w:rPr>
          <w:rFonts w:hint="eastAsia"/>
        </w:rPr>
        <w:t>20</w:t>
      </w:r>
      <w:r>
        <w:t>年度依法行政考核评价指标及评分标准》，通报上一年度法治政府建设报告和行政诉讼工作情况，研究东城区开展法治政府建设示范创建活动等法治政府建设年度重点问题</w:t>
      </w:r>
      <w:r>
        <w:rPr>
          <w:rFonts w:hint="eastAsia"/>
        </w:rPr>
        <w:t>。统筹</w:t>
      </w:r>
      <w:r>
        <w:t>开展法治政府示范创建工作</w:t>
      </w:r>
      <w:r>
        <w:rPr>
          <w:rFonts w:hint="eastAsia"/>
        </w:rPr>
        <w:t>，起草</w:t>
      </w:r>
      <w:r>
        <w:t>《2020年东城区关于开展法治政府建设示范创建活动的实施方案》</w:t>
      </w:r>
      <w:r>
        <w:rPr>
          <w:rFonts w:hint="eastAsia"/>
        </w:rPr>
        <w:t>，参与完成</w:t>
      </w:r>
      <w:r>
        <w:t>市</w:t>
      </w:r>
      <w:r>
        <w:rPr>
          <w:rFonts w:hint="eastAsia"/>
        </w:rPr>
        <w:t>推进</w:t>
      </w:r>
      <w:r>
        <w:t>依法</w:t>
      </w:r>
      <w:r>
        <w:rPr>
          <w:rFonts w:hint="eastAsia"/>
        </w:rPr>
        <w:t>行政工作领导小组举办的</w:t>
      </w:r>
      <w:r>
        <w:t>区政府法治政府建设示范项目评审</w:t>
      </w:r>
      <w:r>
        <w:rPr>
          <w:rFonts w:hint="eastAsia"/>
        </w:rPr>
        <w:t>工作。</w:t>
      </w:r>
    </w:p>
    <w:p>
      <w:pPr>
        <w:pStyle w:val="4"/>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eastAsia="楷体_GB2312"/>
        </w:rPr>
      </w:pPr>
      <w:r>
        <w:rPr>
          <w:rFonts w:eastAsia="楷体_GB2312"/>
        </w:rPr>
        <w:t>（三）加强督察考核</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left"/>
        <w:textAlignment w:val="auto"/>
      </w:pPr>
      <w:r>
        <w:t>接受</w:t>
      </w:r>
      <w:r>
        <w:rPr>
          <w:rFonts w:hint="eastAsia"/>
        </w:rPr>
        <w:t>区委</w:t>
      </w:r>
      <w:r>
        <w:t>依法治</w:t>
      </w:r>
      <w:r>
        <w:rPr>
          <w:rFonts w:hint="eastAsia"/>
        </w:rPr>
        <w:t>区</w:t>
      </w:r>
      <w:r>
        <w:t>办“关于开展党政主要负责人履行推进法治建设第一责任人职责及法治政府建设督察”专项督察，在全</w:t>
      </w:r>
      <w:r>
        <w:rPr>
          <w:rFonts w:hint="eastAsia"/>
        </w:rPr>
        <w:t>局</w:t>
      </w:r>
      <w:r>
        <w:t>范围</w:t>
      </w:r>
      <w:r>
        <w:rPr>
          <w:rFonts w:hint="eastAsia"/>
        </w:rPr>
        <w:t>广泛</w:t>
      </w:r>
      <w:r>
        <w:t>开展自查整改工作。</w:t>
      </w:r>
      <w:r>
        <w:rPr>
          <w:rFonts w:hint="eastAsia"/>
        </w:rPr>
        <w:t>制定</w:t>
      </w:r>
      <w:r>
        <w:t>区政府绩效</w:t>
      </w:r>
      <w:r>
        <w:rPr>
          <w:rFonts w:hint="eastAsia"/>
        </w:rPr>
        <w:t>依法行政</w:t>
      </w:r>
      <w:r>
        <w:t>考核评价</w:t>
      </w:r>
      <w:r>
        <w:rPr>
          <w:rFonts w:hint="eastAsia"/>
        </w:rPr>
        <w:t>指标</w:t>
      </w:r>
      <w:r>
        <w:t>，分别制定政府部门、街</w:t>
      </w:r>
      <w:r>
        <w:rPr>
          <w:rFonts w:hint="eastAsia" w:ascii="仿宋_GB2312" w:hAnsi="仿宋_GB2312" w:cs="仿宋_GB2312"/>
        </w:rPr>
        <w:t>道办事处两套考核细则和指标体系，将法治建设领导、年终述法、重大行政决策、行政执法、行政复议和应诉、行政调解、法治宣传等工作纳入考核指标，通过加强考核检查，压实政府各部门、各街道建设法治政府的主体责任。落实《法治政府建设与责任督察工作规定》，起草《东城区人民政府2019年法治政府建设情况的报告》，按规定时间报送北京市委市政府、区人大，</w:t>
      </w:r>
      <w:r>
        <w:rPr>
          <w:rFonts w:ascii="仿宋_GB2312" w:hAnsi="仿宋_GB2312" w:cs="仿宋_GB2312"/>
        </w:rPr>
        <w:t>东城区第十六届人大常委会第</w:t>
      </w:r>
      <w:r>
        <w:rPr>
          <w:rFonts w:hint="eastAsia" w:ascii="仿宋_GB2312" w:hAnsi="仿宋_GB2312" w:cs="仿宋_GB2312"/>
        </w:rPr>
        <w:t>二十七</w:t>
      </w:r>
      <w:r>
        <w:rPr>
          <w:rFonts w:ascii="仿宋_GB2312" w:hAnsi="仿宋_GB2312" w:cs="仿宋_GB2312"/>
        </w:rPr>
        <w:t>次会议</w:t>
      </w:r>
      <w:r>
        <w:rPr>
          <w:rFonts w:hint="eastAsia" w:ascii="仿宋_GB2312" w:hAnsi="仿宋_GB2312" w:cs="仿宋_GB2312"/>
        </w:rPr>
        <w:t>听取东城2019年法治政府建设情况汇报，区政府及区政府各部门、各街道法治政府建设报告100%按照规定时限主动公布。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eastAsia="黑体"/>
          <w:kern w:val="0"/>
        </w:rPr>
      </w:pPr>
      <w:r>
        <w:rPr>
          <w:rFonts w:hint="eastAsia" w:ascii="黑体" w:hAnsi="黑体" w:eastAsia="黑体" w:cs="黑体"/>
        </w:rPr>
        <w:t>四、2021年度</w:t>
      </w:r>
      <w:r>
        <w:rPr>
          <w:rFonts w:eastAsia="黑体"/>
          <w:kern w:val="0"/>
        </w:rPr>
        <w:t>推进法治政府建设的主要安排</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一）充分发挥依法行政领导小组办公室职能作用，筹划推进我区法治政府建设各项任务落实。召开2020年依法行政领导小组会议，研究制定《东城区人民政府重大行政决策程序规定》。在全区范围内强化任务分解与落实，组织工作专班，全力做好2021年全国法治政府示范创建工作。</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二）继续做好街道综合执法改革法治保障工作，继续监督落实行政执法“三项制度”。结合2020年东城区行政执法规范化建设评估验收情况和东城区法治政府建设示范创建项目评估结果，系统梳理全区执法突出问题和共性问题，研究解决措施和发展路径，进一步夯实东城区法治政府建设基础。</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（三）规范司法所体制改革后相关司法行政工作制度、工作程序等内容；会同区法院对人民陪审员履职进行日常监督管理，开展培训；按照市司法局的部署做好人民监督员的选任工作。</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四）进一步规范公共法律服务三级工作网络，把全区17个公共法律服务工作站和177个工作室打造成为看的见、摸得着、用的上的法律服务百家通的平台。积极参与区重点工程和重大项目法律服务活动，服务中心工作。继续落实“七有”“五性”民生指标考核工作，为群众提供及时便利、优质高效的法律援助服务。继续做好法律援助制度改革各项任务，推进公共法律服务中心建设，提升规范化和服务供给。</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cs="仿宋_GB2312"/>
        </w:rPr>
      </w:pPr>
      <w:r>
        <w:rPr>
          <w:rFonts w:hint="eastAsia" w:ascii="仿宋_GB2312" w:hAnsi="仿宋_GB2312" w:cs="仿宋_GB2312"/>
        </w:rPr>
        <w:t>（五）</w:t>
      </w:r>
      <w:r>
        <w:rPr>
          <w:rFonts w:hint="eastAsia" w:ascii="仿宋_GB2312" w:hAnsi="仿宋_GB2312" w:cs="仿宋_GB2312"/>
          <w:lang w:val="zh-TW" w:eastAsia="zh-TW"/>
        </w:rPr>
        <w:t>围绕重要</w:t>
      </w:r>
      <w:r>
        <w:rPr>
          <w:rFonts w:hint="eastAsia" w:ascii="仿宋_GB2312" w:hAnsi="仿宋_GB2312" w:cs="仿宋_GB2312"/>
          <w:lang w:val="zh-TW"/>
        </w:rPr>
        <w:t>时间</w:t>
      </w:r>
      <w:r>
        <w:rPr>
          <w:rFonts w:hint="eastAsia" w:ascii="仿宋_GB2312" w:hAnsi="仿宋_GB2312" w:cs="仿宋_GB2312"/>
          <w:lang w:val="zh-TW" w:eastAsia="zh-TW"/>
        </w:rPr>
        <w:t>节点，开展矛盾纠纷常规排查和专项排查化解</w:t>
      </w:r>
      <w:r>
        <w:rPr>
          <w:rFonts w:hint="eastAsia" w:ascii="仿宋_GB2312" w:hAnsi="仿宋_GB2312" w:cs="仿宋_GB2312"/>
          <w:lang w:val="zh-TW"/>
        </w:rPr>
        <w:t>工作</w:t>
      </w:r>
      <w:r>
        <w:rPr>
          <w:rFonts w:hint="eastAsia" w:ascii="仿宋_GB2312" w:hAnsi="仿宋_GB2312" w:cs="仿宋_GB2312"/>
          <w:lang w:val="zh-TW" w:eastAsia="zh-TW"/>
        </w:rPr>
        <w:t>。积极开展“诉调对接工作”全面推广</w:t>
      </w:r>
      <w:r>
        <w:rPr>
          <w:rFonts w:hint="eastAsia" w:ascii="仿宋_GB2312" w:hAnsi="仿宋_GB2312" w:cs="仿宋_GB2312"/>
          <w:lang w:val="zh-TW"/>
        </w:rPr>
        <w:t>，</w:t>
      </w:r>
      <w:r>
        <w:rPr>
          <w:rFonts w:hint="eastAsia" w:ascii="仿宋_GB2312" w:hAnsi="仿宋_GB2312" w:cs="仿宋_GB2312"/>
          <w:lang w:val="zh-TW" w:eastAsia="zh-TW"/>
        </w:rPr>
        <w:t>探索人民调解、行政调解与司法调解的深度融合。加强人民调解队伍建设</w:t>
      </w:r>
      <w:r>
        <w:rPr>
          <w:rFonts w:hint="eastAsia" w:ascii="仿宋_GB2312" w:hAnsi="仿宋_GB2312" w:cs="仿宋_GB2312"/>
          <w:lang w:val="zh-TW"/>
        </w:rPr>
        <w:t>，积极</w:t>
      </w:r>
      <w:r>
        <w:rPr>
          <w:rFonts w:hint="eastAsia" w:ascii="仿宋_GB2312" w:hAnsi="仿宋_GB2312" w:cs="仿宋_GB2312"/>
          <w:lang w:val="zh-TW" w:eastAsia="zh-TW"/>
        </w:rPr>
        <w:t>开展能力提升培训</w:t>
      </w:r>
      <w:r>
        <w:rPr>
          <w:rFonts w:hint="eastAsia" w:ascii="仿宋_GB2312" w:hAnsi="仿宋_GB2312" w:cs="仿宋_GB2312"/>
          <w:lang w:val="zh-TW"/>
        </w:rPr>
        <w:t>工作</w:t>
      </w:r>
      <w:r>
        <w:rPr>
          <w:rFonts w:hint="eastAsia" w:ascii="仿宋_GB2312" w:hAnsi="仿宋_GB2312" w:cs="仿宋_GB2312"/>
          <w:lang w:val="zh-TW" w:eastAsia="zh-TW"/>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14597A"/>
    <w:multiLevelType w:val="singleLevel"/>
    <w:tmpl w:val="CD14597A"/>
    <w:lvl w:ilvl="0" w:tentative="0">
      <w:start w:val="3"/>
      <w:numFmt w:val="chineseCounting"/>
      <w:suff w:val="nothing"/>
      <w:lvlText w:val="%1、"/>
      <w:lvlJc w:val="left"/>
      <w:rPr>
        <w:rFonts w:hint="eastAsia"/>
      </w:rPr>
    </w:lvl>
  </w:abstractNum>
  <w:abstractNum w:abstractNumId="1">
    <w:nsid w:val="5FD1CE98"/>
    <w:multiLevelType w:val="singleLevel"/>
    <w:tmpl w:val="5FD1CE98"/>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43"/>
    <w:rsid w:val="00142C43"/>
    <w:rsid w:val="00517075"/>
    <w:rsid w:val="007C2FED"/>
    <w:rsid w:val="008372A3"/>
    <w:rsid w:val="009A33D5"/>
    <w:rsid w:val="00A52066"/>
    <w:rsid w:val="00B6536E"/>
    <w:rsid w:val="00DA1946"/>
    <w:rsid w:val="0129338A"/>
    <w:rsid w:val="015A6B24"/>
    <w:rsid w:val="015B144E"/>
    <w:rsid w:val="0228268C"/>
    <w:rsid w:val="025914AA"/>
    <w:rsid w:val="027E1601"/>
    <w:rsid w:val="0299468A"/>
    <w:rsid w:val="030A33C3"/>
    <w:rsid w:val="03CD68E4"/>
    <w:rsid w:val="04706558"/>
    <w:rsid w:val="047E1C23"/>
    <w:rsid w:val="049535DC"/>
    <w:rsid w:val="05970932"/>
    <w:rsid w:val="06145F0F"/>
    <w:rsid w:val="063E4723"/>
    <w:rsid w:val="06730635"/>
    <w:rsid w:val="06E07168"/>
    <w:rsid w:val="07AE0EDA"/>
    <w:rsid w:val="07B20B93"/>
    <w:rsid w:val="07EA4B8A"/>
    <w:rsid w:val="08E05CB3"/>
    <w:rsid w:val="08E7222C"/>
    <w:rsid w:val="09037FA9"/>
    <w:rsid w:val="0AFD6C1B"/>
    <w:rsid w:val="0B185A47"/>
    <w:rsid w:val="0B67239F"/>
    <w:rsid w:val="0D8A6057"/>
    <w:rsid w:val="0DC96C89"/>
    <w:rsid w:val="0E5222E1"/>
    <w:rsid w:val="0E640DCF"/>
    <w:rsid w:val="0F0D687C"/>
    <w:rsid w:val="10117DF3"/>
    <w:rsid w:val="103274FB"/>
    <w:rsid w:val="10F406B9"/>
    <w:rsid w:val="124C3BB1"/>
    <w:rsid w:val="13667C06"/>
    <w:rsid w:val="138E4559"/>
    <w:rsid w:val="143C395A"/>
    <w:rsid w:val="15222399"/>
    <w:rsid w:val="169C0B3C"/>
    <w:rsid w:val="16AC18C8"/>
    <w:rsid w:val="18190992"/>
    <w:rsid w:val="185033E1"/>
    <w:rsid w:val="187F73B4"/>
    <w:rsid w:val="18B91713"/>
    <w:rsid w:val="18C914F4"/>
    <w:rsid w:val="18FA4BE5"/>
    <w:rsid w:val="193D3772"/>
    <w:rsid w:val="19914DBE"/>
    <w:rsid w:val="1A0D57B2"/>
    <w:rsid w:val="1B6722E0"/>
    <w:rsid w:val="1BDA3A4D"/>
    <w:rsid w:val="1BE61A91"/>
    <w:rsid w:val="1C9A2364"/>
    <w:rsid w:val="1CB778EC"/>
    <w:rsid w:val="1CC660EE"/>
    <w:rsid w:val="1CEE2E5A"/>
    <w:rsid w:val="1D1D68C3"/>
    <w:rsid w:val="1DA10708"/>
    <w:rsid w:val="1E250A07"/>
    <w:rsid w:val="1E4A3DF9"/>
    <w:rsid w:val="1E953A30"/>
    <w:rsid w:val="1ED03F6F"/>
    <w:rsid w:val="1F76779A"/>
    <w:rsid w:val="1FA8345C"/>
    <w:rsid w:val="207D67BA"/>
    <w:rsid w:val="20F94CF8"/>
    <w:rsid w:val="217821F3"/>
    <w:rsid w:val="21DC2E00"/>
    <w:rsid w:val="22174320"/>
    <w:rsid w:val="223C4749"/>
    <w:rsid w:val="233939C3"/>
    <w:rsid w:val="233D0547"/>
    <w:rsid w:val="236D0B82"/>
    <w:rsid w:val="237A546E"/>
    <w:rsid w:val="240B4E4E"/>
    <w:rsid w:val="24123D80"/>
    <w:rsid w:val="24525F83"/>
    <w:rsid w:val="24EE11D5"/>
    <w:rsid w:val="24EF1FD5"/>
    <w:rsid w:val="25782F12"/>
    <w:rsid w:val="262537A6"/>
    <w:rsid w:val="26B0322D"/>
    <w:rsid w:val="280F24A9"/>
    <w:rsid w:val="28BC692B"/>
    <w:rsid w:val="29B42A01"/>
    <w:rsid w:val="2B79280A"/>
    <w:rsid w:val="2C2253B9"/>
    <w:rsid w:val="2D5B7AF3"/>
    <w:rsid w:val="2DFD4787"/>
    <w:rsid w:val="2E8F6535"/>
    <w:rsid w:val="2EC06973"/>
    <w:rsid w:val="2F371A52"/>
    <w:rsid w:val="2F7D26BA"/>
    <w:rsid w:val="2FB31AC1"/>
    <w:rsid w:val="30020852"/>
    <w:rsid w:val="30113DB4"/>
    <w:rsid w:val="30F35D6D"/>
    <w:rsid w:val="32926430"/>
    <w:rsid w:val="32A1797B"/>
    <w:rsid w:val="33F61956"/>
    <w:rsid w:val="3428700C"/>
    <w:rsid w:val="345F7FD5"/>
    <w:rsid w:val="34AE4ED7"/>
    <w:rsid w:val="34C80404"/>
    <w:rsid w:val="355B7AE5"/>
    <w:rsid w:val="35651F83"/>
    <w:rsid w:val="35B31E02"/>
    <w:rsid w:val="36291ADF"/>
    <w:rsid w:val="36A54350"/>
    <w:rsid w:val="36F540ED"/>
    <w:rsid w:val="374748FF"/>
    <w:rsid w:val="38D04E05"/>
    <w:rsid w:val="38FD1B09"/>
    <w:rsid w:val="39646139"/>
    <w:rsid w:val="396650D9"/>
    <w:rsid w:val="39BB13E9"/>
    <w:rsid w:val="39D720B8"/>
    <w:rsid w:val="3A0B3C95"/>
    <w:rsid w:val="3A175797"/>
    <w:rsid w:val="3A4E297D"/>
    <w:rsid w:val="3B150EAC"/>
    <w:rsid w:val="3BC2482B"/>
    <w:rsid w:val="3C3B2BFA"/>
    <w:rsid w:val="3E4D03C2"/>
    <w:rsid w:val="3E8536AE"/>
    <w:rsid w:val="3E8E69F6"/>
    <w:rsid w:val="3EF327EC"/>
    <w:rsid w:val="3F540FE9"/>
    <w:rsid w:val="3FA21871"/>
    <w:rsid w:val="3FB535FB"/>
    <w:rsid w:val="40137491"/>
    <w:rsid w:val="4073705A"/>
    <w:rsid w:val="41047653"/>
    <w:rsid w:val="41872F0B"/>
    <w:rsid w:val="420D2639"/>
    <w:rsid w:val="426B3989"/>
    <w:rsid w:val="42720824"/>
    <w:rsid w:val="43133410"/>
    <w:rsid w:val="43444E4D"/>
    <w:rsid w:val="447B0D62"/>
    <w:rsid w:val="44BE20F5"/>
    <w:rsid w:val="44DE3917"/>
    <w:rsid w:val="44FF7879"/>
    <w:rsid w:val="457905B9"/>
    <w:rsid w:val="46507347"/>
    <w:rsid w:val="46C107CA"/>
    <w:rsid w:val="48067989"/>
    <w:rsid w:val="488829F2"/>
    <w:rsid w:val="4958787A"/>
    <w:rsid w:val="49746B74"/>
    <w:rsid w:val="49754EA5"/>
    <w:rsid w:val="49AA6590"/>
    <w:rsid w:val="4A26627E"/>
    <w:rsid w:val="4AAC6252"/>
    <w:rsid w:val="4B3A0152"/>
    <w:rsid w:val="4BB91CD5"/>
    <w:rsid w:val="4C711F4A"/>
    <w:rsid w:val="4CB146CB"/>
    <w:rsid w:val="4D021E2A"/>
    <w:rsid w:val="4D297977"/>
    <w:rsid w:val="4E4B40C0"/>
    <w:rsid w:val="4FAB27C7"/>
    <w:rsid w:val="503D62B2"/>
    <w:rsid w:val="506A72AC"/>
    <w:rsid w:val="50A65844"/>
    <w:rsid w:val="50B5079C"/>
    <w:rsid w:val="513A30A5"/>
    <w:rsid w:val="513C0D41"/>
    <w:rsid w:val="51E4386F"/>
    <w:rsid w:val="52CB4959"/>
    <w:rsid w:val="52F01DC7"/>
    <w:rsid w:val="52F62A0F"/>
    <w:rsid w:val="53444FBB"/>
    <w:rsid w:val="53615107"/>
    <w:rsid w:val="54125BD3"/>
    <w:rsid w:val="54D878A2"/>
    <w:rsid w:val="551D1E16"/>
    <w:rsid w:val="55274419"/>
    <w:rsid w:val="557E7B43"/>
    <w:rsid w:val="559B51CA"/>
    <w:rsid w:val="562923EA"/>
    <w:rsid w:val="5635250A"/>
    <w:rsid w:val="564C1AAF"/>
    <w:rsid w:val="57C3552C"/>
    <w:rsid w:val="57DE70F3"/>
    <w:rsid w:val="57F37CF9"/>
    <w:rsid w:val="588F06C3"/>
    <w:rsid w:val="594638B8"/>
    <w:rsid w:val="5A1A237D"/>
    <w:rsid w:val="5A563CFA"/>
    <w:rsid w:val="5BBF1152"/>
    <w:rsid w:val="5CA142D6"/>
    <w:rsid w:val="5D702B2D"/>
    <w:rsid w:val="5D9567E1"/>
    <w:rsid w:val="5DC82154"/>
    <w:rsid w:val="5DE26AA4"/>
    <w:rsid w:val="5F3156A8"/>
    <w:rsid w:val="60314C15"/>
    <w:rsid w:val="603539F3"/>
    <w:rsid w:val="604E6703"/>
    <w:rsid w:val="60853194"/>
    <w:rsid w:val="608D426B"/>
    <w:rsid w:val="6099333E"/>
    <w:rsid w:val="60FD4175"/>
    <w:rsid w:val="612B654F"/>
    <w:rsid w:val="612F5B50"/>
    <w:rsid w:val="614A70D0"/>
    <w:rsid w:val="62704943"/>
    <w:rsid w:val="6283762E"/>
    <w:rsid w:val="62B10DC1"/>
    <w:rsid w:val="648A1E73"/>
    <w:rsid w:val="649A02CD"/>
    <w:rsid w:val="66043F7D"/>
    <w:rsid w:val="6834340F"/>
    <w:rsid w:val="686150FE"/>
    <w:rsid w:val="696F05F9"/>
    <w:rsid w:val="6B313831"/>
    <w:rsid w:val="6B41685A"/>
    <w:rsid w:val="6D4C4AC6"/>
    <w:rsid w:val="6DFC39D4"/>
    <w:rsid w:val="6EE17A9E"/>
    <w:rsid w:val="6F803E09"/>
    <w:rsid w:val="6FB54894"/>
    <w:rsid w:val="70844289"/>
    <w:rsid w:val="70CD0B1E"/>
    <w:rsid w:val="71015EB7"/>
    <w:rsid w:val="71AC19DF"/>
    <w:rsid w:val="71BC4710"/>
    <w:rsid w:val="71D177ED"/>
    <w:rsid w:val="71E05DE2"/>
    <w:rsid w:val="73065165"/>
    <w:rsid w:val="732B4D46"/>
    <w:rsid w:val="74104D36"/>
    <w:rsid w:val="746D412C"/>
    <w:rsid w:val="756F606C"/>
    <w:rsid w:val="76D66700"/>
    <w:rsid w:val="777B0018"/>
    <w:rsid w:val="77FA77D7"/>
    <w:rsid w:val="786A3E68"/>
    <w:rsid w:val="79046B75"/>
    <w:rsid w:val="79A6519F"/>
    <w:rsid w:val="79B4545F"/>
    <w:rsid w:val="79CE6A63"/>
    <w:rsid w:val="79F62955"/>
    <w:rsid w:val="79FA6D69"/>
    <w:rsid w:val="7B0058A0"/>
    <w:rsid w:val="7BA41B97"/>
    <w:rsid w:val="7CB629AE"/>
    <w:rsid w:val="7DD93697"/>
    <w:rsid w:val="7F06450E"/>
    <w:rsid w:val="7FBC5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 w:cs="Times New Roman"/>
      <w:szCs w:val="24"/>
    </w:rPr>
  </w:style>
  <w:style w:type="paragraph" w:styleId="3">
    <w:name w:val="Body Text"/>
    <w:basedOn w:val="1"/>
    <w:qFormat/>
    <w:uiPriority w:val="0"/>
    <w:pPr>
      <w:spacing w:after="120"/>
    </w:pPr>
  </w:style>
  <w:style w:type="paragraph" w:styleId="4">
    <w:name w:val="toc 3"/>
    <w:basedOn w:val="1"/>
    <w:next w:val="1"/>
    <w:qFormat/>
    <w:uiPriority w:val="0"/>
    <w:pPr>
      <w:ind w:left="840" w:leftChars="4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无间隔1"/>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customStyle="1" w:styleId="10">
    <w:name w:val="正文 A"/>
    <w:qFormat/>
    <w:uiPriority w:val="0"/>
    <w:pPr>
      <w:framePr w:wrap="around" w:vAnchor="margin" w:hAnchor="text" w:y="1"/>
      <w:widowControl w:val="0"/>
      <w:jc w:val="both"/>
    </w:pPr>
    <w:rPr>
      <w:rFonts w:hint="eastAsia" w:ascii="Arial Unicode MS" w:hAnsi="Arial Unicode MS" w:eastAsia="Calibri" w:cs="Arial Unicode MS"/>
      <w:color w:val="000000"/>
      <w:kern w:val="2"/>
      <w:sz w:val="32"/>
      <w:szCs w:val="32"/>
      <w:u w:color="000000"/>
      <w:lang w:val="en-US" w:eastAsia="zh-CN" w:bidi="ar-SA"/>
    </w:rPr>
  </w:style>
  <w:style w:type="paragraph" w:customStyle="1" w:styleId="11">
    <w:name w:val="p"/>
    <w:basedOn w:val="1"/>
    <w:qFormat/>
    <w:uiPriority w:val="0"/>
    <w:pPr>
      <w:widowControl/>
      <w:spacing w:before="150"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5700</Words>
  <Characters>251</Characters>
  <Lines>2</Lines>
  <Paragraphs>11</Paragraphs>
  <TotalTime>1</TotalTime>
  <ScaleCrop>false</ScaleCrop>
  <LinksUpToDate>false</LinksUpToDate>
  <CharactersWithSpaces>5940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userwtc</dc:creator>
  <cp:lastModifiedBy>心在跳</cp:lastModifiedBy>
  <dcterms:modified xsi:type="dcterms:W3CDTF">2021-02-22T02:32:01Z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