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东城区人力资源和社会保障局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2019年法治政府建设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情况报告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2019年，东城区人力资源和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社会保障局坚持以习近平新时代中国特色社会主义思想为指导，深入贯彻党的十九大和十九届二中、三中、四中全会精神，推进“法治人社”建设，坚持依法行政、规范行政程序、强化法治监督、创新工作机制，法治政府建设取得显著成效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一、多措并举，全面推进依法行政工作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开展领导干部学法活动，提高领导班子成员依法行政意识。认真执行领导班子学法工作制度，制定局长办公会“会前学法”计划，全年开展局长办公会前学法15次，内容包括宪法学习、新颁布的法律法规和新近出台政策规定。</w:t>
      </w:r>
    </w:p>
    <w:p>
      <w:pPr>
        <w:pStyle w:val="6"/>
        <w:shd w:val="clear" w:color="auto" w:fill="FFFFFF"/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二是落实行政争议案件办理的工作制度。通过局法制机构和业部门协同办理行政争议案件和定期对行政争议</w:t>
      </w:r>
      <w:r>
        <w:rPr>
          <w:rFonts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</w:rPr>
        <w:t>的通报，及时分析研究行政执法中存在的问题，不断改进工作措施，严格依法办事，切实维护人民群众的合法权益，践行以人民为中心的工作理念。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全面推进法治宣传教育。严格落实“谁执法谁普法”工作责任制，组织各科室、局属事业单位制定、落实全年学法计划，围绕部门职责和当前重点工作开展法律知识和业务知识的学习，自觉规范执法行为；制发《法治联络员工作暂行办法》，建立健全法治宣传工作网络，由政治素质高、业务水平好、法治意识强的法治联络员落实本部门的法治宣传教育工作；</w:t>
      </w:r>
      <w:r>
        <w:rPr>
          <w:rFonts w:hint="eastAsia" w:ascii="仿宋_GB2312" w:hAnsi="仿宋" w:eastAsia="仿宋_GB2312"/>
          <w:sz w:val="32"/>
          <w:szCs w:val="32"/>
        </w:rPr>
        <w:t>将普法工作作为“法治人社”建设的重要载体，法制机构督促法治宣传工作的落实，形成领导重视、横向协调、上下联动的工作格局，使普法责任制落地实施。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四是落实法律顾问制度。</w:t>
      </w:r>
      <w:r>
        <w:rPr>
          <w:rFonts w:hint="eastAsia" w:ascii="仿宋_GB2312" w:eastAsia="仿宋_GB2312"/>
          <w:sz w:val="32"/>
          <w:szCs w:val="32"/>
        </w:rPr>
        <w:t>聘请北京兰台律师事务所作为局常年法律顾问，全年参与行政争议案件办理、重要合同审核、疑难信访案办理、修改内部制度流程以及日常法律咨询等，为我局行政决策提供了强有力的法律支持。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二、严格执行区政府规范性文件制发流程和公平竞争审查工作制度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我局制发的规范性文件均遵守公开征求意见、合法性审查、公平竞争审查、集体讨论决定、向社会公开、报备等程序。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三、加强行政执法监督，落实执法规范化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编制全年行政执法工作计划，法制机构监督各相关部门落实；监督落实“双随机、一公开”工作，劳动保障监察机构全年累计对506家单位开展“双随机”检查，并将检查结果及时在“数字东城”网站公布；参与重大行政执法案件的研讨，提出案件办理的法律意见；开展了案件评查的自评工作，对劳动保障监察执法情况进行专项考评和监督，自评案卷20卷，报送区政府评查案卷均获得满分；监督落实双公示制度，所有行政处罚和行政许可结果全部在数字东城、信用中国对外公布，接受社会监督；及时维护《北京市行政执法信息服务平台》数据，督促劳动监察行政检查、行政处罚案件及时录入系统，人员、岗位信息维护做到常规化，确保数据真实准确；根据当事人的申请举办行政处罚听证会，保证当事人的申辩权，确保行政处罚工作依法进行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四、推进行政审批改革，</w:t>
      </w:r>
      <w:r>
        <w:rPr>
          <w:rFonts w:ascii="黑体" w:hAnsi="黑体" w:eastAsia="黑体" w:cs="Times New Roman"/>
          <w:color w:val="000000" w:themeColor="text1"/>
          <w:sz w:val="32"/>
          <w:szCs w:val="32"/>
        </w:rPr>
        <w:t>为民服务水平不断提升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梳理完成2019版权力清单，确认权力清单56项（不含行政处罚事项）；组织开展对人社部、市局取消证明事项的自查工作，确保“简证便民”工作全面落实。</w:t>
      </w:r>
      <w:r>
        <w:rPr>
          <w:rFonts w:ascii="Times New Roman" w:hAnsi="Times New Roman" w:eastAsia="仿宋_GB2312" w:cs="Times New Roman"/>
          <w:sz w:val="32"/>
          <w:szCs w:val="32"/>
        </w:rPr>
        <w:t>以首善标准深化“放管服”改革，扎实做好“四个服务”，提升精准管理、精细服务效能，全力助推辖区重点企业发展。在全市率先推进人力资源服务管理改革，办理时限由30个工作日缩短至2个工作日，实现企业“零跑路”。健全接诉即办长效机制，受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案件在全市人力社保系统“接诉即办”和“七有”“五性”考核排名第一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成立政务电话咨询中心，全年累计接听咨询电话30余万次，接听率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</w:t>
      </w:r>
      <w:r>
        <w:rPr>
          <w:rFonts w:ascii="Times New Roman" w:hAnsi="Times New Roman" w:eastAsia="仿宋_GB2312" w:cs="Times New Roman"/>
          <w:sz w:val="32"/>
          <w:szCs w:val="32"/>
        </w:rPr>
        <w:t>到92.5%，服务对象满意率持续保持在99%以上。积极推行“一窗通办”改革，群众办事等待时间由平均52.53分钟缩短至10.41分钟，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服务效能</w:t>
      </w:r>
      <w:r>
        <w:rPr>
          <w:rFonts w:ascii="Times New Roman" w:hAnsi="Times New Roman" w:eastAsia="仿宋_GB2312" w:cs="Times New Roman"/>
          <w:sz w:val="32"/>
          <w:szCs w:val="32"/>
        </w:rPr>
        <w:t>提升约80%，基本实现“即来即办”。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五、继续加强行政争议案件办理工作。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真执行审理社保经办机构行政复议案件的制度规定，审理过程严格依法依规，作出的《行政复议决定书》事实清楚、程序合法、依据准确；积极配合行政复议机关审理我局的行政复议案件，按时提交答复书和证据材料，及时回复审理过程中的询问，依法履行行政复议决定书；在复议审理过程中，努力争取和解方式解决矛盾。在案件答辩期间，建立与法律顾问的会商机制，认真准备、提交答辩状和证据材料；每起案件均向局长办公会进行汇报，局长办公会认真研究案情、审议答辩状；审理过程中，积极与法院沟通情况，发挥好法院和业务部门桥梁纽带作用，争取顺利解决每起争议；及时做好委托手续，督促工作人员出庭应诉，从未出现迟到或者漏庭的情况，也从未出现仅委托律师出庭的情况；判决生效后，认真履行生效法院判决。为提高应诉水平，组织出庭人员学习有关应诉文件，熟悉审判流程，并积极参加司法局组织的培训；落实行政机关负责人出庭制度，主管局长出庭应诉2次；按要求准时上报行政争议案件统计报表，并及时在信息系统中录入相关信息。</w:t>
      </w:r>
    </w:p>
    <w:p>
      <w:pPr>
        <w:pStyle w:val="6"/>
        <w:shd w:val="clear" w:color="auto" w:fill="FFFFFF"/>
        <w:spacing w:line="560" w:lineRule="exact"/>
        <w:ind w:firstLine="645"/>
        <w:contextualSpacing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04352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EE5"/>
    <w:rsid w:val="00054398"/>
    <w:rsid w:val="00296800"/>
    <w:rsid w:val="002A2618"/>
    <w:rsid w:val="002A4E6E"/>
    <w:rsid w:val="00304181"/>
    <w:rsid w:val="003B50E0"/>
    <w:rsid w:val="004A719A"/>
    <w:rsid w:val="004E2E75"/>
    <w:rsid w:val="005503C5"/>
    <w:rsid w:val="00556589"/>
    <w:rsid w:val="008416BE"/>
    <w:rsid w:val="00AF6BC8"/>
    <w:rsid w:val="00BD3551"/>
    <w:rsid w:val="00C04262"/>
    <w:rsid w:val="00C54970"/>
    <w:rsid w:val="00CC7FE9"/>
    <w:rsid w:val="00D75EE5"/>
    <w:rsid w:val="00E40D63"/>
    <w:rsid w:val="00E60257"/>
    <w:rsid w:val="00FE5F3E"/>
    <w:rsid w:val="18D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semiHidden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293</Words>
  <Characters>1676</Characters>
  <Lines>13</Lines>
  <Paragraphs>3</Paragraphs>
  <TotalTime>0</TotalTime>
  <ScaleCrop>false</ScaleCrop>
  <LinksUpToDate>false</LinksUpToDate>
  <CharactersWithSpaces>1966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2020-06-05T10:06:00Z</dcterms:created>
  <dc:creator>马诚</dc:creator>
  <cp:lastModifiedBy>z</cp:lastModifiedBy>
  <dcterms:modified xsi:type="dcterms:W3CDTF">2021-03-22T08:08:30Z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