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adjustRightInd w:val="0"/>
        <w:snapToGrid w:val="0"/>
        <w:spacing w:before="0" w:after="0"/>
        <w:ind w:left="100" w:right="100"/>
        <w:jc w:val="center"/>
        <w:rPr>
          <w:rFonts w:ascii="黑体" w:hAnsi="黑体" w:cs="黑体"/>
          <w:kern w:val="0"/>
          <w:sz w:val="44"/>
        </w:rPr>
      </w:pPr>
      <w:r>
        <w:rPr>
          <w:rFonts w:hint="eastAsia" w:ascii="黑体" w:hAnsi="黑体" w:cs="黑体"/>
          <w:kern w:val="0"/>
          <w:sz w:val="44"/>
        </w:rPr>
        <w:t>北京市</w:t>
      </w:r>
      <w:r>
        <w:rPr>
          <w:rFonts w:hint="eastAsia" w:ascii="黑体" w:hAnsi="黑体" w:cs="黑体"/>
          <w:kern w:val="0"/>
          <w:sz w:val="44"/>
          <w:lang w:eastAsia="zh-CN"/>
        </w:rPr>
        <w:t>卫生健康系统生产安全事故</w:t>
      </w:r>
      <w:r>
        <w:rPr>
          <w:rFonts w:hint="eastAsia" w:ascii="黑体" w:hAnsi="黑体" w:cs="黑体"/>
          <w:kern w:val="0"/>
          <w:sz w:val="44"/>
        </w:rPr>
        <w:t>隐患目录汇编（2</w:t>
      </w:r>
      <w:r>
        <w:rPr>
          <w:rFonts w:ascii="黑体" w:hAnsi="黑体" w:cs="黑体"/>
          <w:kern w:val="0"/>
          <w:sz w:val="44"/>
        </w:rPr>
        <w:t>02</w:t>
      </w:r>
      <w:r>
        <w:rPr>
          <w:rFonts w:hint="eastAsia" w:ascii="黑体" w:hAnsi="黑体" w:cs="黑体"/>
          <w:kern w:val="0"/>
          <w:sz w:val="44"/>
        </w:rPr>
        <w:t>3年度）</w:t>
      </w:r>
    </w:p>
    <w:p>
      <w:pPr>
        <w:pStyle w:val="3"/>
        <w:keepNext w:val="0"/>
        <w:keepLines w:val="0"/>
        <w:adjustRightInd w:val="0"/>
        <w:snapToGrid w:val="0"/>
        <w:spacing w:before="0" w:after="0"/>
        <w:ind w:left="100" w:right="100"/>
      </w:pPr>
      <w:r>
        <w:rPr>
          <w:rFonts w:hint="eastAsia" w:ascii="黑体" w:hAnsi="黑体" w:cs="黑体"/>
          <w:kern w:val="0"/>
          <w:sz w:val="32"/>
          <w:szCs w:val="32"/>
        </w:rPr>
        <w:t>（1）北京市医院生产安全</w:t>
      </w:r>
      <w:r>
        <w:rPr>
          <w:rFonts w:hint="eastAsia" w:ascii="黑体" w:hAnsi="黑体" w:cs="黑体"/>
          <w:kern w:val="0"/>
          <w:sz w:val="32"/>
          <w:szCs w:val="32"/>
          <w:lang w:eastAsia="zh-CN"/>
        </w:rPr>
        <w:t>事故</w:t>
      </w:r>
      <w:r>
        <w:rPr>
          <w:rFonts w:hint="eastAsia" w:ascii="黑体" w:hAnsi="黑体" w:cs="黑体"/>
          <w:kern w:val="0"/>
          <w:sz w:val="32"/>
          <w:szCs w:val="32"/>
        </w:rPr>
        <w:t>隐患目录</w:t>
      </w:r>
    </w:p>
    <w:tbl>
      <w:tblPr>
        <w:tblStyle w:val="13"/>
        <w:tblW w:w="14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735"/>
        <w:gridCol w:w="915"/>
        <w:gridCol w:w="6705"/>
        <w:gridCol w:w="3615"/>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18"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vAlign w:val="center"/>
          </w:tcPr>
          <w:p>
            <w:pPr>
              <w:pStyle w:val="24"/>
              <w:adjustRightInd w:val="0"/>
              <w:snapToGrid w:val="0"/>
              <w:spacing w:line="240" w:lineRule="auto"/>
              <w:ind w:left="0" w:leftChars="0" w:right="0" w:rightChars="0" w:firstLine="0" w:firstLineChars="0"/>
              <w:jc w:val="center"/>
              <w:rPr>
                <w:rFonts w:ascii="宋体" w:hAnsi="宋体"/>
                <w:bCs/>
                <w:sz w:val="24"/>
                <w:szCs w:val="24"/>
                <w:lang w:bidi="mn-Mong-CN"/>
              </w:rPr>
            </w:pPr>
            <w:r>
              <w:rPr>
                <w:rFonts w:hint="eastAsia" w:ascii="宋体" w:hAnsi="宋体"/>
                <w:bCs/>
                <w:sz w:val="24"/>
                <w:szCs w:val="24"/>
                <w:lang w:bidi="mn-Mong-CN"/>
              </w:rPr>
              <w:t>编号</w:t>
            </w:r>
          </w:p>
        </w:tc>
        <w:tc>
          <w:tcPr>
            <w:tcW w:w="1650" w:type="dxa"/>
            <w:gridSpan w:val="2"/>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隐患分类</w:t>
            </w:r>
          </w:p>
        </w:tc>
        <w:tc>
          <w:tcPr>
            <w:tcW w:w="6705"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pStyle w:val="40"/>
              <w:ind w:left="100" w:right="100"/>
              <w:jc w:val="center"/>
              <w:rPr>
                <w:sz w:val="24"/>
                <w:szCs w:val="24"/>
              </w:rPr>
            </w:pPr>
            <w:r>
              <w:rPr>
                <w:rFonts w:hint="eastAsia"/>
                <w:sz w:val="24"/>
                <w:szCs w:val="24"/>
              </w:rPr>
              <w:t>隐患内容</w:t>
            </w:r>
          </w:p>
        </w:tc>
        <w:tc>
          <w:tcPr>
            <w:tcW w:w="3615"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pStyle w:val="40"/>
              <w:ind w:left="100" w:right="100"/>
              <w:jc w:val="center"/>
              <w:rPr>
                <w:sz w:val="24"/>
                <w:szCs w:val="24"/>
              </w:rPr>
            </w:pPr>
            <w:r>
              <w:rPr>
                <w:rFonts w:hint="eastAsia"/>
                <w:sz w:val="24"/>
                <w:szCs w:val="24"/>
              </w:rPr>
              <w:t>依    据</w:t>
            </w:r>
          </w:p>
        </w:tc>
        <w:tc>
          <w:tcPr>
            <w:tcW w:w="751"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blHeader/>
          <w:jc w:val="center"/>
        </w:trPr>
        <w:tc>
          <w:tcPr>
            <w:tcW w:w="1518" w:type="dxa"/>
            <w:vMerge w:val="continue"/>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一类</w:t>
            </w:r>
          </w:p>
        </w:tc>
        <w:tc>
          <w:tcPr>
            <w:tcW w:w="915" w:type="dxa"/>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二类</w:t>
            </w:r>
          </w:p>
        </w:tc>
        <w:tc>
          <w:tcPr>
            <w:tcW w:w="6705" w:type="dxa"/>
            <w:vMerge w:val="continue"/>
            <w:tcBorders>
              <w:top w:val="single" w:color="auto" w:sz="4" w:space="0"/>
              <w:left w:val="single" w:color="auto" w:sz="4" w:space="0"/>
              <w:bottom w:val="single" w:color="auto" w:sz="4" w:space="0"/>
              <w:right w:val="single" w:color="auto" w:sz="4" w:space="0"/>
            </w:tcBorders>
            <w:vAlign w:val="center"/>
          </w:tcPr>
          <w:p>
            <w:pPr>
              <w:pStyle w:val="40"/>
              <w:ind w:left="100" w:right="100"/>
            </w:pPr>
          </w:p>
        </w:tc>
        <w:tc>
          <w:tcPr>
            <w:tcW w:w="3615" w:type="dxa"/>
            <w:vMerge w:val="continue"/>
            <w:tcBorders>
              <w:top w:val="single" w:color="auto" w:sz="4" w:space="0"/>
              <w:left w:val="single" w:color="auto" w:sz="4" w:space="0"/>
              <w:bottom w:val="single" w:color="auto" w:sz="4" w:space="0"/>
              <w:right w:val="single" w:color="auto" w:sz="4" w:space="0"/>
            </w:tcBorders>
            <w:vAlign w:val="center"/>
          </w:tcPr>
          <w:p>
            <w:pPr>
              <w:pStyle w:val="40"/>
              <w:ind w:left="100" w:right="100"/>
            </w:pPr>
          </w:p>
        </w:tc>
        <w:tc>
          <w:tcPr>
            <w:tcW w:w="75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基础资料类</w:t>
            </w:r>
          </w:p>
        </w:tc>
        <w:tc>
          <w:tcPr>
            <w:tcW w:w="9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机构及人员配备类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从业人员超过100人的，未设置安全生产管理机构或者配备专职安全生产管理人员；从业人员在100人以下的，未配备专职或者兼职的安全生产管理人员。</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 xml:space="preserve">《中华人民共和国安全生产法》第二十四条 </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责任制类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医院未建立安全生产责任制，或安全生产责任制内容不完善或未定期审核、更新。</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《中华人民共和国安全生产法》第四条</w:t>
            </w:r>
          </w:p>
          <w:p>
            <w:pPr>
              <w:pStyle w:val="40"/>
              <w:ind w:left="100" w:right="100"/>
            </w:pPr>
            <w:r>
              <w:rPr>
                <w:rFonts w:hint="eastAsia"/>
              </w:rPr>
              <w:t>《北京市安全生产条例》第四条：</w:t>
            </w:r>
          </w:p>
          <w:p>
            <w:pPr>
              <w:pStyle w:val="40"/>
              <w:ind w:left="100" w:right="100"/>
            </w:pPr>
            <w:r>
              <w:rPr>
                <w:rFonts w:hint="eastAsia"/>
              </w:rPr>
              <w:t>a）主要负责人、安全生产管理人员、各岗位人员的安全生产职责；</w:t>
            </w:r>
          </w:p>
          <w:p>
            <w:pPr>
              <w:pStyle w:val="40"/>
              <w:ind w:left="100" w:right="100"/>
            </w:pPr>
            <w:r>
              <w:rPr>
                <w:rFonts w:hint="eastAsia"/>
              </w:rPr>
              <w:t>b）安全生产管理机构、各部门的安全生产职责；</w:t>
            </w:r>
          </w:p>
          <w:p>
            <w:pPr>
              <w:pStyle w:val="40"/>
              <w:ind w:left="100" w:right="100"/>
            </w:pPr>
            <w:r>
              <w:rPr>
                <w:rFonts w:hint="eastAsia"/>
              </w:rPr>
              <w:t>c）安全生产责任考核及奖惩。</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医院未及时跟踪并获取适用于其生产经营活动的安全生产法律法规、标准规范，并未定期更新安全生产规章制度，使其符合现行法律法规、标准规范的要求。</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第2部分：安全生产通用要求》第3.1.2.2条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安全生产规章制度现行有效版本未经批准实施，未发放至相关岗位的从业人员。</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第2部分：安全生产通用要求》第3.1.2.3条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危化品储存场所未由专人负责管理。储存场所内未张贴安全管理部门负责人、安全责任人。</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《危险化学品安全管理条例》第二十四条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操作规程类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岗位安全操作规程要素不齐全。</w:t>
            </w:r>
          </w:p>
          <w:p>
            <w:pPr>
              <w:pStyle w:val="40"/>
              <w:ind w:left="100" w:right="100"/>
            </w:pPr>
            <w:r>
              <w:rPr>
                <w:rFonts w:hint="eastAsia"/>
              </w:rPr>
              <w:t>如：</w:t>
            </w:r>
          </w:p>
          <w:p>
            <w:pPr>
              <w:pStyle w:val="40"/>
              <w:ind w:left="100" w:right="100"/>
            </w:pPr>
            <w:r>
              <w:rPr>
                <w:rFonts w:hint="eastAsia"/>
              </w:rPr>
              <w:t>1.适用范围；</w:t>
            </w:r>
          </w:p>
          <w:p>
            <w:pPr>
              <w:pStyle w:val="40"/>
              <w:ind w:left="100" w:right="100"/>
            </w:pPr>
            <w:r>
              <w:rPr>
                <w:rFonts w:hint="eastAsia"/>
              </w:rPr>
              <w:t>2</w:t>
            </w:r>
            <w:r>
              <w:t>.</w:t>
            </w:r>
            <w:r>
              <w:rPr>
                <w:rFonts w:hint="eastAsia"/>
              </w:rPr>
              <w:t>岗位存在的主要危险源及控制要求；</w:t>
            </w:r>
          </w:p>
          <w:p>
            <w:pPr>
              <w:pStyle w:val="40"/>
              <w:ind w:left="100" w:right="100"/>
            </w:pPr>
            <w:r>
              <w:rPr>
                <w:rFonts w:hint="eastAsia"/>
              </w:rPr>
              <w:t>3</w:t>
            </w:r>
            <w:r>
              <w:t>.</w:t>
            </w:r>
            <w:r>
              <w:rPr>
                <w:rFonts w:hint="eastAsia"/>
              </w:rPr>
              <w:t>设备使用方法或作业程序；</w:t>
            </w:r>
          </w:p>
          <w:p>
            <w:pPr>
              <w:pStyle w:val="40"/>
              <w:ind w:left="100" w:right="100"/>
            </w:pPr>
            <w:r>
              <w:rPr>
                <w:rFonts w:hint="eastAsia"/>
              </w:rPr>
              <w:t>4</w:t>
            </w:r>
            <w:r>
              <w:t>.</w:t>
            </w:r>
            <w:r>
              <w:rPr>
                <w:rFonts w:hint="eastAsia"/>
              </w:rPr>
              <w:t>个体防护要求；</w:t>
            </w:r>
          </w:p>
          <w:p>
            <w:pPr>
              <w:pStyle w:val="40"/>
              <w:ind w:left="100" w:right="100"/>
            </w:pPr>
            <w:r>
              <w:rPr>
                <w:rFonts w:hint="eastAsia"/>
              </w:rPr>
              <w:t>5</w:t>
            </w:r>
            <w:r>
              <w:t>.</w:t>
            </w:r>
            <w:r>
              <w:rPr>
                <w:rFonts w:hint="eastAsia"/>
              </w:rPr>
              <w:t>严禁事项；</w:t>
            </w:r>
          </w:p>
          <w:p>
            <w:pPr>
              <w:pStyle w:val="40"/>
              <w:ind w:left="100" w:right="100"/>
            </w:pPr>
            <w:r>
              <w:rPr>
                <w:rFonts w:hint="eastAsia"/>
              </w:rPr>
              <w:t>6</w:t>
            </w:r>
            <w:r>
              <w:t>.</w:t>
            </w:r>
            <w:r>
              <w:rPr>
                <w:rFonts w:hint="eastAsia"/>
              </w:rPr>
              <w:t>紧急情况现场处置措施。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第2部分：安全生产通用要求》第3.1.3.2条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岗位安全操作规程现行有效版本未发放至相关岗位的从业人员。</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第2部分：安全生产通用要求》第3.1.3.3条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工艺、设备发生变化后未及时修订或更新岗位安全操作规程。</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第2部分：安全生产通用要求》第3.1.3.4条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基础资料类</w:t>
            </w:r>
          </w:p>
        </w:tc>
        <w:tc>
          <w:tcPr>
            <w:tcW w:w="915"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szCs w:val="20"/>
              </w:rPr>
              <w:t>安全生产教育培训</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未制订年度安全生产培训计划。</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《中华人民共和国安全生产法》第二十一条（三）</w:t>
            </w:r>
          </w:p>
          <w:p>
            <w:pPr>
              <w:pStyle w:val="40"/>
              <w:ind w:left="100" w:right="100"/>
            </w:pPr>
            <w:r>
              <w:rPr>
                <w:rFonts w:hint="eastAsia"/>
              </w:rPr>
              <w:t>《生产经营单位安全培训规定》第二十一条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未按照培训计划实施培训，培训内容未包括：</w:t>
            </w:r>
          </w:p>
          <w:p>
            <w:pPr>
              <w:pStyle w:val="40"/>
              <w:ind w:left="100" w:right="100"/>
            </w:pPr>
            <w:r>
              <w:rPr>
                <w:rFonts w:hint="eastAsia"/>
              </w:rPr>
              <w:t>对医院主要负责人、职业卫生管理人员的职业卫生培训，应当包括下列主要内容：</w:t>
            </w:r>
          </w:p>
          <w:p>
            <w:pPr>
              <w:pStyle w:val="40"/>
              <w:ind w:left="100" w:right="100"/>
            </w:pPr>
            <w:r>
              <w:rPr>
                <w:rFonts w:hint="eastAsia"/>
              </w:rPr>
              <w:t>（一）职业卫生相关法律、法规、规章和国家职业卫生标准；</w:t>
            </w:r>
          </w:p>
          <w:p>
            <w:pPr>
              <w:pStyle w:val="40"/>
              <w:ind w:left="100" w:right="100"/>
            </w:pPr>
            <w:r>
              <w:rPr>
                <w:rFonts w:hint="eastAsia"/>
              </w:rPr>
              <w:t>（二）职业病危害预防和控制的基本知识；</w:t>
            </w:r>
          </w:p>
          <w:p>
            <w:pPr>
              <w:pStyle w:val="40"/>
              <w:ind w:left="100" w:right="100"/>
            </w:pPr>
            <w:r>
              <w:rPr>
                <w:rFonts w:hint="eastAsia"/>
              </w:rPr>
              <w:t>（三）职业卫生管理相关知识；</w:t>
            </w:r>
          </w:p>
          <w:p>
            <w:pPr>
              <w:pStyle w:val="40"/>
              <w:ind w:left="100" w:right="100"/>
            </w:pPr>
            <w:r>
              <w:rPr>
                <w:rFonts w:hint="eastAsia"/>
              </w:rPr>
              <w:t>（四）国家卫生健康委规定的其他内容。</w:t>
            </w:r>
          </w:p>
          <w:p>
            <w:pPr>
              <w:pStyle w:val="40"/>
              <w:ind w:left="100" w:right="100"/>
            </w:pPr>
            <w:r>
              <w:rPr>
                <w:rFonts w:hint="eastAsia"/>
              </w:rPr>
              <w:t>医院应当对劳动者进行上岗前的职业卫生培训和在岗期间的定期职业卫生培训，普及职业卫生知识，督促劳动者遵守职业病防治的法律、法规、规章、国家职业卫生标准和操作规程。</w:t>
            </w:r>
          </w:p>
          <w:p>
            <w:pPr>
              <w:pStyle w:val="40"/>
              <w:ind w:left="100" w:right="100"/>
            </w:pPr>
            <w:r>
              <w:rPr>
                <w:rFonts w:hint="eastAsia"/>
              </w:rPr>
              <w:t>医院应当对职业病危害严重的岗位的劳动者，进行专门的职业卫生培训，经培训合格后方可上岗作业。</w:t>
            </w:r>
          </w:p>
          <w:p>
            <w:pPr>
              <w:pStyle w:val="40"/>
              <w:ind w:left="100" w:right="100"/>
            </w:pPr>
            <w:r>
              <w:rPr>
                <w:rFonts w:hint="eastAsia"/>
              </w:rPr>
              <w:t>因变更工艺、技术、设备、材料或者岗位调整导致劳动者接触的职业病危害因素发生变化的，医院应当重新对劳动者进行上岗前的职业卫生培训。</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《生产经营单位安全培训规定》第七条、第八条、第十四条、第十五条、第十六条</w:t>
            </w:r>
          </w:p>
          <w:p>
            <w:pPr>
              <w:pStyle w:val="40"/>
              <w:ind w:left="100" w:right="100"/>
            </w:pPr>
            <w:r>
              <w:rPr>
                <w:rFonts w:hint="eastAsia"/>
              </w:rPr>
              <w:t>《工作场所职业卫生管理规定》第九条、第十条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从事特种作业、特种设备作业的人员和消防控制室操作职业资格证书的值班人员未按照有关规定，未经安全培训、考核合格，取得相应资格，便上岗作业，并未按期参加复训和复审。</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《中华人民共和国安全生产法》第三十条</w:t>
            </w:r>
          </w:p>
          <w:p>
            <w:pPr>
              <w:pStyle w:val="40"/>
              <w:ind w:left="100" w:right="100"/>
            </w:pPr>
            <w:r>
              <w:rPr>
                <w:rFonts w:hint="eastAsia"/>
              </w:rPr>
              <w:t>《中华人民共和国特种设备安全法》第十四条</w:t>
            </w:r>
          </w:p>
          <w:p>
            <w:pPr>
              <w:pStyle w:val="40"/>
              <w:ind w:left="100" w:right="100"/>
            </w:pPr>
            <w:r>
              <w:rPr>
                <w:rFonts w:hint="eastAsia"/>
              </w:rPr>
              <w:t>GB 25506-2010《消防控制室通用技术要求》第4.2.1条a）</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未对相关方作业人员（短期临时作业人员、实习学生、学习参观人员及其他外来人员）进行安全教育培训。</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《中华人民共和国安全生产法》第二十八条</w:t>
            </w:r>
          </w:p>
          <w:p>
            <w:pPr>
              <w:pStyle w:val="40"/>
              <w:ind w:left="100" w:right="100"/>
            </w:pPr>
            <w:r>
              <w:rPr>
                <w:rFonts w:hint="eastAsia"/>
              </w:rPr>
              <w:t>《生产经营单位安全培训规定》第四条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医院未建立安全生产教育培训档案或档案内容不齐全。档案未包括培训记录表、培训签到表、培训试卷等有关书面材料和图片资料。</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《中华人民共和国安全生产法》第二十八条</w:t>
            </w:r>
          </w:p>
          <w:p>
            <w:pPr>
              <w:pStyle w:val="40"/>
              <w:ind w:left="100" w:right="100"/>
            </w:pPr>
            <w:r>
              <w:rPr>
                <w:rFonts w:hint="eastAsia"/>
              </w:rPr>
              <w:t>DB11/T 1322.2-2017《安全生产等级评定技术规范 第2部分：安全生产通用要求》第3.1.5.8条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基础资料类</w:t>
            </w:r>
          </w:p>
        </w:tc>
        <w:tc>
          <w:tcPr>
            <w:tcW w:w="915"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记录档案类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医院未建立事故隐患治理台账。</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第2部分：安全生产通用要求》第3.1.7.3.1条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建筑物或者场所未依法通过消防验收。</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《中华人民共和国消防法》第十三条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医院未对灭火器配置、外观等按附录C的要求进行每月一次的定期检查，并未记录归档。</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50444-2008《建筑灭火器配置验收及检查规范》第5.2.1条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未对建筑消防设施每年至少进行1次全面检测，确保完好有效；不具备检测条件的，未委托具备相应资质的检测机构进行检测，并保存检测记录。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《中华人民共和国消防法》第十七条</w:t>
            </w:r>
          </w:p>
          <w:p>
            <w:pPr>
              <w:pStyle w:val="40"/>
              <w:ind w:left="100" w:right="100"/>
            </w:pPr>
            <w:r>
              <w:rPr>
                <w:rFonts w:hint="eastAsia"/>
              </w:rPr>
              <w:t>《北京市消防条例》第十三条</w:t>
            </w:r>
          </w:p>
          <w:p>
            <w:pPr>
              <w:pStyle w:val="40"/>
              <w:ind w:left="100" w:right="100"/>
            </w:pPr>
            <w:r>
              <w:rPr>
                <w:rFonts w:hint="eastAsia"/>
              </w:rPr>
              <w:t>《机关、团体、企业、事业单位消防安全管理规定》第二十五条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消防安全重点单位未每年对电气防火安全进行检测和开展每日防火巡查，确定巡查的人员、内容、部位和频次，并保存记录。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《中华人民共和国消防法》第十七条</w:t>
            </w:r>
          </w:p>
          <w:p>
            <w:pPr>
              <w:pStyle w:val="40"/>
              <w:ind w:left="100" w:right="100"/>
            </w:pPr>
            <w:r>
              <w:rPr>
                <w:rFonts w:hint="eastAsia"/>
              </w:rPr>
              <w:t>《北京市消防条例》第十二、十三条</w:t>
            </w:r>
          </w:p>
          <w:p>
            <w:pPr>
              <w:pStyle w:val="40"/>
              <w:ind w:left="100" w:right="100"/>
            </w:pPr>
            <w:r>
              <w:rPr>
                <w:rFonts w:hint="eastAsia"/>
              </w:rPr>
              <w:t>《机关、团体、企业、事业单位消防安全管理规定》第二十五条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基础资料类</w:t>
            </w:r>
          </w:p>
        </w:tc>
        <w:tc>
          <w:tcPr>
            <w:tcW w:w="915" w:type="dxa"/>
            <w:vMerge w:val="continue"/>
            <w:tcBorders>
              <w:left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消防安全疏散标志管理和维护不符合规范要求，未确保完好有效。</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15630-1995《消防安全标志设置要求》第6.1条</w:t>
            </w:r>
          </w:p>
          <w:p>
            <w:pPr>
              <w:pStyle w:val="40"/>
              <w:ind w:left="100" w:right="100"/>
            </w:pPr>
            <w:r>
              <w:rPr>
                <w:rFonts w:hint="eastAsia"/>
              </w:rPr>
              <w:t>DB11/1024-2013《消防安全疏散标志设置标准》第5.1条</w:t>
            </w:r>
          </w:p>
          <w:p>
            <w:pPr>
              <w:pStyle w:val="40"/>
              <w:ind w:left="100" w:right="100"/>
            </w:pPr>
            <w:r>
              <w:rPr>
                <w:rFonts w:hint="eastAsia"/>
              </w:rPr>
              <w:t>《中华人民共和国消防法》第十六条第一款第二项</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每月未手动启动消防水泵运转1次，并未检查供电电源的情况；每周未模拟消防水泵自动控制的条件自动启动消防水泵运转1次，且未自动记录自动巡检情况；每月未进行检测记录。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50974-2014《消防给水及消火栓系统技术规范》第14.0.4条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消防水泵房门未设置明显的标志，未标明“消防安全重点部位”及其消防安全责任人，未落实相应管理规定。并未符合下列规定：</w:t>
            </w:r>
          </w:p>
          <w:p>
            <w:pPr>
              <w:pStyle w:val="40"/>
              <w:ind w:left="100" w:right="100"/>
            </w:pPr>
            <w:r>
              <w:rPr>
                <w:rFonts w:hint="eastAsia"/>
              </w:rPr>
              <w:t>根据实际需要配备相应的灭火器材、装备和个人防护器材；</w:t>
            </w:r>
          </w:p>
          <w:p>
            <w:pPr>
              <w:pStyle w:val="40"/>
              <w:ind w:left="100" w:right="100"/>
            </w:pPr>
            <w:r>
              <w:rPr>
                <w:rFonts w:hint="eastAsia"/>
              </w:rPr>
              <w:t>制定和完善事故应急处置操作程序；</w:t>
            </w:r>
          </w:p>
          <w:p>
            <w:pPr>
              <w:pStyle w:val="40"/>
              <w:ind w:left="100" w:right="100"/>
            </w:pPr>
            <w:r>
              <w:rPr>
                <w:rFonts w:hint="eastAsia"/>
              </w:rPr>
              <w:t>每日进行防火巡查，每月定期开展防火检查。</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WS308-2019《医疗机构消防安全管理》第5.1.2条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消防水泵房及地下水池、消防系统全部机电设备未由专人负责监控，定期检查保养、维护及清洁清扫，并保存记录。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第2部分：安全生产通用要求》第3.7.13.5条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未建立危险化学品储存台账，在储存场所内未有温、湿度记录和安全检查记录。危险化学品出入储存场所时，未检验物品数量、包装等情况。</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DB11/755-2010《危险化学品仓库建设及储存安全规范》第4.5.3条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未对简单压力容器进行日常维护保养、定期自行检查，并记录存档。简单压力容器的安全阀未校验合格，压力表未检定合格，未保持铅封完好。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21-2016《固定式压力容器安全技术监察规程》第7.1.11条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热力站未定期开展日常巡检和维护保养工作，并做好记录。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437-2013《医院供热系统运行管理》第5.1.9条、第5.3.4.1条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应急救援类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医院未按要求编制应急救援预案、应急处置方案等或未及时、定期修订。</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bottom"/>
          </w:tcPr>
          <w:p>
            <w:pPr>
              <w:pStyle w:val="40"/>
              <w:ind w:left="100" w:right="100"/>
            </w:pPr>
            <w:r>
              <w:rPr>
                <w:rFonts w:hint="eastAsia"/>
              </w:rPr>
              <w:t>《生产安全事故应急条例》第五、六条</w:t>
            </w:r>
          </w:p>
          <w:p>
            <w:pPr>
              <w:pStyle w:val="40"/>
              <w:ind w:left="100" w:right="100"/>
            </w:pPr>
            <w:r>
              <w:rPr>
                <w:rFonts w:hint="eastAsia"/>
              </w:rPr>
              <w:t>《生产安全事故应急预案管理办法》第十三条到第十九条</w:t>
            </w:r>
          </w:p>
          <w:p>
            <w:pPr>
              <w:pStyle w:val="40"/>
              <w:ind w:left="100" w:right="100"/>
            </w:pPr>
            <w:r>
              <w:rPr>
                <w:rFonts w:hint="eastAsia"/>
              </w:rPr>
              <w:t>DB11/T 1322.2-2017《安全生产等级评定技术规范 第2部分：安全生产通用要求》第3.1.6.2.2条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医院未建立应急救援组织机构及专、兼职应急救援队伍。</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《中华人民共和国安全生产法》第八十五条</w:t>
            </w:r>
          </w:p>
          <w:p>
            <w:pPr>
              <w:pStyle w:val="40"/>
              <w:ind w:left="100" w:right="100"/>
            </w:pPr>
            <w:r>
              <w:rPr>
                <w:rFonts w:hint="eastAsia"/>
              </w:rPr>
              <w:t>《生产安全事故应急条例》第十、十一条</w:t>
            </w:r>
          </w:p>
          <w:p>
            <w:pPr>
              <w:pStyle w:val="40"/>
              <w:ind w:left="100" w:right="100"/>
            </w:pPr>
            <w:r>
              <w:rPr>
                <w:rFonts w:hint="eastAsia"/>
              </w:rPr>
              <w:t>《北京市生产经营单位安全生产主体责任规定》第三十条、第三十一条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未根据实际需求，配备应急设施和装备，储备应急物资，指定专人负责管理；未建立使用状况台账；未定期检测和维护，使其处于良好状态。</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《中华人民共和国安全生产法》第八十二条</w:t>
            </w:r>
          </w:p>
          <w:p>
            <w:pPr>
              <w:pStyle w:val="40"/>
              <w:ind w:left="100" w:right="100"/>
            </w:pPr>
            <w:r>
              <w:rPr>
                <w:rFonts w:hint="eastAsia"/>
              </w:rPr>
              <w:t>《生产安全事故应急预案管理办法》第三十八条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基础资料类</w:t>
            </w: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医院未按规定定期组织应急演练。</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《中华人民共和国安全生产法》第八十四条</w:t>
            </w:r>
          </w:p>
          <w:p>
            <w:pPr>
              <w:pStyle w:val="40"/>
              <w:ind w:left="100" w:right="100"/>
            </w:pPr>
            <w:r>
              <w:rPr>
                <w:rFonts w:hint="eastAsia"/>
              </w:rPr>
              <w:t>《生产安全事故应急条例》第六、八条</w:t>
            </w:r>
          </w:p>
          <w:p>
            <w:pPr>
              <w:pStyle w:val="40"/>
              <w:ind w:left="100" w:right="100"/>
            </w:pPr>
            <w:r>
              <w:rPr>
                <w:rFonts w:hint="eastAsia"/>
              </w:rPr>
              <w:t>《生产安全事故应急预案管理办法》第三十三、三十五、三十六条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相关方管理类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医院未与相关方签订专门的安全生产管理协议或在承包合同、租赁合同中明确各自的安全生产管理职责。</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《中华人民共和国安全生产法》第四十八、四十九条</w:t>
            </w:r>
          </w:p>
          <w:p>
            <w:pPr>
              <w:pStyle w:val="40"/>
              <w:ind w:left="100" w:right="100"/>
            </w:pPr>
            <w:r>
              <w:rPr>
                <w:rFonts w:hint="eastAsia"/>
              </w:rPr>
              <w:t>《北京市生产经营单位安全生产主体责任规定》第二十七条</w:t>
            </w:r>
          </w:p>
          <w:p>
            <w:pPr>
              <w:pStyle w:val="40"/>
              <w:ind w:left="100" w:right="100"/>
            </w:pPr>
            <w:r>
              <w:rPr>
                <w:rFonts w:hint="eastAsia"/>
              </w:rPr>
              <w:t>DB11/T 1322.2-2017《安全生产等级评定技术规范 第2部分：安全生产通用要求》第3.1.8条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其他</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未将特种设备安全检验合格标志及相关牌照和证书固定在设备现场显著位置。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《中华人民共和国特种设备安全法》第四十条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变配电室的操作票的使用未符合下列要求：</w:t>
            </w:r>
          </w:p>
          <w:p>
            <w:pPr>
              <w:pStyle w:val="40"/>
              <w:ind w:left="100" w:right="100"/>
            </w:pPr>
            <w:r>
              <w:rPr>
                <w:rFonts w:hint="eastAsia"/>
              </w:rPr>
              <w:t>a）操作票应使用统一的票面格式；</w:t>
            </w:r>
          </w:p>
          <w:p>
            <w:pPr>
              <w:pStyle w:val="40"/>
              <w:ind w:left="100" w:right="100"/>
            </w:pPr>
            <w:r>
              <w:rPr>
                <w:rFonts w:hint="eastAsia"/>
              </w:rPr>
              <w:t>b）操作票由操作人员填写，每张票填写一个操作任务；</w:t>
            </w:r>
          </w:p>
          <w:p>
            <w:pPr>
              <w:pStyle w:val="40"/>
              <w:ind w:left="100" w:right="100"/>
            </w:pPr>
            <w:r>
              <w:rPr>
                <w:rFonts w:hint="eastAsia"/>
              </w:rPr>
              <w:t>c）操作前应根据模拟图板（屏）或接线图核对所填写的操作项目，并经审核签名。</w:t>
            </w:r>
          </w:p>
          <w:p>
            <w:pPr>
              <w:pStyle w:val="40"/>
              <w:ind w:left="100" w:right="100"/>
            </w:pPr>
            <w:r>
              <w:rPr>
                <w:rFonts w:hint="eastAsia"/>
              </w:rPr>
              <w:t>d) 操作时应执行唱票和复诵，每操作完一步，应在操作项目前划“√”。操作执行结束，在最后一步下方加盖“已执行”章，章印不应掩压步骤项。作废操作票应在作废页“操作任务”栏内盖“作废”章，并在作废操作票首页“备注”栏内注明作废原因。</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DB11/527-2021《配电室安全管理规范》第7.2.2条、第7.2.3条、第7.2.4、第7.2.5条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变配电室的巡视检查未符合下列要求：</w:t>
            </w:r>
          </w:p>
          <w:p>
            <w:pPr>
              <w:pStyle w:val="40"/>
              <w:ind w:left="100" w:right="100"/>
            </w:pPr>
            <w:r>
              <w:rPr>
                <w:rFonts w:hint="eastAsia"/>
              </w:rPr>
              <w:t>a）有专人值班的变配电室每班未至少巡视检查1次；</w:t>
            </w:r>
          </w:p>
          <w:p>
            <w:pPr>
              <w:pStyle w:val="40"/>
              <w:ind w:left="100" w:right="100"/>
            </w:pPr>
            <w:r>
              <w:rPr>
                <w:rFonts w:hint="eastAsia"/>
              </w:rPr>
              <w:t>b）无专人值班的变配电室未根据电气运行环境、电气设备运行工况、负载等具体情况安排巡视检查，每周未至少1次。</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DB11/527-2021《配电室安全管理规范》第7.3.1条、第7.3.2条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废弃危险化学品未存放在专门的储存场所，并指定专人负责管理；废弃危险化学品未交由有危险废物处置资质的单位进行处置。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DB11/1578-2018《医疗机构危险化学品安全管理规范》第9.1、9.4条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物料类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采购未具有经营许可资质单位的危险化学品。</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《危险化学品安全管理条例》第三十七条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危险化学品未储存在专用的储存场所内。</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《危险化学品安全管理条例》第二十四条</w:t>
            </w:r>
          </w:p>
          <w:p>
            <w:pPr>
              <w:pStyle w:val="40"/>
              <w:ind w:left="100" w:right="100"/>
            </w:pPr>
            <w:r>
              <w:rPr>
                <w:rFonts w:hint="eastAsia"/>
              </w:rPr>
              <w:t>DB11/755-2010《危险化学品仓库建设及储存安全规范》第4.4.1条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未保留与储存、使用危险化学品种类相符的化学品安全标签和安全技术说明书。</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DB11/755-2010《危险化学品仓库建设及储存安全规范》第4.5.2条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随意更换危险化学品的储存包装，包括内包装和外包装；在危险化学品储存场所内对危险化学品进行分装、改装。</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《危险化学品安全管理条例》第十七条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设备设施及物料类</w:t>
            </w:r>
          </w:p>
        </w:tc>
        <w:tc>
          <w:tcPr>
            <w:tcW w:w="9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物料类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未按危险化学品的危险性质分区、分类、分柜（或分库）存放，禁忌类危险化学品混合存放。</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DB11/755-2010《危险化学品仓库建设及储存安全规范》第4.4.2条、第4.4.3条</w:t>
            </w:r>
          </w:p>
          <w:p>
            <w:pPr>
              <w:pStyle w:val="40"/>
              <w:ind w:left="100" w:right="100"/>
            </w:pPr>
            <w:r>
              <w:rPr>
                <w:rFonts w:hint="eastAsia"/>
              </w:rPr>
              <w:t>《危险化学品安全管理条例》第八十条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特种设备未办理使用登记，未按规定的周期进行检验。</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《中华人民共和国特种设备安全法》第三十三条、第四十条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未对在用特种设备至少每月进行1次自行检查，未保存检查记录。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《中华人民共和国特种设备安全法》第三十九条</w:t>
            </w:r>
          </w:p>
          <w:p>
            <w:pPr>
              <w:pStyle w:val="40"/>
              <w:ind w:left="100" w:right="100"/>
            </w:pPr>
            <w:r>
              <w:rPr>
                <w:rFonts w:hint="eastAsia"/>
              </w:rPr>
              <w:t>记录保存符合下列要求：</w:t>
            </w:r>
          </w:p>
          <w:p>
            <w:pPr>
              <w:pStyle w:val="40"/>
              <w:ind w:left="100" w:right="100"/>
            </w:pPr>
            <w:r>
              <w:rPr>
                <w:rFonts w:hint="eastAsia"/>
              </w:rPr>
              <w:t>a）锅炉、压力容器、压力管道的运行记录未齐全；</w:t>
            </w:r>
          </w:p>
          <w:p>
            <w:pPr>
              <w:pStyle w:val="40"/>
              <w:ind w:left="100" w:right="100"/>
            </w:pPr>
            <w:r>
              <w:rPr>
                <w:rFonts w:hint="eastAsia"/>
              </w:rPr>
              <w:t>b）电梯日常维保单位的相关检查记录齐全；</w:t>
            </w:r>
          </w:p>
          <w:p>
            <w:pPr>
              <w:pStyle w:val="40"/>
              <w:ind w:left="100" w:right="100"/>
            </w:pPr>
            <w:r>
              <w:rPr>
                <w:rFonts w:hint="eastAsia"/>
              </w:rPr>
              <w:t>c）场（厂）内专用机动车辆的日常点检、定期自检和日常维护保养等记录齐全。</w:t>
            </w:r>
          </w:p>
          <w:p>
            <w:pPr>
              <w:pStyle w:val="40"/>
              <w:ind w:left="100" w:right="100"/>
            </w:pPr>
            <w:r>
              <w:rPr>
                <w:rFonts w:hint="eastAsia"/>
              </w:rPr>
              <w:t>氧舱每月未至少进行1次维护保养，每年至少进行1次年度检查，并保存相关记录档案。</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特种设备的安全附件、安全保护装置未按要求定期校验检定、检修，并保存记录。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《中华人民共和国特种设备安全法》第三十九条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锅炉的安全附件和仪表未按规范要求安装与使用。</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TSG11-2020 《锅炉安全技术规程》第5部分</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设备设施的防护装置随意拆除、挪用或弃置不用；确因检维修拆除的，未采取临时安全措施，检维修完毕后未立即复原。</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33000-2016《企业安全生产标准化基本规范》第5.4.1.3条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供氧、用氧设备及其检修工具沾染油污。</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308-2009《医疗机构消防安全管理》第5.7.3条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采用管道供氧时，未经常检查氧气管道的接口、面罩等，并未保存相关记录。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308-2009《医疗机构消防安全管理》第5.7.5条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液氧贮罐未符合下列要求：</w:t>
            </w:r>
          </w:p>
          <w:p>
            <w:pPr>
              <w:pStyle w:val="40"/>
              <w:ind w:left="100" w:right="100"/>
            </w:pPr>
            <w:r>
              <w:rPr>
                <w:rFonts w:hint="eastAsia"/>
              </w:rPr>
              <w:t>a）单罐容积不应大于5</w:t>
            </w:r>
            <w:r>
              <w:t xml:space="preserve"> </w:t>
            </w:r>
            <w:r>
              <w:rPr>
                <w:rFonts w:hint="eastAsia"/>
              </w:rPr>
              <w:t>m3，总容积不宜大于20 m3；</w:t>
            </w:r>
            <w:r>
              <w:t xml:space="preserve"> </w:t>
            </w:r>
          </w:p>
          <w:p>
            <w:pPr>
              <w:pStyle w:val="40"/>
              <w:ind w:left="100" w:right="100"/>
            </w:pPr>
            <w:r>
              <w:rPr>
                <w:rFonts w:hint="eastAsia"/>
              </w:rPr>
              <w:t>b）相邻储罐之间的距离不应小于最大储罐直径的0.75倍。</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50016-2014《建筑设计防火规范》第4.3.4条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汇流排间阳光直射，地坪不平整、不耐磨、不防滑、受撞击会产生火花，且未有防倾倒的设施。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50751-2012《医用气体工程技术规范》第4.6.13条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汇流排间与医用空气压缩机、真空汇或医用分子筛制氧机设置在同一房间内。</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50751-2012《医用气体工程技术规范》第4.6.6条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汇流排间内气体贮量超过24 h用气量。</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50751-2012《医用气体工程技术规范》第4.6.13条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储存瓶装气体实瓶时，存放空间温度超过</w:t>
            </w:r>
            <w:r>
              <w:t>6</w:t>
            </w:r>
            <w:r>
              <w:rPr>
                <w:rFonts w:hint="eastAsia"/>
              </w:rPr>
              <w:t>0℃，且未采取喷淋等冷却措施。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空瓶与实瓶未分开放置，无明显标志。</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气瓶瓶阀、瓶帽、防震圈等安全附件不齐全、不完好，外观有明显机械损伤、变形及严重腐蚀。气瓶立放时未采取防止倾倒的措施或装置。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第2部分：安全生产通用要求》第3.3.2.5.3条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毒性气体实瓶和瓶内气体相互接触能引起燃烧、爆炸、产生毒物的实瓶，未分室存放，未在附近配备防毒用具和消防器材。储存易起聚合反应或者分解反应的瓶装气体时，未根据气体的性质控制存放空间的最高温度和规定储存期限。</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气瓶未有清晰、完整、无变形与气瓶连结牢固的具有唯一性的气瓶追溯标识。</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1530-2018《危险化学品气瓶追溯技术规范》第4.6条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气瓶未有制造标志和定期检验标志。</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23-2021《气瓶安全技术规程》第1.8.1条、第1.8.2条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气瓶的颜色标志、字样和色环未符合G</w:t>
            </w:r>
            <w:r>
              <w:t>B/T 7144</w:t>
            </w:r>
            <w:r>
              <w:rPr>
                <w:rFonts w:hint="eastAsia"/>
              </w:rPr>
              <w:t>《气瓶颜色标志》的规定，且气瓶的字显著部位未标注办理使用登记的气瓶充装单位名称或者简称。</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23-2021《气瓶安全技术规程》第1.8.</w:t>
            </w:r>
            <w:r>
              <w:t>1.3</w:t>
            </w:r>
            <w:r>
              <w:rPr>
                <w:rFonts w:hint="eastAsia"/>
              </w:rPr>
              <w:t>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气瓶保护附件未符合下列要求：</w:t>
            </w:r>
          </w:p>
          <w:p>
            <w:pPr>
              <w:pStyle w:val="40"/>
              <w:ind w:left="100" w:right="100"/>
            </w:pPr>
            <w:r>
              <w:rPr>
                <w:rFonts w:hint="eastAsia"/>
              </w:rPr>
              <w:t xml:space="preserve"> (1）无缝气瓶出厂时，应当装配不影响瓶阀手轮正常使用的保护罩，并且不得装配螺纹式瓶帽；</w:t>
            </w:r>
          </w:p>
          <w:p>
            <w:pPr>
              <w:pStyle w:val="40"/>
              <w:ind w:left="100" w:right="100"/>
            </w:pPr>
            <w:r>
              <w:rPr>
                <w:rFonts w:hint="eastAsia"/>
              </w:rPr>
              <w:t>(2）公称容积大于或者等于10L的钢质焊接气瓶（含溶解乙炔气瓶），应当装配不可拆卸的保护罩或者固定式瓶帽；</w:t>
            </w:r>
          </w:p>
          <w:p>
            <w:pPr>
              <w:pStyle w:val="40"/>
              <w:ind w:left="100" w:right="100"/>
            </w:pPr>
            <w:r>
              <w:rPr>
                <w:rFonts w:hint="eastAsia"/>
              </w:rPr>
              <w:t>(3）气瓶保护罩或者固定式瓶帽应当具有良好的抗撞击性，不得用铸铁制造；公称容积小于或者等于5L的钢质无缝气瓶和公称容积小于或者等于15L的铝合金无缝气瓶的保护罩，可以用工程塑料制造；</w:t>
            </w:r>
          </w:p>
          <w:p>
            <w:pPr>
              <w:pStyle w:val="40"/>
              <w:ind w:left="100" w:right="100"/>
            </w:pPr>
            <w:r>
              <w:rPr>
                <w:rFonts w:hint="eastAsia"/>
              </w:rPr>
              <w:t>(4）不能靠瓶底竖立的气瓶，应当装配底座（采用固定支架或者集装框架的气瓶除外），使气瓶能够稳定竖立，并且有效防止气瓶底部锈蚀；</w:t>
            </w:r>
          </w:p>
          <w:p>
            <w:pPr>
              <w:pStyle w:val="40"/>
              <w:ind w:left="100" w:right="100"/>
            </w:pPr>
            <w:r>
              <w:rPr>
                <w:rFonts w:hint="eastAsia"/>
              </w:rPr>
              <w:t>(5)5L以上的无缝气瓶应当装配颈圈，并且在颈圈上设置适当的电子识读标志。</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w:t>
            </w:r>
            <w:r>
              <w:t>7.3</w:t>
            </w:r>
            <w:r>
              <w:rPr>
                <w:rFonts w:hint="eastAsia"/>
              </w:rPr>
              <w:t>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气瓶的使用未遵循下列要求：</w:t>
            </w:r>
          </w:p>
          <w:p>
            <w:pPr>
              <w:pStyle w:val="40"/>
              <w:ind w:left="100" w:right="100"/>
            </w:pPr>
            <w:r>
              <w:rPr>
                <w:rFonts w:hint="eastAsia"/>
              </w:rPr>
              <w:t>a）不应将盛装气体的气瓶置于人员密集或者靠近热源的场所使用（车用瓶除外），不应使用任何热源对气瓶进行加热；</w:t>
            </w:r>
          </w:p>
          <w:p>
            <w:pPr>
              <w:pStyle w:val="40"/>
              <w:ind w:left="100" w:right="100"/>
            </w:pPr>
            <w:r>
              <w:rPr>
                <w:rFonts w:hint="eastAsia"/>
              </w:rPr>
              <w:t>b）应购买粘贴充装产品合格标签的瓶装气体，不应购买超期未检气瓶或者报废气瓶盛装的气体；</w:t>
            </w:r>
          </w:p>
          <w:p>
            <w:pPr>
              <w:pStyle w:val="40"/>
              <w:ind w:left="100" w:right="100"/>
            </w:pPr>
            <w:r>
              <w:rPr>
                <w:rFonts w:hint="eastAsia"/>
              </w:rPr>
              <w:t>c）在可能造成气体回流的使用场合，设备上应配置防止倒灌的装置，如单向阀、止回阀、缓冲罐等；瓶内气体不应用尽，压缩气体、溶解乙炔气气瓶的剩余压力应不小于0.05 MPa；液化气体、低温液化气体以及低温液体气瓶应留有不少于0.5% ～ 1.0%规定充量的剩余气体。</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未将电梯安全使用说明、安全注意事项和警示标志置于易于为乘客注意的显著位置。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《中华人民共和国特种设备安全法》第四十三条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未保证电梯轿内报警装置、对讲系统正常工作</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T5002-2017《电梯维护保养规则》第六条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紧急停止装置未设置在位于自动扶梯出入口附近、不明显并且不易于接近。紧急停止装置未为红色，未有清晰并且永久的中文标识。</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T7005-2012《电梯监督检验和定期检验规则—自动扶梯与自动人行道》附件A</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在自动扶梯的外盖板上未装设防爬装置。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T7005-2012《电梯监督检验和定期检验规则—自动扶梯与自动人行道》附件A</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在自动扶梯入口处未设置使用须知的标牌。</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T7005-2012《电梯监督检验和定期检验规则—自动扶梯与自动人行道》附件A</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医用空气加压氧舱未设置舱内外通讯对讲、应急呼叫等通讯装置；</w:t>
            </w:r>
          </w:p>
          <w:p>
            <w:pPr>
              <w:pStyle w:val="40"/>
              <w:ind w:left="100" w:right="100"/>
            </w:pPr>
            <w:r>
              <w:rPr>
                <w:rFonts w:hint="eastAsia"/>
              </w:rPr>
              <w:t>应急呼叫装置在控制台上未设置应急呼叫声光报警，并且声光报警信号不仅只能氧舱操作人员切断；</w:t>
            </w:r>
          </w:p>
          <w:p>
            <w:pPr>
              <w:pStyle w:val="40"/>
              <w:ind w:left="100" w:right="100"/>
            </w:pPr>
            <w:r>
              <w:rPr>
                <w:rFonts w:hint="eastAsia"/>
              </w:rPr>
              <w:t>各个舱室设置的通讯对讲装置与控制台之间，未具备不间断双工对讲通讯功能；</w:t>
            </w:r>
          </w:p>
          <w:p>
            <w:pPr>
              <w:pStyle w:val="40"/>
              <w:ind w:left="100" w:right="100"/>
            </w:pPr>
            <w:r>
              <w:rPr>
                <w:rFonts w:hint="eastAsia"/>
              </w:rPr>
              <w:t>通讯对讲装置在舱内设置了任何形式的开关，且允许使用无线通讯对讲装置。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24-2015《氧舱安全技术监察规程》第3.8条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医用空气加压氧舱配备的视频监控装置未设置在氧舱外部，并未与舱内有效隔绝和密封。</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24-2015《氧舱安全技术监察规程》第3.8条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医用氧气加压氧舱未设置人体导静电接地装置。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24-2015《氧舱安全技术监察规程》第3.8条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压力调节系统的设备与医用空气加压氧舱安装在同一房间内。</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24-2015《氧舱安全技术监察规程》第3.12条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医用空气加压氧舱设置的应急排放装置，其排气口未设置在室外。</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24-2015《氧舱安全技术监察规程》第3.12条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舱门未符合下列要求：</w:t>
            </w:r>
          </w:p>
          <w:p>
            <w:pPr>
              <w:pStyle w:val="40"/>
              <w:ind w:left="100" w:right="100"/>
            </w:pPr>
            <w:r>
              <w:rPr>
                <w:rFonts w:hint="eastAsia"/>
              </w:rPr>
              <w:t>a）舱门开启、关闭操作，应至少配置1套手动操作装置；</w:t>
            </w:r>
          </w:p>
          <w:p>
            <w:pPr>
              <w:pStyle w:val="40"/>
              <w:ind w:left="100" w:right="100"/>
            </w:pPr>
            <w:r>
              <w:rPr>
                <w:rFonts w:hint="eastAsia"/>
              </w:rPr>
              <w:t>b）舱门为快开式外开门时，应设置安全保护联锁装置。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24-2015《氧舱安全技术监察规程》第3.5.2条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设计有水喷淋消防系统的氧舱，每个舱室未设置独立的水喷淋控制装置，并不能够同时正常工作。水喷淋消防系统未在舱内、外均设置独立的控制阀门。</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24-2015《氧舱安全技术监察规程》第3.10条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left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采用防爆柜、防腐柜等专柜储存易燃易爆、腐蚀性危险化学品的，专柜未放置于阴凉干燥通风处，专柜未有进风口和排风口，且不直通到室外，柜体未进行可靠接地。</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第2部分：安全生产通用要求》第3.8.5.2条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消防设施和消防产品类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用气管道和用气设备的场所（含用餐场所、瓶组气化间、用气设备房间等），未设置可燃气体探测器，且可燃气体报警控制器未安装在有人值守的房间内，未定期检定校准。</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50028-2006《城镇燃气设计规范》第6.6.6条</w:t>
            </w:r>
          </w:p>
          <w:p>
            <w:pPr>
              <w:pStyle w:val="40"/>
              <w:ind w:left="100" w:right="100"/>
            </w:pPr>
            <w:r>
              <w:rPr>
                <w:rFonts w:hint="eastAsia"/>
              </w:rPr>
              <w:t>《安全生产法》第三十六条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污水处理站内未有必要的报警、捕消（中和）、抢救、计量、监测等装置，并未配备防毒面具等，保证污水处理设备安全运行和管理人员的安全。</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CECS 07-2004《医院污水处理设计规范》第8.0.4条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消火栓的设置未符合下列要求：</w:t>
            </w:r>
          </w:p>
          <w:p>
            <w:pPr>
              <w:pStyle w:val="40"/>
              <w:ind w:left="100" w:right="100"/>
            </w:pPr>
            <w:r>
              <w:rPr>
                <w:rFonts w:hint="eastAsia"/>
              </w:rPr>
              <w:t>a）下列建筑或场所未设置室内消火栓系统：</w:t>
            </w:r>
          </w:p>
          <w:p>
            <w:pPr>
              <w:pStyle w:val="40"/>
              <w:ind w:left="100" w:right="100"/>
            </w:pPr>
            <w:r>
              <w:rPr>
                <w:rFonts w:hint="eastAsia"/>
              </w:rPr>
              <w:t>1）高层公共建筑；</w:t>
            </w:r>
          </w:p>
          <w:p>
            <w:pPr>
              <w:pStyle w:val="40"/>
              <w:ind w:left="100" w:right="100"/>
            </w:pPr>
            <w:r>
              <w:rPr>
                <w:rFonts w:hint="eastAsia"/>
              </w:rPr>
              <w:t>2）体积大于5000 m3的单、多层医疗建筑。</w:t>
            </w:r>
          </w:p>
          <w:p>
            <w:pPr>
              <w:pStyle w:val="40"/>
              <w:ind w:left="100" w:right="100"/>
            </w:pPr>
            <w:r>
              <w:rPr>
                <w:rFonts w:hint="eastAsia"/>
              </w:rPr>
              <w:t>b）人员密集的公共建筑应设置消防软管卷盘或轻便消防水龙。</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50016-2014《建筑设计防火规范》第8.2.1条、第8.2.4条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消火栓的管理未符合下列要求：</w:t>
            </w:r>
          </w:p>
          <w:p>
            <w:pPr>
              <w:pStyle w:val="40"/>
              <w:ind w:left="100" w:right="100"/>
            </w:pPr>
            <w:r>
              <w:rPr>
                <w:rFonts w:hint="eastAsia"/>
              </w:rPr>
              <w:t>a）室内消火栓箱不应上锁，箱内设备应齐全、完好；</w:t>
            </w:r>
          </w:p>
          <w:p>
            <w:pPr>
              <w:pStyle w:val="40"/>
              <w:ind w:left="100" w:right="100"/>
            </w:pPr>
            <w:r>
              <w:rPr>
                <w:rFonts w:hint="eastAsia"/>
              </w:rPr>
              <w:t>b）栓箱应设置门锁或箱门关紧装置；设置门锁的栓箱，除箱门安装玻璃者以及能被击碎的透明材料外，均应设置箱门紧急开启的手动机构，应保证在没有钥匙的情况下开启灵活、可靠；</w:t>
            </w:r>
          </w:p>
          <w:p>
            <w:pPr>
              <w:pStyle w:val="40"/>
              <w:ind w:left="100" w:right="100"/>
            </w:pPr>
            <w:r>
              <w:rPr>
                <w:rFonts w:hint="eastAsia"/>
              </w:rPr>
              <w:t>c）物品的设置不应影响室内消火栓的正常使用；</w:t>
            </w:r>
          </w:p>
          <w:p>
            <w:pPr>
              <w:pStyle w:val="40"/>
              <w:ind w:left="100" w:right="100"/>
            </w:pPr>
            <w:r>
              <w:rPr>
                <w:rFonts w:hint="eastAsia"/>
              </w:rPr>
              <w:t>d）室内消火栓水带外观应完整无损、无腐蚀、无污染现象，与接头未绑扎牢固；消防水喉接口绑扎组件应完整、无渗漏现象，与接头绑扎牢固；</w:t>
            </w:r>
          </w:p>
          <w:p>
            <w:pPr>
              <w:pStyle w:val="40"/>
              <w:ind w:left="100" w:right="100"/>
            </w:pPr>
            <w:r>
              <w:rPr>
                <w:rFonts w:hint="eastAsia"/>
              </w:rPr>
              <w:t>e）室外消火栓不应填埋、圈占，距室外消火栓、水泵接合器2 m范围内不应设置影响其正常使用的障碍物；</w:t>
            </w:r>
          </w:p>
          <w:p>
            <w:pPr>
              <w:pStyle w:val="40"/>
              <w:ind w:left="100" w:right="100"/>
            </w:pPr>
            <w:r>
              <w:rPr>
                <w:rFonts w:hint="eastAsia"/>
              </w:rPr>
              <w:t>f）室外消火栓、阀门、消防水泵接合器等设置地点应设置相应的永久性固定标识；</w:t>
            </w:r>
          </w:p>
          <w:p>
            <w:pPr>
              <w:pStyle w:val="40"/>
              <w:ind w:left="100" w:right="100"/>
            </w:pPr>
            <w:r>
              <w:rPr>
                <w:rFonts w:hint="eastAsia"/>
              </w:rPr>
              <w:t>g）每季度应对消火栓进行1次外观和漏水检查，发现有不正常的消火栓应及时更换，并保存相关记录。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《中华人民共和国消防法》第二十八条</w:t>
            </w:r>
          </w:p>
          <w:p>
            <w:pPr>
              <w:pStyle w:val="40"/>
              <w:ind w:left="100" w:right="100"/>
            </w:pPr>
            <w:r>
              <w:rPr>
                <w:rFonts w:hint="eastAsia"/>
              </w:rPr>
              <w:t>GB 50974-2014《消防给水及消火栓系统技术规范》第14.0.7条、第14.0.12条</w:t>
            </w:r>
          </w:p>
          <w:p>
            <w:pPr>
              <w:pStyle w:val="40"/>
              <w:ind w:left="100" w:right="100"/>
            </w:pPr>
            <w:r>
              <w:rPr>
                <w:rFonts w:hint="eastAsia"/>
              </w:rPr>
              <w:t>GB/T 40248-2021《人员密集场所消防安全管理》第7.6.10条、第7.6.11条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8" w:hRule="atLeas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消防设施和消防产品类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灭火器的配置未符合下列要求：</w:t>
            </w:r>
          </w:p>
          <w:p>
            <w:pPr>
              <w:pStyle w:val="40"/>
              <w:ind w:left="100" w:right="100"/>
            </w:pPr>
            <w:r>
              <w:rPr>
                <w:rFonts w:hint="eastAsia"/>
              </w:rPr>
              <w:t>a）在同一灭火器配置场所，当选用两种或两种以上类型灭火器时，应采用灭火剂相容的灭火器；</w:t>
            </w:r>
          </w:p>
          <w:p>
            <w:pPr>
              <w:pStyle w:val="40"/>
              <w:ind w:left="100" w:right="100"/>
            </w:pPr>
            <w:r>
              <w:rPr>
                <w:rFonts w:hint="eastAsia"/>
              </w:rPr>
              <w:t>b）灭火器类型的选择应符合下列要求：</w:t>
            </w:r>
          </w:p>
          <w:p>
            <w:pPr>
              <w:pStyle w:val="40"/>
              <w:ind w:left="100" w:right="100"/>
            </w:pPr>
            <w:r>
              <w:rPr>
                <w:rFonts w:hint="eastAsia"/>
              </w:rPr>
              <w:t>——A类火灾（固体物质火灾）场所应选择水型灭火器、磷酸铵盐干粉灭火器、泡沫灭火器；</w:t>
            </w:r>
          </w:p>
          <w:p>
            <w:pPr>
              <w:pStyle w:val="40"/>
              <w:ind w:left="100" w:right="100"/>
            </w:pPr>
            <w:r>
              <w:rPr>
                <w:rFonts w:hint="eastAsia"/>
              </w:rPr>
              <w:t>——B类火灾（液体火灾或可熔化固体物质火灾）场所应选择泡沫灭火器、碳酸氢钠干粉灭火器、磷酸铵盐干粉灭火器、二氧化碳灭火器、B类火灾的水型灭火器。极性溶剂的B类火灾场所未选择B类火灾的抗溶性灭火器；</w:t>
            </w:r>
          </w:p>
          <w:p>
            <w:pPr>
              <w:pStyle w:val="40"/>
              <w:ind w:left="100" w:right="100"/>
            </w:pPr>
            <w:r>
              <w:rPr>
                <w:rFonts w:hint="eastAsia"/>
              </w:rPr>
              <w:t>——C类火灾（气体火灾）场所应选择磷酸铵盐干粉灭火器、碳酸氢钠干粉灭火器、二氧化碳灭火器；</w:t>
            </w:r>
          </w:p>
          <w:p>
            <w:pPr>
              <w:pStyle w:val="40"/>
              <w:ind w:left="100" w:right="100"/>
            </w:pPr>
            <w:r>
              <w:rPr>
                <w:rFonts w:hint="eastAsia"/>
              </w:rPr>
              <w:t>——E类火灾（物体带电燃烧的火灾）场所应选择磷酸铵盐干粉灭火器、碳酸氢钠干粉灭火器或二氧化碳灭火器，但不应选用装有金属喇叭喷筒的二氧化碳灭火器；</w:t>
            </w:r>
          </w:p>
          <w:p>
            <w:pPr>
              <w:pStyle w:val="40"/>
              <w:ind w:left="100" w:right="100"/>
            </w:pPr>
            <w:r>
              <w:rPr>
                <w:rFonts w:hint="eastAsia"/>
              </w:rPr>
              <w:t>——F类火灾（烹饪器具内的烹饪物火灾）场所应选择适用于F类的水基型灭火器等。</w:t>
            </w:r>
          </w:p>
          <w:p>
            <w:pPr>
              <w:pStyle w:val="40"/>
              <w:ind w:left="100" w:right="100"/>
            </w:pPr>
            <w:r>
              <w:rPr>
                <w:rFonts w:hint="eastAsia"/>
              </w:rPr>
              <w:t>c）灭火器的设置应保证配置场所的任一点都在灭火器设置点的保护范围内。最大保护距离应符合下列要求：</w:t>
            </w:r>
          </w:p>
          <w:p>
            <w:pPr>
              <w:pStyle w:val="40"/>
              <w:ind w:left="100" w:right="100"/>
            </w:pPr>
            <w:r>
              <w:rPr>
                <w:rFonts w:hint="eastAsia"/>
              </w:rPr>
              <w:t>——设置在A类火灾场所的灭火器，其最大保护距离应符合表H.3的规定；</w:t>
            </w:r>
          </w:p>
          <w:p>
            <w:pPr>
              <w:pStyle w:val="40"/>
              <w:ind w:left="100" w:right="100"/>
            </w:pPr>
            <w:r>
              <w:rPr>
                <w:rFonts w:hint="eastAsia"/>
              </w:rPr>
              <w:t>——设置在B、C类火灾场所的灭火器，其最大保护距离应符合表H.4的规定；</w:t>
            </w:r>
          </w:p>
          <w:p>
            <w:pPr>
              <w:pStyle w:val="40"/>
              <w:ind w:left="100" w:right="100"/>
            </w:pPr>
            <w:r>
              <w:rPr>
                <w:rFonts w:hint="eastAsia"/>
              </w:rPr>
              <w:t>——E类火灾场所的灭火器，其最大保护距离不应低于该场所内A类或B类火灾的规定；</w:t>
            </w:r>
          </w:p>
          <w:p>
            <w:pPr>
              <w:pStyle w:val="40"/>
              <w:ind w:left="100" w:right="100"/>
            </w:pPr>
            <w:r>
              <w:rPr>
                <w:rFonts w:hint="eastAsia"/>
              </w:rPr>
              <w:t>d）灭火器的配置的一般规定：1个计算单元内配置的灭火器数量不应少于2具，每个设置点的灭火器数量不宜多于5具。</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50140-2005《建筑灭火器配置设计规范》第4.1.3条、第4.2.1条～第4.2.3条、第4.2.5条、第5.2条、第6.1.1条、第6.1.2条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灭火器的现场管理未符合下列要求：</w:t>
            </w:r>
          </w:p>
          <w:p>
            <w:pPr>
              <w:pStyle w:val="40"/>
              <w:ind w:left="100" w:right="100"/>
            </w:pPr>
            <w:r>
              <w:rPr>
                <w:rFonts w:hint="eastAsia"/>
              </w:rPr>
              <w:t>a）灭火器材应定位存放，设在明显、便于取用的地点，存放点张贴标识，标明灭火器编号、类型、使用方法、责任人等，周围应无障碍物、遮栏、栓系等影响取用的现象。对有视线障碍的灭火器设置点，应设置指示其位置的发光标志；</w:t>
            </w:r>
          </w:p>
          <w:p>
            <w:pPr>
              <w:pStyle w:val="40"/>
              <w:ind w:left="100" w:right="100"/>
            </w:pPr>
            <w:r>
              <w:rPr>
                <w:rFonts w:hint="eastAsia"/>
              </w:rPr>
              <w:t>b）灭火器箱不应被遮挡、上锁或拴系，箱内应干燥清洁；</w:t>
            </w:r>
          </w:p>
          <w:p>
            <w:pPr>
              <w:pStyle w:val="40"/>
              <w:ind w:left="100" w:right="100"/>
            </w:pPr>
            <w:r>
              <w:rPr>
                <w:rFonts w:hint="eastAsia"/>
              </w:rPr>
              <w:t>c）嵌墙式灭火器箱及挂钩、托架的安装高度应满足手提式灭火器顶部离地面距离不大于1.50 m，底部离地面距离不小于0.08 m的规定；</w:t>
            </w:r>
          </w:p>
          <w:p>
            <w:pPr>
              <w:pStyle w:val="40"/>
              <w:ind w:left="100" w:right="100"/>
            </w:pPr>
            <w:r>
              <w:rPr>
                <w:rFonts w:hint="eastAsia"/>
              </w:rPr>
              <w:t>d）推车式灭火器不应设置在台阶上；</w:t>
            </w:r>
          </w:p>
          <w:p>
            <w:pPr>
              <w:pStyle w:val="40"/>
              <w:ind w:left="100" w:right="100"/>
            </w:pPr>
            <w:r>
              <w:rPr>
                <w:rFonts w:hint="eastAsia"/>
              </w:rPr>
              <w:t>e）设置在室外的灭火器应采取防湿、防寒、防晒等相应保护措施；当灭火器设置在潮湿性或腐蚀性的场所时，应采取防湿或防腐蚀措施。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50140-2005《建筑灭火器配置规范》第5.1.1条、第5.1.2条、第5.1.4条</w:t>
            </w:r>
          </w:p>
          <w:p>
            <w:pPr>
              <w:pStyle w:val="40"/>
              <w:ind w:left="100" w:right="100"/>
            </w:pPr>
            <w:r>
              <w:rPr>
                <w:rFonts w:hint="eastAsia"/>
              </w:rPr>
              <w:t>GB 50444-2008《建筑灭火器配置验收及检查规范》第3.1.3条、第3.2.2条、第3.2.7条、第3.3.1条、第3.4.3条、第3.4.4条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消防设施和消防产品类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灭火器的维修未符合下列规定：</w:t>
            </w:r>
          </w:p>
          <w:p>
            <w:pPr>
              <w:pStyle w:val="40"/>
              <w:ind w:left="100" w:right="100"/>
            </w:pPr>
            <w:r>
              <w:rPr>
                <w:rFonts w:hint="eastAsia"/>
              </w:rPr>
              <w:t>存在机械损伤、明显锈蚀、灭火剂泄漏、被开启使用过、超过维修周期或符合其他维修条件的应由具有资质的单位及时进行维修，并记录归档；</w:t>
            </w:r>
          </w:p>
          <w:p>
            <w:pPr>
              <w:pStyle w:val="40"/>
              <w:ind w:left="100" w:right="100"/>
            </w:pPr>
            <w:r>
              <w:rPr>
                <w:rFonts w:hint="eastAsia"/>
              </w:rPr>
              <w:t>正常情况下灭火器的维修周期应符合表H.5的规定。</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50444-2008《建筑灭火器配置验收及检查规范》第5.3.1条、第5.3.2条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灭火器的检查未符合下列要求：</w:t>
            </w:r>
          </w:p>
          <w:p>
            <w:pPr>
              <w:pStyle w:val="40"/>
              <w:ind w:left="100" w:right="100"/>
            </w:pPr>
            <w:r>
              <w:rPr>
                <w:rFonts w:hint="eastAsia"/>
              </w:rPr>
              <w:t>a）灭火器简体无明显的损伤、缺陷、锈蚀、泄漏；</w:t>
            </w:r>
          </w:p>
          <w:p>
            <w:pPr>
              <w:pStyle w:val="40"/>
              <w:ind w:left="100" w:right="100"/>
            </w:pPr>
            <w:r>
              <w:rPr>
                <w:rFonts w:hint="eastAsia"/>
              </w:rPr>
              <w:t>b）铅封、销闩等保险装置无损坏或遗失；</w:t>
            </w:r>
          </w:p>
          <w:p>
            <w:pPr>
              <w:pStyle w:val="40"/>
              <w:ind w:left="100" w:right="100"/>
            </w:pPr>
            <w:r>
              <w:rPr>
                <w:rFonts w:hint="eastAsia"/>
              </w:rPr>
              <w:t>c）喷射软管完好，无明显龟裂，喷嘴不堵塞；</w:t>
            </w:r>
          </w:p>
          <w:p>
            <w:pPr>
              <w:pStyle w:val="40"/>
              <w:ind w:left="100" w:right="100"/>
            </w:pPr>
            <w:r>
              <w:rPr>
                <w:rFonts w:hint="eastAsia"/>
              </w:rPr>
              <w:t>d）灭火器的驱动气体压力在工作压力范围内，其中贮压式灭火器压力显示应在绿区内；</w:t>
            </w:r>
          </w:p>
          <w:p>
            <w:pPr>
              <w:pStyle w:val="40"/>
              <w:ind w:left="100" w:right="100"/>
            </w:pPr>
            <w:r>
              <w:rPr>
                <w:rFonts w:hint="eastAsia"/>
              </w:rPr>
              <w:t>e）大型医疗设备及操作间配备专用灭火器。</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第2部分：安全生产通用要求》第3.7.4.2条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消防应急照明灯的设置未符合下列要求：</w:t>
            </w:r>
          </w:p>
          <w:p>
            <w:pPr>
              <w:pStyle w:val="40"/>
              <w:ind w:left="100" w:right="100"/>
            </w:pPr>
            <w:r>
              <w:rPr>
                <w:rFonts w:hint="eastAsia"/>
              </w:rPr>
              <w:t>a）疏散照明灯具应设置在出口的顶部、墙面的上部或顶棚上；</w:t>
            </w:r>
          </w:p>
          <w:p>
            <w:pPr>
              <w:pStyle w:val="40"/>
              <w:ind w:left="100" w:right="100"/>
            </w:pPr>
            <w:r>
              <w:rPr>
                <w:rFonts w:hint="eastAsia"/>
              </w:rPr>
              <w:t>b）备用照明灯具应设置在墙面的上部或顶棚上。</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50016-2014《建筑设计防火规范》第10.3.4条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疏散走道及楼梯间未设应急照明。</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51039-2014《综合医院建筑设计规范》第5.24.4条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消防设施和消防产品类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消防给水系统未符合下列要求：</w:t>
            </w:r>
          </w:p>
          <w:p>
            <w:pPr>
              <w:pStyle w:val="40"/>
              <w:ind w:left="100" w:right="100"/>
            </w:pPr>
            <w:r>
              <w:rPr>
                <w:rFonts w:hint="eastAsia"/>
              </w:rPr>
              <w:t>a）冬季结冰地区的消防水池、水塔等应采取防冻措施；</w:t>
            </w:r>
          </w:p>
          <w:p>
            <w:pPr>
              <w:pStyle w:val="40"/>
              <w:ind w:left="100" w:right="100"/>
            </w:pPr>
            <w:r>
              <w:rPr>
                <w:rFonts w:hint="eastAsia"/>
              </w:rPr>
              <w:t>b）每年应检查消防水池、消防水箱等蓄水设施的结构材料的完好性，并保存记录；</w:t>
            </w:r>
          </w:p>
          <w:p>
            <w:pPr>
              <w:pStyle w:val="40"/>
              <w:ind w:left="100" w:right="100"/>
            </w:pPr>
            <w:r>
              <w:rPr>
                <w:rFonts w:hint="eastAsia"/>
              </w:rPr>
              <w:t>c）消防水池应设有下列设施：</w:t>
            </w:r>
          </w:p>
          <w:p>
            <w:pPr>
              <w:pStyle w:val="40"/>
              <w:ind w:left="100" w:right="100"/>
            </w:pPr>
            <w:r>
              <w:rPr>
                <w:rFonts w:hint="eastAsia"/>
              </w:rPr>
              <w:t>1）消防水池出水管应能保证水池的有效容积能被全部利用；</w:t>
            </w:r>
          </w:p>
          <w:p>
            <w:pPr>
              <w:pStyle w:val="40"/>
              <w:ind w:left="100" w:right="100"/>
            </w:pPr>
            <w:r>
              <w:rPr>
                <w:rFonts w:hint="eastAsia"/>
              </w:rPr>
              <w:t>2）消防水池应设置就地水位显示装置，并应在消防控制中心等地设显示消防水池水位的装置，同时应有最高和最低报警水位；</w:t>
            </w:r>
          </w:p>
          <w:p>
            <w:pPr>
              <w:pStyle w:val="40"/>
              <w:ind w:left="100" w:right="100"/>
            </w:pPr>
            <w:r>
              <w:rPr>
                <w:rFonts w:hint="eastAsia"/>
              </w:rPr>
              <w:t>3）消防水池应设置溢流水管和排水设施，并应采用间接排水；</w:t>
            </w:r>
          </w:p>
          <w:p>
            <w:pPr>
              <w:pStyle w:val="40"/>
              <w:ind w:left="100" w:right="100"/>
            </w:pPr>
            <w:r>
              <w:rPr>
                <w:rFonts w:hint="eastAsia"/>
              </w:rPr>
              <w:t>4）消防水池应设置通气管；</w:t>
            </w:r>
          </w:p>
          <w:p>
            <w:pPr>
              <w:pStyle w:val="40"/>
              <w:ind w:left="100" w:right="100"/>
            </w:pPr>
            <w:r>
              <w:rPr>
                <w:rFonts w:hint="eastAsia"/>
              </w:rPr>
              <w:t>5）消防水池通气管、呼吸管和溢流水管等应有防止虫鼠等进入消防水池的技术措施。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50974-2014《消防给水及消火栓系统技术规范》第4.1.5条、第4.3.9条、第4.3.10条、第14.0.10条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除另有规定和不宜用水保护或灭火的场所外，任一层建筑面积大于1500 m2或总建筑面积大于3000 m2的病房楼、门诊楼和手术部未设置自动灭火系统，并未采用自动喷水灭火系统。</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50016-2014《建筑设计防火规范》第8.3.4条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综合医院的贵重设备用房、病案室和信息中心（网络）机房未设置气体灭火装置。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50016-2014《建筑设计防火规范》第8.3.9条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防烟和排烟系统的配置不符合法规、国家标准、行业标准的要求，未确保</w:t>
            </w:r>
            <w:r>
              <w:rPr>
                <w:rFonts w:hint="eastAsia"/>
                <w:lang w:eastAsia="zh-Hans"/>
              </w:rPr>
              <w:t>其</w:t>
            </w:r>
            <w:r>
              <w:rPr>
                <w:rFonts w:hint="eastAsia"/>
              </w:rPr>
              <w:t>完好有效。</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55036-2022 《消防设施通用规范》第1</w:t>
            </w:r>
            <w:r>
              <w:t>1</w:t>
            </w:r>
            <w:r>
              <w:rPr>
                <w:rFonts w:hint="eastAsia"/>
              </w:rPr>
              <w:t>部分</w:t>
            </w:r>
          </w:p>
          <w:p>
            <w:pPr>
              <w:pStyle w:val="40"/>
              <w:ind w:left="100" w:right="100"/>
            </w:pPr>
            <w:r>
              <w:rPr>
                <w:rFonts w:hint="eastAsia"/>
              </w:rPr>
              <w:t>GB 50016-2014《建筑设计防火规范》第8.5.1条、第8.5.3条、第8.5.4条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消防设施和消防产品类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火灾自动报警系统的配置不符合法规、国家标准、行业标准的要求，未确保</w:t>
            </w:r>
            <w:r>
              <w:rPr>
                <w:rFonts w:hint="eastAsia"/>
                <w:lang w:eastAsia="zh-Hans"/>
              </w:rPr>
              <w:t>其</w:t>
            </w:r>
            <w:r>
              <w:rPr>
                <w:rFonts w:hint="eastAsia"/>
              </w:rPr>
              <w:t>完好有效。</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55036-2022 《消防设施通用规范》第1</w:t>
            </w:r>
            <w:r>
              <w:t>2</w:t>
            </w:r>
            <w:r>
              <w:rPr>
                <w:rFonts w:hint="eastAsia"/>
              </w:rPr>
              <w:t>部分</w:t>
            </w:r>
          </w:p>
          <w:p>
            <w:pPr>
              <w:pStyle w:val="40"/>
              <w:ind w:left="100" w:right="100"/>
            </w:pPr>
            <w:r>
              <w:rPr>
                <w:rFonts w:hint="eastAsia"/>
              </w:rPr>
              <w:t>GB 50016-2014《建筑设计防火规范》第8.4.1条、第8.4.3条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设置报警系统的公共区域未设置消防应急广播系统。</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51039-2014《综合医院建筑设计规范》第9.2.8条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消防控制室未符合下列要求：</w:t>
            </w:r>
          </w:p>
          <w:p>
            <w:pPr>
              <w:pStyle w:val="40"/>
              <w:ind w:left="100" w:right="100"/>
            </w:pPr>
            <w:r>
              <w:rPr>
                <w:rFonts w:hint="eastAsia"/>
              </w:rPr>
              <w:t>a）应采取防水淹的技术措施；</w:t>
            </w:r>
          </w:p>
          <w:p>
            <w:pPr>
              <w:pStyle w:val="40"/>
              <w:ind w:left="100" w:right="100"/>
            </w:pPr>
            <w:r>
              <w:rPr>
                <w:rFonts w:hint="eastAsia"/>
              </w:rPr>
              <w:t>b）应确保火灾自动报警系统、灭火系统和其他联动控制设备处于正常工作状态，不应将应处于自动状态的设在手动状态；</w:t>
            </w:r>
          </w:p>
          <w:p>
            <w:pPr>
              <w:pStyle w:val="40"/>
              <w:ind w:left="100" w:right="100"/>
            </w:pPr>
            <w:r>
              <w:rPr>
                <w:rFonts w:hint="eastAsia"/>
              </w:rPr>
              <w:t>c）确保高位消防水箱、消防水池、气压水罐等消防储水设施水量充足，确保消防泵出水管阀门、自动喷水灭火系统管道上的阀门常开；消防水泵、防排烟风机、防火卷帘等消防用电设备的配电柜开关应处于自动位置（通电状态）；</w:t>
            </w:r>
          </w:p>
          <w:p>
            <w:pPr>
              <w:pStyle w:val="40"/>
              <w:ind w:left="100" w:right="100"/>
            </w:pPr>
            <w:r>
              <w:rPr>
                <w:rFonts w:hint="eastAsia"/>
              </w:rPr>
              <w:t>d）不应有与消防控制室无关的电气线路和管路穿过；</w:t>
            </w:r>
          </w:p>
          <w:p>
            <w:pPr>
              <w:pStyle w:val="40"/>
              <w:ind w:left="100" w:right="100"/>
            </w:pPr>
            <w:r>
              <w:rPr>
                <w:rFonts w:hint="eastAsia"/>
              </w:rPr>
              <w:t>e）应设置可直接报警的外线电话。</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50016-2014《建筑设计防火规范》第8.1.8条</w:t>
            </w:r>
          </w:p>
          <w:p>
            <w:pPr>
              <w:pStyle w:val="40"/>
              <w:ind w:left="100" w:right="100"/>
            </w:pPr>
            <w:r>
              <w:rPr>
                <w:rFonts w:hint="eastAsia"/>
              </w:rPr>
              <w:t>GB 25506-2010《消防控制室通用技术要求》第4.2.1条</w:t>
            </w:r>
          </w:p>
          <w:p>
            <w:pPr>
              <w:pStyle w:val="40"/>
              <w:ind w:left="100" w:right="100"/>
            </w:pPr>
            <w:r>
              <w:rPr>
                <w:rFonts w:hint="eastAsia"/>
              </w:rPr>
              <w:t>GB 50116-2013《火灾自动报警系统设计规范》第3.4.3条、第3.4.6条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消防设施和消防产品类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消防控制室未保存下列资料：</w:t>
            </w:r>
          </w:p>
          <w:p>
            <w:pPr>
              <w:pStyle w:val="40"/>
              <w:ind w:left="100" w:right="100"/>
            </w:pPr>
            <w:r>
              <w:rPr>
                <w:rFonts w:hint="eastAsia"/>
              </w:rPr>
              <w:t>a）建（构）筑物竣工后的总平面布局图、建筑消防设施平面布置图、建筑消防设施系统图及安全出口布置图、重点部位位置图等；</w:t>
            </w:r>
          </w:p>
          <w:p>
            <w:pPr>
              <w:pStyle w:val="40"/>
              <w:ind w:left="100" w:right="100"/>
            </w:pPr>
            <w:r>
              <w:rPr>
                <w:rFonts w:hint="eastAsia"/>
              </w:rPr>
              <w:t>b）消防安全管理规章制度、应急灭火预案、应急疏散预案等；</w:t>
            </w:r>
          </w:p>
          <w:p>
            <w:pPr>
              <w:pStyle w:val="40"/>
              <w:ind w:left="100" w:right="100"/>
            </w:pPr>
            <w:r>
              <w:rPr>
                <w:rFonts w:hint="eastAsia"/>
              </w:rPr>
              <w:t>c）消防安全组织结构图，包括消防安全责任人、管理人、专职、义务消防人员等内容；</w:t>
            </w:r>
          </w:p>
          <w:p>
            <w:pPr>
              <w:pStyle w:val="40"/>
              <w:ind w:left="100" w:right="100"/>
            </w:pPr>
            <w:r>
              <w:rPr>
                <w:rFonts w:hint="eastAsia"/>
              </w:rPr>
              <w:t>d）消防安全培训记录、灭火和应急疏散预案的演练记录；</w:t>
            </w:r>
          </w:p>
          <w:p>
            <w:pPr>
              <w:pStyle w:val="40"/>
              <w:ind w:left="100" w:right="100"/>
            </w:pPr>
            <w:r>
              <w:rPr>
                <w:rFonts w:hint="eastAsia"/>
              </w:rPr>
              <w:t>e）值班情况、消防安全检查情况及巡查情况的记录；</w:t>
            </w:r>
          </w:p>
          <w:p>
            <w:pPr>
              <w:pStyle w:val="40"/>
              <w:ind w:left="100" w:right="100"/>
            </w:pPr>
            <w:r>
              <w:rPr>
                <w:rFonts w:hint="eastAsia"/>
              </w:rPr>
              <w:t>f）消防设施一览表，包括消防设施的类型、数量、状态等内容；</w:t>
            </w:r>
          </w:p>
          <w:p>
            <w:pPr>
              <w:pStyle w:val="40"/>
              <w:ind w:left="100" w:right="100"/>
            </w:pPr>
            <w:r>
              <w:rPr>
                <w:rFonts w:hint="eastAsia"/>
              </w:rPr>
              <w:t>g）消防系统控制逻辑关系说明、设备使用说明书、系统操作规程、系统和设备维护保养制度等；</w:t>
            </w:r>
          </w:p>
          <w:p>
            <w:pPr>
              <w:pStyle w:val="40"/>
              <w:ind w:left="100" w:right="100"/>
            </w:pPr>
            <w:r>
              <w:rPr>
                <w:rFonts w:hint="eastAsia"/>
              </w:rPr>
              <w:t>h）设备运行状况、接报警记录、火灾处理情况、设备检修检测报告等资料。</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25506-2010《消防控制室通用技术要求》第4.1条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消防控制室未有直通室外的出口，控制室的入口处未设置明显的标志。</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308-2019《医疗机构消防安全管理》第5.13.2条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辅助系统设备设施类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热力站内管道、阀门及管道保温外壳未有明显的标识，标注供热部门和表示介质流动方向的箭头。</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437-2013《医院供热系统运行管理》第5.1.8条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热力站内管道及附件有泄漏。</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437-2013《医院供热系统运行管理》第5.3.1.3条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燃气引入管敷设在卫生间、易燃品仓库、发电间、变配电室、不使用燃气的空调机房、通风机房、电缆沟、暖气沟、烟道和进风道、垃圾道等地方，或在室内地面下水平敷设。</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50028-2006 《城镇燃气设计规范》（2020年版）第10.2.14条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 xml:space="preserve">燃气管道上未设放散管，放散管排出高度未高出屋脊（或平屋顶）2 m以上，并未采取防止雨雪进入管道和放散物进入房间的措施。 </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50041-2008《锅炉房设计规范》第13.3.4条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当燃气金属管道螺纹连接的弯头、阀门、法兰盘等连接处的电阻值大于0.03 Ω或设计有要求时，连接处未用金属线跨接。</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QX/T 109-2009《城镇燃气防雷技术规范》6.5.2条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未依据国家公布的设备性能标准淘汰落后的电气设备。</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《中华人民共和国安全生产法》第三十八条</w:t>
            </w:r>
          </w:p>
          <w:p>
            <w:pPr>
              <w:pStyle w:val="40"/>
              <w:ind w:left="100" w:right="100"/>
            </w:pPr>
            <w:r>
              <w:rPr>
                <w:rFonts w:hint="eastAsia"/>
              </w:rPr>
              <w:t>DB11/527-2021《配电室安全管理规范》第5.1.3条</w:t>
            </w:r>
          </w:p>
          <w:p>
            <w:pPr>
              <w:pStyle w:val="40"/>
              <w:ind w:left="100" w:right="100"/>
            </w:pPr>
            <w:r>
              <w:rPr>
                <w:rFonts w:hint="eastAsia"/>
              </w:rPr>
              <w:t>DB11/1134-2014《高压电力用户安全用电规范》第7.2.5条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辅助系统设备设施类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高压配电装置未采用具有以下五防功能的金属封闭开关设备：</w:t>
            </w:r>
          </w:p>
          <w:p>
            <w:pPr>
              <w:pStyle w:val="40"/>
              <w:ind w:left="100" w:right="100"/>
            </w:pPr>
            <w:r>
              <w:rPr>
                <w:rFonts w:hint="eastAsia"/>
              </w:rPr>
              <w:t>——防止误分、误合断路器；</w:t>
            </w:r>
          </w:p>
          <w:p>
            <w:pPr>
              <w:pStyle w:val="40"/>
              <w:ind w:left="100" w:right="100"/>
            </w:pPr>
            <w:r>
              <w:rPr>
                <w:rFonts w:hint="eastAsia"/>
              </w:rPr>
              <w:t>——防止带负荷分、合隔离开关或带负荷推入、拉出铠装移开式开关柜手车；</w:t>
            </w:r>
          </w:p>
          <w:p>
            <w:pPr>
              <w:pStyle w:val="40"/>
              <w:ind w:left="100" w:right="100"/>
            </w:pPr>
            <w:r>
              <w:rPr>
                <w:rFonts w:hint="eastAsia"/>
              </w:rPr>
              <w:t>——防止带电挂接地线或合接地刀闸；</w:t>
            </w:r>
          </w:p>
          <w:p>
            <w:pPr>
              <w:pStyle w:val="40"/>
              <w:ind w:left="100" w:right="100"/>
            </w:pPr>
            <w:r>
              <w:rPr>
                <w:rFonts w:hint="eastAsia"/>
              </w:rPr>
              <w:t>——防止带接地线合断路器或隔离开关；</w:t>
            </w:r>
          </w:p>
          <w:p>
            <w:pPr>
              <w:pStyle w:val="40"/>
              <w:ind w:left="100" w:right="100"/>
            </w:pPr>
            <w:r>
              <w:rPr>
                <w:rFonts w:hint="eastAsia"/>
              </w:rPr>
              <w:t>——防止误入带电间隔。</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DB11/527-2021《配电室安全管理规范》第5.1.1条</w:t>
            </w:r>
          </w:p>
          <w:p>
            <w:pPr>
              <w:pStyle w:val="40"/>
              <w:ind w:left="100" w:right="100"/>
            </w:pPr>
            <w:r>
              <w:rPr>
                <w:rFonts w:hint="eastAsia"/>
              </w:rPr>
              <w:t>GB 50060-2008《3-110kV高压配电装置设计规范》第2.0.10条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新建或改造的配电室低压成套开关设备未使用具有3C认证的产品。</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《中华人民共和国认证认可条例》第三十条</w:t>
            </w:r>
          </w:p>
          <w:p>
            <w:pPr>
              <w:pStyle w:val="40"/>
              <w:ind w:left="100" w:right="100"/>
            </w:pPr>
            <w:r>
              <w:rPr>
                <w:rFonts w:hint="eastAsia"/>
              </w:rPr>
              <w:t>DB11/527-2021《配电室安全管理规范》第4.1.2条</w:t>
            </w:r>
          </w:p>
          <w:p>
            <w:pPr>
              <w:pStyle w:val="40"/>
              <w:ind w:left="100" w:right="100"/>
            </w:pPr>
            <w:r>
              <w:rPr>
                <w:rFonts w:hint="eastAsia"/>
              </w:rPr>
              <w:t>DB11/065-2010《电气防火检测技术规范》第3.2条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配电室的安全工器具未妥善保管，未存放在干燥通风的场所，不允许当作其他工具使用，且不合格的安全工器具存放在工作现场。部分安全工器具的保管还未符合下列要求：</w:t>
            </w:r>
          </w:p>
          <w:p>
            <w:pPr>
              <w:pStyle w:val="40"/>
              <w:ind w:left="100" w:right="100"/>
            </w:pPr>
            <w:r>
              <w:rPr>
                <w:rFonts w:hint="eastAsia"/>
              </w:rPr>
              <w:t>a）绝缘杆应悬挂或架在专用支架上，不应与墙或地面接触；</w:t>
            </w:r>
          </w:p>
          <w:p>
            <w:pPr>
              <w:pStyle w:val="40"/>
              <w:ind w:left="100" w:right="100"/>
            </w:pPr>
            <w:r>
              <w:rPr>
                <w:rFonts w:hint="eastAsia"/>
              </w:rPr>
              <w:t>b）绝缘手套、绝缘靴应与其他工具仪表分开存放，避免直接碰触尖锐物体；</w:t>
            </w:r>
          </w:p>
          <w:p>
            <w:pPr>
              <w:pStyle w:val="40"/>
              <w:ind w:left="100" w:right="100"/>
            </w:pPr>
            <w:r>
              <w:rPr>
                <w:rFonts w:hint="eastAsia"/>
              </w:rPr>
              <w:t>c）高压验电器应存放在防潮的匣内或专用袋内。</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DB11/527-2021《配电室安全管理规范》第6.1.3条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安全工器具的试验要求未符合以下标准：</w:t>
            </w:r>
          </w:p>
          <w:p>
            <w:pPr>
              <w:pStyle w:val="40"/>
              <w:ind w:left="100" w:right="100"/>
            </w:pPr>
            <w:r>
              <w:rPr>
                <w:rFonts w:hint="eastAsia"/>
              </w:rPr>
              <w:t>a) 绝缘安全工器具应按 GB 26860 的试验项目和周期等要求，进行首次使用前和使用中定期的试验，合格后方可使用；</w:t>
            </w:r>
          </w:p>
          <w:p>
            <w:pPr>
              <w:pStyle w:val="40"/>
              <w:ind w:left="100" w:right="100"/>
            </w:pPr>
            <w:r>
              <w:rPr>
                <w:rFonts w:hint="eastAsia"/>
              </w:rPr>
              <w:t>b) 安全带、安全绳、梯子等坠落防护装备的使用期限和检测要求应符合 GB/T 23468 的要求。</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DB11/527-2021《配电室安全管理规范》第7.4.5条</w:t>
            </w:r>
          </w:p>
          <w:p>
            <w:pPr>
              <w:pStyle w:val="40"/>
              <w:ind w:left="100" w:right="100"/>
            </w:pPr>
            <w:r>
              <w:rPr>
                <w:rFonts w:hint="eastAsia"/>
              </w:rPr>
              <w:t>DB11/1134-2014《高压电力用户安全用电规范》第9.7.2条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 DL/T 596 的试验项目和周期要求，进行电气设备的预防性试验。</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DB11/527-2021《配电室安全管理规范》第7.4.2条</w:t>
            </w:r>
          </w:p>
          <w:p>
            <w:pPr>
              <w:pStyle w:val="40"/>
              <w:ind w:left="100" w:right="100"/>
            </w:pPr>
            <w:r>
              <w:rPr>
                <w:rFonts w:hint="eastAsia"/>
              </w:rPr>
              <w:t>DB11/1134-2014《高压电力用户安全用电规范》第11.1.2条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未根据设备污秽情况、运行工况、负荷重要程度及负荷运行情况等安排设备清扫检查工作。一般情况下至少每年1次。</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DB11/527-2021《配电室安全管理规范》第7.4.7条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使用柴、汽油发电机作为自备应急电源的医院，未定期对柴、汽发电机进行安全检查、预防性试验、启机试验和切换装置的切换试验，并未做好记录。</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DB11/527-2021《配电室安全管理规范》第5.3.1条</w:t>
            </w:r>
          </w:p>
          <w:p>
            <w:pPr>
              <w:pStyle w:val="40"/>
              <w:ind w:left="100" w:right="100"/>
            </w:pPr>
            <w:r>
              <w:rPr>
                <w:rFonts w:hint="eastAsia"/>
              </w:rPr>
              <w:t>DB11/1134-2014《高压电力用户安全用电规范》第8.4.1条</w:t>
            </w:r>
          </w:p>
          <w:p>
            <w:pPr>
              <w:pStyle w:val="40"/>
              <w:ind w:left="100" w:right="100"/>
            </w:pPr>
            <w:r>
              <w:rPr>
                <w:rFonts w:hint="eastAsia"/>
              </w:rPr>
              <w:t>GB/T 29328-2018《重要电力用户供电电源及自备应急电源配置技术规范》第7.4.1条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辅助系统设备设施类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当配电室设置在地下时，应采取防水措施。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DB11/527-2021《电室安全管理规范》第6.3.11条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系统布线的敷设，未避免因环境温度、外部热源、浸水、灰尘聚集及腐蚀性或污染物质等外部影响对布线系统带来的损害，并未防止在敷设和使用过程中因受撞击、振动、电线或电缆自重和建筑物的变形等各种机械应力作用而带来的损害。</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JGJ 16-2008《民用建筑电气设计规范》第8.1.8条</w:t>
            </w:r>
          </w:p>
          <w:p>
            <w:pPr>
              <w:pStyle w:val="40"/>
              <w:ind w:left="100" w:right="100"/>
            </w:pPr>
            <w:r>
              <w:rPr>
                <w:rFonts w:hint="eastAsia"/>
              </w:rPr>
              <w:t>GB 50054-2011《低压配电设计规范》第7.1.5条1款</w:t>
            </w:r>
          </w:p>
          <w:p>
            <w:pPr>
              <w:pStyle w:val="40"/>
              <w:ind w:left="100" w:right="100"/>
            </w:pPr>
            <w:r>
              <w:rPr>
                <w:rFonts w:hint="eastAsia"/>
              </w:rPr>
              <w:t>GB 50575-2010《1kV及以下配线工程施工与验收规范》第3.0.5条6款</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正常环境的屋内场所除建筑物顶棚及地沟内外，采用直敷布线时，不符合下列要求：</w:t>
            </w:r>
          </w:p>
          <w:p>
            <w:pPr>
              <w:pStyle w:val="40"/>
              <w:ind w:left="100" w:right="100"/>
            </w:pPr>
            <w:r>
              <w:rPr>
                <w:rFonts w:hint="eastAsia"/>
              </w:rPr>
              <w:t>a）直敷布线应采用护套绝缘导线，且护套绝缘导线至地面的最小距离应符合表G.4的规定；</w:t>
            </w:r>
          </w:p>
          <w:p>
            <w:pPr>
              <w:pStyle w:val="40"/>
              <w:ind w:left="100" w:right="100"/>
            </w:pPr>
            <w:r>
              <w:rPr>
                <w:rFonts w:hint="eastAsia"/>
              </w:rPr>
              <w:t>b）当导线水平敷设至地面的距离小于2.5 m，垂直敷设至地面低于1.8 m的部分应穿管保护；</w:t>
            </w:r>
          </w:p>
          <w:p>
            <w:pPr>
              <w:pStyle w:val="40"/>
              <w:ind w:left="100" w:right="100"/>
            </w:pPr>
            <w:r>
              <w:rPr>
                <w:rFonts w:hint="eastAsia"/>
              </w:rPr>
              <w:t>c）导线与接地导体及不发热的管道紧贴交叉时，应用绝缘管保护；敷设在易受机械损伤的场所应用钢管保护；</w:t>
            </w:r>
          </w:p>
          <w:p>
            <w:pPr>
              <w:pStyle w:val="40"/>
              <w:ind w:left="100" w:right="100"/>
            </w:pPr>
            <w:r>
              <w:rPr>
                <w:rFonts w:hint="eastAsia"/>
              </w:rPr>
              <w:t>d）导线不应直接敷设在建筑物顶棚内。</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50575-2010《1kV及以下配线工程施工与验收规范》第5.5.1条、第5.5.4条、第5.5.5条</w:t>
            </w:r>
          </w:p>
          <w:p>
            <w:pPr>
              <w:pStyle w:val="40"/>
              <w:ind w:left="100" w:right="100"/>
            </w:pPr>
            <w:r>
              <w:rPr>
                <w:rFonts w:hint="eastAsia"/>
              </w:rPr>
              <w:t>GB 50054-2011《低压配电设计规范》第7.2.1条2款、第7.2.1条4款</w:t>
            </w:r>
          </w:p>
          <w:p>
            <w:pPr>
              <w:pStyle w:val="40"/>
              <w:ind w:left="100" w:right="100"/>
            </w:pPr>
            <w:r>
              <w:rPr>
                <w:rFonts w:hint="eastAsia"/>
              </w:rPr>
              <w:t>GB 50303-2015《建筑电气工程施工质量验收规范》第15.1.1条、第15.1.2条、第15.1.3条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用电场所线路接头连接不可靠，存在机械损伤、松动，导线接头未设在盒（箱）或器具内，盒（箱）配件不齐全，固定不牢固。</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t>DB11/T1322.56-2018</w:t>
            </w:r>
            <w:r>
              <w:rPr>
                <w:rFonts w:hint="eastAsia"/>
              </w:rPr>
              <w:t>《安全生产等级评定技术规范</w:t>
            </w:r>
            <w:r>
              <w:t xml:space="preserve"> </w:t>
            </w:r>
            <w:r>
              <w:rPr>
                <w:rFonts w:hint="eastAsia"/>
              </w:rPr>
              <w:t>第</w:t>
            </w:r>
            <w:r>
              <w:t>56</w:t>
            </w:r>
            <w:r>
              <w:rPr>
                <w:rFonts w:hint="eastAsia"/>
              </w:rPr>
              <w:t>部分：医疗卫生机构》第</w:t>
            </w:r>
            <w:r>
              <w:t>3.6.2.1.4</w:t>
            </w:r>
            <w:r>
              <w:rPr>
                <w:rFonts w:hint="eastAsia"/>
              </w:rPr>
              <w:t>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对于横跨通道的电气线路，如未能进行埋地敷设，未采用完好有效的保护措施。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50054-2011《低压配电设计规范》第7.2.28条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接地系统、电气设备的外露可导电部分和智能化系统的接地应符合《建筑电气与智能化通用规范》等规范的要求。</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55024-2022 《建筑电气与智能化通用规范》第7.2部分</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电气线路通过地板、墙壁、屋顶、天花板、隔墙等建筑构件时，其孔隙未按同建筑物构建耐火等级的规定封堵。</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JGJ 16-2008《民用建筑电气设计规范》第8.1.8条</w:t>
            </w:r>
          </w:p>
          <w:p>
            <w:pPr>
              <w:pStyle w:val="40"/>
              <w:ind w:left="100" w:right="100"/>
            </w:pPr>
            <w:r>
              <w:rPr>
                <w:rFonts w:hint="eastAsia"/>
              </w:rPr>
              <w:t>GB 50054-2011《低压配电设计规范》第7.1.5条1款</w:t>
            </w:r>
          </w:p>
          <w:p>
            <w:pPr>
              <w:pStyle w:val="40"/>
              <w:ind w:left="100" w:right="100"/>
            </w:pPr>
            <w:r>
              <w:rPr>
                <w:rFonts w:hint="eastAsia"/>
              </w:rPr>
              <w:t>GB 50575-2010《1kV及以下配线工程施工与验收规范》第3.0.5条6款</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配电箱（柜）未张贴醒目的安全警告标志和编号、标识，且未符合下列要求：</w:t>
            </w:r>
          </w:p>
          <w:p>
            <w:pPr>
              <w:pStyle w:val="40"/>
              <w:ind w:left="100" w:right="100"/>
            </w:pPr>
            <w:r>
              <w:rPr>
                <w:rFonts w:hint="eastAsia"/>
              </w:rPr>
              <w:t>a）配电箱应标识所控对象的名称、编号等，且与实际相符合；</w:t>
            </w:r>
          </w:p>
          <w:p>
            <w:pPr>
              <w:pStyle w:val="40"/>
              <w:ind w:left="100" w:right="100"/>
            </w:pPr>
            <w:r>
              <w:rPr>
                <w:rFonts w:hint="eastAsia"/>
              </w:rPr>
              <w:t>b）应有电气控制线路图；</w:t>
            </w:r>
          </w:p>
          <w:p>
            <w:pPr>
              <w:pStyle w:val="40"/>
              <w:ind w:left="100" w:right="100"/>
            </w:pPr>
            <w:r>
              <w:rPr>
                <w:rFonts w:hint="eastAsia"/>
              </w:rPr>
              <w:t>c）对于多路控制的配电箱（柜），在控制位置上标明所控制的电气设备的名称，且用途标识应齐全清晰。</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2894-2008《安全标志及其使用导则》第4.2.3条</w:t>
            </w:r>
          </w:p>
          <w:p>
            <w:pPr>
              <w:pStyle w:val="40"/>
              <w:ind w:left="100" w:right="100"/>
            </w:pPr>
            <w:r>
              <w:rPr>
                <w:rFonts w:hint="eastAsia"/>
              </w:rPr>
              <w:t>GB 50303-2015《建筑电气工程施工质量验收规范》第5.2.10条2款</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配电箱（柜）的箱门未完好无损，装有电器的箱门与箱体未进行可靠跨接。</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50303-2015《建筑电气工程施工质量验收规范》第5.2.10条4款、第5.1.1条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p>
          <w:p>
            <w:pPr>
              <w:adjustRightInd w:val="0"/>
              <w:snapToGrid w:val="0"/>
              <w:spacing w:line="240" w:lineRule="auto"/>
              <w:ind w:left="100" w:right="100"/>
              <w:jc w:val="center"/>
              <w:rPr>
                <w:rFonts w:ascii="宋体" w:hAnsi="宋体"/>
                <w:bCs/>
                <w:kern w:val="0"/>
                <w:szCs w:val="20"/>
              </w:rPr>
            </w:pPr>
          </w:p>
          <w:p>
            <w:pPr>
              <w:adjustRightInd w:val="0"/>
              <w:snapToGrid w:val="0"/>
              <w:spacing w:line="240" w:lineRule="auto"/>
              <w:ind w:left="100" w:right="100"/>
              <w:jc w:val="center"/>
              <w:rPr>
                <w:rFonts w:ascii="宋体" w:hAnsi="宋体"/>
                <w:bCs/>
                <w:kern w:val="0"/>
                <w:szCs w:val="20"/>
              </w:rPr>
            </w:pPr>
          </w:p>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辅助系统设备设施类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配电箱（柜）的安装未符合下列要求：</w:t>
            </w:r>
          </w:p>
          <w:p>
            <w:pPr>
              <w:pStyle w:val="40"/>
              <w:ind w:left="100" w:right="100"/>
            </w:pPr>
            <w:r>
              <w:rPr>
                <w:rFonts w:hint="eastAsia"/>
              </w:rPr>
              <w:t>a）配电箱（柜）前方1.2 m范围内应无任何妨碍操作与维修的物品，如因工艺布置、设备安装确有困难时可减至0.8 m，但不应影响箱门开启和操作；</w:t>
            </w:r>
          </w:p>
          <w:p>
            <w:pPr>
              <w:pStyle w:val="40"/>
              <w:ind w:left="100" w:right="100"/>
            </w:pPr>
            <w:r>
              <w:rPr>
                <w:rFonts w:hint="eastAsia"/>
              </w:rPr>
              <w:t>b）配电箱（柜）周边0.3 m内不应有可燃物，箱（柜）体内和下方不应搁置和堆放可燃物；</w:t>
            </w:r>
          </w:p>
          <w:p>
            <w:pPr>
              <w:pStyle w:val="40"/>
              <w:ind w:left="100" w:right="100"/>
            </w:pPr>
            <w:r>
              <w:rPr>
                <w:rFonts w:hint="eastAsia"/>
              </w:rPr>
              <w:t>c）落地式配电箱（柜）的底座周围应采取封闭措施，并应能防止鼠、蛇类等小动物进入箱（柜）内。</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50054-2011《低压配电设计规范》第4.2.1条、第4.2.5条注5</w:t>
            </w:r>
          </w:p>
          <w:p>
            <w:pPr>
              <w:pStyle w:val="40"/>
              <w:ind w:left="100" w:right="100"/>
            </w:pPr>
            <w:r>
              <w:rPr>
                <w:rFonts w:hint="eastAsia"/>
              </w:rPr>
              <w:t>DB11/065-2010《电气防火检测技术规范》第5.5.2.7c）条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配电箱（柜）内导线的安装和敷设未符合下列要求：</w:t>
            </w:r>
          </w:p>
          <w:p>
            <w:pPr>
              <w:pStyle w:val="40"/>
              <w:ind w:left="100" w:right="100"/>
            </w:pPr>
            <w:r>
              <w:rPr>
                <w:rFonts w:hint="eastAsia"/>
              </w:rPr>
              <w:t>a）进出导线应套管或用橡胶圈进行防护，不应与金属尖锐端口直接接触；</w:t>
            </w:r>
          </w:p>
          <w:p>
            <w:pPr>
              <w:pStyle w:val="40"/>
              <w:ind w:left="100" w:right="100"/>
            </w:pPr>
            <w:r>
              <w:rPr>
                <w:rFonts w:hint="eastAsia"/>
              </w:rPr>
              <w:t>b）导线不应卡在电气箱柜的金属外壳上，致使盖板无法盖上；</w:t>
            </w:r>
          </w:p>
          <w:p>
            <w:pPr>
              <w:pStyle w:val="40"/>
              <w:ind w:left="100" w:right="100"/>
            </w:pPr>
            <w:r>
              <w:rPr>
                <w:rFonts w:hint="eastAsia"/>
              </w:rPr>
              <w:t>c）箱内导线的颜色应符合要求，任何情况下颜色标记不应混用和互相代用。</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50617-2010《建筑电气照明装置施工与验收规范》第6.0.3条3款</w:t>
            </w:r>
          </w:p>
          <w:p>
            <w:pPr>
              <w:pStyle w:val="40"/>
              <w:ind w:left="100" w:right="100"/>
            </w:pPr>
            <w:r>
              <w:rPr>
                <w:rFonts w:hint="eastAsia"/>
              </w:rPr>
              <w:t>GB 50575-2010《1KV及以下配线工程施工与验收规范》第5.1.1条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其他设备设施类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供氧站爆炸危险区域内电气未符合防爆要求。</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50030-2013《氧气站设计规范》第8.0.2条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燃气锅炉房通风设施未符合下列要求：</w:t>
            </w:r>
          </w:p>
          <w:p>
            <w:pPr>
              <w:pStyle w:val="40"/>
              <w:ind w:left="100" w:right="100"/>
            </w:pPr>
            <w:r>
              <w:rPr>
                <w:rFonts w:hint="eastAsia"/>
              </w:rPr>
              <w:t>a）应设自然通风或机械通风设施；</w:t>
            </w:r>
          </w:p>
          <w:p>
            <w:pPr>
              <w:pStyle w:val="40"/>
              <w:ind w:left="100" w:right="100"/>
            </w:pPr>
            <w:r>
              <w:rPr>
                <w:rFonts w:hint="eastAsia"/>
              </w:rPr>
              <w:t>b）应选用防爆型的事故排风机；</w:t>
            </w:r>
          </w:p>
          <w:p>
            <w:pPr>
              <w:pStyle w:val="40"/>
              <w:ind w:left="100" w:right="100"/>
            </w:pPr>
            <w:r>
              <w:rPr>
                <w:rFonts w:hint="eastAsia"/>
              </w:rPr>
              <w:t>c）当采取机械通风时，机械通风设施应设除静电的接地装置。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50016-2014《建筑设计防火规范》第9.3.16条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燃油、燃气锅炉房的锅炉间、燃气调压间、燃油泵房、煤粉制备间、碎煤机间和运煤走廊等有爆炸危险场所的等级划分，未符合现行国家标准《爆炸危险环境电力装置设计规范》GB 50058的有关规定。</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50041-2020《锅炉房设计标准》第15.2.2条</w:t>
            </w:r>
          </w:p>
          <w:p>
            <w:pPr>
              <w:pStyle w:val="40"/>
              <w:ind w:left="100" w:right="100"/>
            </w:pPr>
            <w:r>
              <w:rPr>
                <w:rFonts w:hint="eastAsia"/>
              </w:rPr>
              <w:t>GB 50028-2006《城镇燃气设计规范》第6.6.12.4条</w:t>
            </w:r>
          </w:p>
          <w:p>
            <w:pPr>
              <w:pStyle w:val="40"/>
              <w:ind w:left="100" w:right="100"/>
            </w:pPr>
            <w:r>
              <w:rPr>
                <w:rFonts w:hint="eastAsia"/>
              </w:rPr>
              <w:t>GB 55009-2021《燃气工程项目规范》第5.2.17条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污水处理站的电气开关均未设置在室外，并未有防爆措施。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CECS 07-2004《医院污水处理设计规范》第8.0.12条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炊事机械电源线路未敷设在无浸泡、无高温和无压砸的沿墙壁面。</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1322.56-2018《安全生产等级评定技术规范 医疗卫生机构》第3.5.7.1条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餐厅内对于受烟尘、雾水等因素影响较大的电气开关未有防护装置。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1322.56-2018《安全生产等级评定技术规范 第56部分：医疗卫生机构》第3.5.7.2条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餐厅内灶台照明未使用防潮灯。</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《北京市餐饮经营单位安全生产规定》（北京市政府令[2006]177号）第二十五条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其他设备设施类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瓶装液化石油气未符合下列要求：</w:t>
            </w:r>
          </w:p>
          <w:p>
            <w:pPr>
              <w:pStyle w:val="40"/>
              <w:ind w:left="100" w:right="100"/>
            </w:pPr>
            <w:r>
              <w:rPr>
                <w:rFonts w:hint="eastAsia"/>
              </w:rPr>
              <w:t>a）不应在用餐场所储存和使用液化石油气气瓶和气体卡式炉；</w:t>
            </w:r>
          </w:p>
          <w:p>
            <w:pPr>
              <w:pStyle w:val="40"/>
              <w:ind w:left="100" w:right="100"/>
            </w:pPr>
            <w:r>
              <w:rPr>
                <w:rFonts w:hint="eastAsia"/>
              </w:rPr>
              <w:t>b）气瓶应直立放置，与灶具之间的净距离不应小于0.5 m；</w:t>
            </w:r>
          </w:p>
          <w:p>
            <w:pPr>
              <w:pStyle w:val="40"/>
              <w:ind w:left="100" w:right="100"/>
            </w:pPr>
            <w:r>
              <w:rPr>
                <w:rFonts w:hint="eastAsia"/>
              </w:rPr>
              <w:t>c）灶具与气瓶连接的软管长度不应超过2 m。用气设备前连接管宜选用金属管道硬连接方式，当局部采用软管连接时应符合下列要求：</w:t>
            </w:r>
          </w:p>
          <w:p>
            <w:pPr>
              <w:pStyle w:val="40"/>
              <w:ind w:left="100" w:right="100"/>
            </w:pPr>
            <w:r>
              <w:rPr>
                <w:rFonts w:hint="eastAsia"/>
              </w:rPr>
              <w:t>1）使用金属软管时两端应采用螺纹连接方式；</w:t>
            </w:r>
          </w:p>
          <w:p>
            <w:pPr>
              <w:pStyle w:val="40"/>
              <w:ind w:left="100" w:right="100"/>
            </w:pPr>
            <w:r>
              <w:rPr>
                <w:rFonts w:hint="eastAsia"/>
              </w:rPr>
              <w:t>2）单瓶供气使用耐油橡胶软管时，软管的长度应控制在1.2 m到2.0 m之间且没有接口；瓶组供气管道到达用气场所的用气设备前使用耐油橡胶软管时，软管的长度不应超过1 m；</w:t>
            </w:r>
          </w:p>
          <w:p>
            <w:pPr>
              <w:pStyle w:val="40"/>
              <w:ind w:left="100" w:right="100"/>
            </w:pPr>
            <w:r>
              <w:rPr>
                <w:rFonts w:hint="eastAsia"/>
              </w:rPr>
              <w:t>3）软管应定期检查，不应有弯折、拉伸、龟裂、老化等问题；连接处应严密，安装牢固，不应使用管件将其分成多个支管；不应穿过墙、楼板、顶棚、门窗。</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DB11/450-2016《餐饮服务单位使用瓶装液化石油气安全条件》第4.8条、第6.6条、第7.1条、第8.4条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采用瓶组方式供应液化石油气的，未设置瓶组气化间，并未符合下列要求：</w:t>
            </w:r>
          </w:p>
          <w:p>
            <w:pPr>
              <w:pStyle w:val="40"/>
              <w:ind w:left="100" w:right="100"/>
            </w:pPr>
            <w:r>
              <w:rPr>
                <w:rFonts w:hint="eastAsia"/>
              </w:rPr>
              <w:t>a）存储气瓶的总容积应在1 m3以下（约8个50 kg气瓶）；</w:t>
            </w:r>
          </w:p>
          <w:p>
            <w:pPr>
              <w:pStyle w:val="40"/>
              <w:ind w:left="100" w:right="100"/>
            </w:pPr>
            <w:r>
              <w:rPr>
                <w:rFonts w:hint="eastAsia"/>
              </w:rPr>
              <w:t>b）不应有暖气沟、地漏及其他地下建构筑物，应采用不发生火花的地面；</w:t>
            </w:r>
          </w:p>
          <w:p>
            <w:pPr>
              <w:pStyle w:val="40"/>
              <w:ind w:left="100" w:right="100"/>
            </w:pPr>
            <w:r>
              <w:rPr>
                <w:rFonts w:hint="eastAsia"/>
              </w:rPr>
              <w:t>c）电气设备应为防爆型，电气开关应安装在室外；</w:t>
            </w:r>
          </w:p>
          <w:p>
            <w:pPr>
              <w:pStyle w:val="40"/>
              <w:ind w:left="100" w:right="100"/>
            </w:pPr>
            <w:r>
              <w:rPr>
                <w:rFonts w:hint="eastAsia"/>
              </w:rPr>
              <w:t>d）应配备干粉灭火器，且数量不应少于2具；</w:t>
            </w:r>
          </w:p>
          <w:p>
            <w:pPr>
              <w:pStyle w:val="40"/>
              <w:ind w:left="100" w:right="100"/>
            </w:pPr>
            <w:r>
              <w:rPr>
                <w:rFonts w:hint="eastAsia"/>
              </w:rPr>
              <w:t>e）不应设置燃气燃烧器具以及其他明火，不应堆放易燃、易爆物品，不应作为其他用途使用；</w:t>
            </w:r>
          </w:p>
          <w:p>
            <w:pPr>
              <w:pStyle w:val="40"/>
              <w:ind w:left="100" w:right="100"/>
            </w:pPr>
            <w:r>
              <w:rPr>
                <w:rFonts w:hint="eastAsia"/>
              </w:rPr>
              <w:t>f）应通风良好，并设有直通室外的门，门、窗应向外开。</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DB11/450-2016《餐饮服务单位使用瓶装液化石油气安全条件》第5.1～5.3条、第5.5～5.8条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照明灯具直接安装在可燃装修材料或可燃构件上，普通灯具与可燃物品的距离小于0.3 m。</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DB11/065-2010《电气防火检测技术规范》第6.1.2.3条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插座、开关无3C认证标志，使用破损、烧焦的插座、开关。</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《中华人民共和国认证认可条例》第三十条</w:t>
            </w:r>
          </w:p>
          <w:p>
            <w:pPr>
              <w:pStyle w:val="40"/>
              <w:ind w:left="100" w:right="100"/>
            </w:pPr>
            <w:r>
              <w:rPr>
                <w:rFonts w:hint="eastAsia"/>
              </w:rPr>
              <w:t>GB 26164.1-2010《电业安全工作规 第1部分：热力和机械》第3.5.5条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插座的安装未符合下列要求：</w:t>
            </w:r>
          </w:p>
          <w:p>
            <w:pPr>
              <w:pStyle w:val="40"/>
              <w:ind w:left="100" w:right="100"/>
            </w:pPr>
            <w:r>
              <w:rPr>
                <w:rFonts w:hint="eastAsia"/>
              </w:rPr>
              <w:t>a）插座安装盒应固定牢固，不应将安装盒吊挂着使用；</w:t>
            </w:r>
          </w:p>
          <w:p>
            <w:pPr>
              <w:pStyle w:val="40"/>
              <w:ind w:left="100" w:right="100"/>
            </w:pPr>
            <w:r>
              <w:rPr>
                <w:rFonts w:hint="eastAsia"/>
              </w:rPr>
              <w:t>b）潮湿场所应采用防溅型插座；</w:t>
            </w:r>
          </w:p>
          <w:p>
            <w:pPr>
              <w:pStyle w:val="40"/>
              <w:ind w:left="100" w:right="100"/>
            </w:pPr>
            <w:r>
              <w:rPr>
                <w:rFonts w:hint="eastAsia"/>
              </w:rPr>
              <w:t>c）地面插座应紧贴地面，盖板固定牢固，密封良好，且用配线接线盒；</w:t>
            </w:r>
          </w:p>
          <w:p>
            <w:pPr>
              <w:pStyle w:val="40"/>
              <w:ind w:left="100" w:right="100"/>
            </w:pPr>
            <w:r>
              <w:rPr>
                <w:rFonts w:hint="eastAsia"/>
              </w:rPr>
              <w:t>d）插座及其电源线靠近可燃物时，应采取隔热、散热等防火保护措施。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DB11/065-2010《电气防火检测技术规范》第5.4.1条b）款、c）款、d）款、f）款</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将电线直接钩挂在闸刀上或直接插入插座内使用。</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50617-2010《建筑电气照明装置施工与验收规范》第5.1.2条4款</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移动式插座的使用未符合下列要求：</w:t>
            </w:r>
          </w:p>
          <w:p>
            <w:pPr>
              <w:pStyle w:val="40"/>
              <w:ind w:left="100" w:right="100"/>
            </w:pPr>
            <w:r>
              <w:rPr>
                <w:rFonts w:hint="eastAsia"/>
              </w:rPr>
              <w:t>a）不应放置在可燃物上或被可燃物覆盖；</w:t>
            </w:r>
          </w:p>
          <w:p>
            <w:pPr>
              <w:pStyle w:val="40"/>
              <w:ind w:left="100" w:right="100"/>
            </w:pPr>
            <w:r>
              <w:rPr>
                <w:rFonts w:hint="eastAsia"/>
              </w:rPr>
              <w:t>b）不应串接使用；</w:t>
            </w:r>
          </w:p>
          <w:p>
            <w:pPr>
              <w:pStyle w:val="40"/>
              <w:ind w:left="100" w:right="100"/>
            </w:pPr>
            <w:r>
              <w:rPr>
                <w:rFonts w:hint="eastAsia"/>
              </w:rPr>
              <w:t>c）插孔的双头插头和三头插头应分开。</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DB11/065-2010《电气防火检测技术规范》第5.4.1条k）款</w:t>
            </w:r>
          </w:p>
          <w:p>
            <w:pPr>
              <w:pStyle w:val="40"/>
              <w:ind w:left="100" w:right="100"/>
            </w:pPr>
            <w:r>
              <w:rPr>
                <w:rFonts w:hint="eastAsia"/>
              </w:rPr>
              <w:t>GB 2099.3-2015《家用和类似用途插头插座 第2-5部分：转换器的特殊要求》第9.1条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其他设备设施类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疗卫生机构在放射工作场所和放射性同位素的贮存场所内配置防护设备和报警装置。接触放射线的从业人员未佩戴个人剂量计。未按照国家有关规定设置明显的放射性标志，其入口处应当按照国家有关安全和防护标准的要求，设置安全和防护设施以及必要的防护安全联锁、报警装置或者工作信号。放射性装置的生产调试和使用场所，应当具有防止误操作、防止工作人员受到意外照射的安全措施。医院必须配备与辐射类型和辐射水平相适应的防护用品和监测仪器，包括个人剂量测量报警、固定式和便携式辐射监测、表面污染监测、流出物监测等设备，并保证可能接触放射线的工作人员佩戴个人剂量计。</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《中华人民共和国职业病防治法》第二十五条</w:t>
            </w:r>
          </w:p>
          <w:p>
            <w:pPr>
              <w:pStyle w:val="40"/>
              <w:ind w:left="100" w:right="100"/>
            </w:pPr>
            <w:r>
              <w:rPr>
                <w:rFonts w:hint="eastAsia"/>
              </w:rPr>
              <w:t>《工作场所职业卫生管理规定》第十七条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人员类</w:t>
            </w:r>
          </w:p>
        </w:tc>
        <w:tc>
          <w:tcPr>
            <w:tcW w:w="9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资格资质类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配电室值班人员未取得合格有效的电工作业操作资格，资格证书原件由值班人员上岗时随身携带或由医疗卫生机构统一进行管理。</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《中华人民共和国安全生产法》第三十条</w:t>
            </w:r>
          </w:p>
          <w:p>
            <w:pPr>
              <w:pStyle w:val="40"/>
              <w:ind w:left="100" w:right="100"/>
            </w:pPr>
            <w:r>
              <w:rPr>
                <w:rFonts w:hint="eastAsia"/>
              </w:rPr>
              <w:t>《生产经营单位安全培训规定》第十八条</w:t>
            </w:r>
          </w:p>
          <w:p>
            <w:pPr>
              <w:pStyle w:val="40"/>
              <w:ind w:left="100" w:right="100"/>
            </w:pPr>
            <w:r>
              <w:rPr>
                <w:rFonts w:hint="eastAsia"/>
              </w:rPr>
              <w:t>DB11/527-2021《配电室安全管理规范》第8.1.1条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操作行为类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值班人员的配置未符合下列要求：</w:t>
            </w:r>
          </w:p>
          <w:p>
            <w:pPr>
              <w:pStyle w:val="40"/>
              <w:ind w:left="100" w:right="100"/>
            </w:pPr>
            <w:r>
              <w:rPr>
                <w:rFonts w:hint="eastAsia"/>
              </w:rPr>
              <w:t>a）35 kV电压等级的变配电室，10/6 kV电压等级、变压器容量在630 kVA及以上的主变配电室，应安排专人值班，值班人员不少于2人，且应明确其中1人为值长；</w:t>
            </w:r>
          </w:p>
          <w:p>
            <w:pPr>
              <w:pStyle w:val="40"/>
              <w:ind w:left="100" w:right="100"/>
            </w:pPr>
            <w:r>
              <w:rPr>
                <w:rFonts w:hint="eastAsia"/>
              </w:rPr>
              <w:t>b）10/6 kV电压等级、变压器容量在500 kVA及以下的变配电室，可不设专人值班，但应由电工人员负责运行检查工作。</w:t>
            </w:r>
          </w:p>
          <w:p>
            <w:pPr>
              <w:pStyle w:val="40"/>
              <w:ind w:left="100" w:right="100"/>
            </w:pPr>
            <w:r>
              <w:t>c</w:t>
            </w:r>
            <w:r>
              <w:rPr>
                <w:rFonts w:hint="eastAsia"/>
              </w:rPr>
              <w:t>）采用智能化运维模式的配电室可不设专人值班。</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DB11/527-2021《配电室安全管理规范》第8.1.3条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值班人员上岗期间未穿全棉长袖工作服和绝缘鞋，未坚守工作岗位，且有以下行为：</w:t>
            </w:r>
          </w:p>
          <w:p>
            <w:pPr>
              <w:pStyle w:val="40"/>
              <w:ind w:left="100" w:right="100"/>
            </w:pPr>
            <w:r>
              <w:rPr>
                <w:rFonts w:hint="eastAsia"/>
              </w:rPr>
              <w:t>a) 接班前及当班期间违反章程、违反劳动纪律；</w:t>
            </w:r>
          </w:p>
          <w:p>
            <w:pPr>
              <w:pStyle w:val="40"/>
              <w:ind w:left="100" w:right="100"/>
            </w:pPr>
            <w:r>
              <w:rPr>
                <w:rFonts w:hint="eastAsia"/>
              </w:rPr>
              <w:t>b) 利用供电企业停电期间，未经供电企业同意，在自己所不能控制的电气设备或线路上，装设短路线、接地线或进行检修维护等工作；</w:t>
            </w:r>
          </w:p>
          <w:p>
            <w:pPr>
              <w:pStyle w:val="40"/>
              <w:ind w:left="100" w:right="100"/>
            </w:pPr>
            <w:r>
              <w:rPr>
                <w:rFonts w:hint="eastAsia"/>
              </w:rPr>
              <w:t>c) 约时停、送电；</w:t>
            </w:r>
          </w:p>
          <w:p>
            <w:pPr>
              <w:pStyle w:val="40"/>
              <w:ind w:left="100" w:right="100"/>
            </w:pPr>
            <w:r>
              <w:rPr>
                <w:rFonts w:hint="eastAsia"/>
              </w:rPr>
              <w:t>d) 擅自拆除闭锁装置或者使其失效；</w:t>
            </w:r>
          </w:p>
          <w:p>
            <w:pPr>
              <w:pStyle w:val="40"/>
              <w:ind w:left="100" w:right="100"/>
            </w:pPr>
            <w:r>
              <w:rPr>
                <w:rFonts w:hint="eastAsia"/>
              </w:rPr>
              <w:t>e) 其他与工作无关的活动。</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DB11/527-2021《配电室安全管理规范第》第8.2.1条、第8.2.2条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消防控制室值班和人员管理未符合下列要求：</w:t>
            </w:r>
          </w:p>
          <w:p>
            <w:pPr>
              <w:pStyle w:val="40"/>
              <w:ind w:left="100" w:right="100"/>
            </w:pPr>
            <w:r>
              <w:rPr>
                <w:rFonts w:hint="eastAsia"/>
              </w:rPr>
              <w:t>a）消防控制室实行每日24 h专人值班制度，每班不应少于2人，值班人员应持有消防控制室操作职业资格证书；</w:t>
            </w:r>
          </w:p>
          <w:p>
            <w:pPr>
              <w:pStyle w:val="40"/>
              <w:ind w:left="100" w:right="100"/>
            </w:pPr>
            <w:r>
              <w:rPr>
                <w:rFonts w:hint="eastAsia"/>
              </w:rPr>
              <w:t>b）消防控制室值班人员对火灾报警控制器进行检查、接班、交班时，应填写《消防控制室值班记录表》的相关内容。值班期间应每2 h记录1次消防控制室内消防设备的运行情况；</w:t>
            </w:r>
          </w:p>
          <w:p>
            <w:pPr>
              <w:pStyle w:val="40"/>
              <w:ind w:left="100" w:right="100"/>
            </w:pPr>
            <w:r>
              <w:rPr>
                <w:rFonts w:hint="eastAsia"/>
              </w:rPr>
              <w:t>c）室内不应堆放杂物，应保证其环境满足设备正常运行的要求。</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《机关、团体、企业、事业单位消防安全管理规定》第三十八条</w:t>
            </w:r>
          </w:p>
          <w:p>
            <w:pPr>
              <w:pStyle w:val="40"/>
              <w:ind w:left="100" w:right="100"/>
            </w:pPr>
            <w:r>
              <w:rPr>
                <w:rFonts w:hint="eastAsia"/>
              </w:rPr>
              <w:t>GB 25506-2010《消防控制室通用技术要求》第4.2.1条</w:t>
            </w:r>
          </w:p>
          <w:p>
            <w:pPr>
              <w:pStyle w:val="40"/>
              <w:ind w:left="100" w:right="100"/>
            </w:pPr>
            <w:r>
              <w:rPr>
                <w:rFonts w:hint="eastAsia"/>
              </w:rPr>
              <w:t>GB 25201-2010《建筑消防设施的维护管理》第5.2条</w:t>
            </w:r>
          </w:p>
          <w:p>
            <w:pPr>
              <w:pStyle w:val="40"/>
              <w:ind w:left="100" w:right="100"/>
            </w:pPr>
            <w:r>
              <w:rPr>
                <w:rFonts w:hint="eastAsia"/>
              </w:rPr>
              <w:t>GB/T 40248-2021《人员密集场所消防安全管理》第7.6.10条、第7.6.11条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szCs w:val="20"/>
                <w:lang w:bidi="mn-Mong-CN"/>
              </w:rPr>
            </w:pPr>
          </w:p>
        </w:tc>
        <w:tc>
          <w:tcPr>
            <w:tcW w:w="9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个人防护用品使用类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现场检查发现采购的劳动防护用品的质量不符合《个体防护装备配备规范 第1部分：总则》等国家、行业的相关标准要求。</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《中华人民共和国安全生产法》第四十五条</w:t>
            </w:r>
          </w:p>
          <w:p>
            <w:pPr>
              <w:pStyle w:val="40"/>
              <w:ind w:left="100" w:right="100"/>
            </w:pPr>
            <w:r>
              <w:rPr>
                <w:rFonts w:hint="eastAsia"/>
              </w:rPr>
              <w:t>GB</w:t>
            </w:r>
            <w:r>
              <w:t xml:space="preserve"> </w:t>
            </w:r>
            <w:r>
              <w:rPr>
                <w:rFonts w:hint="eastAsia"/>
              </w:rPr>
              <w:t>39800.1-2020 《个体防护装备配备规范_第1部分：总则》第4</w:t>
            </w:r>
            <w:r>
              <w:t>.3</w:t>
            </w:r>
            <w:r>
              <w:rPr>
                <w:rFonts w:hint="eastAsia"/>
              </w:rPr>
              <w:t>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人员类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个人防护用品使用类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未为从业人员提供劳动防护用品，未确保从业人员正确佩戴和使用劳动防护用品。</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《中华人民共和国安全生产法》第四十五条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未根据所储存的危险化学品性质和特点，为操作人员配置事故柜、急救箱和个人防护用品。</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第2部分：安全生产通用要求》第3.8.1.22条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场所环境类</w:t>
            </w:r>
          </w:p>
        </w:tc>
        <w:tc>
          <w:tcPr>
            <w:tcW w:w="9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平面布置类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未在显著位置设置消防疏散楼层指示图。</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DB11/1024-2013《消防安全疏散标志设置标准》第3.3.1条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建（构）筑物类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新建、改建、扩建建筑使用彩钢板。既有建筑使用低于A类燃烧性能的彩钢板。</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1322.56-2018《安全生产等级评定技术规范 第56部分：医疗卫生机构》第3.2.2.1条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综合医院建筑耐火等级低于二级。一类高层建筑的耐火等级低于一级。</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50016-2014《建筑设计防火规范》第5.1.3条</w:t>
            </w:r>
          </w:p>
          <w:p>
            <w:pPr>
              <w:pStyle w:val="40"/>
              <w:ind w:left="100" w:right="100"/>
            </w:pPr>
            <w:r>
              <w:rPr>
                <w:rFonts w:hint="eastAsia"/>
              </w:rPr>
              <w:t>GB 51039-2014《综合医院建筑设计规范》第5.24.1条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医院和疗养院的住院部分设置在地下或半地下。</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50016-2014《建筑设计防火规范》第5.4.5条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药品库房未设在独立建筑内或建筑内的独立区域内，与其他场所未采取防火分隔措施。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药品库房内设置休息室、办公室，值班室夜间留人住宿。</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未按规定设置建筑物防雷装置，并未保持完好有效。防雷装置未每年至少检测1次，对爆炸危险环境场所的防雷装置未每半年至少检测1次，检测由未具有防雷检测资质的单位进行，或未出具检测报告。</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《防雷减灾管理办法（修订）》（中国气象局第24号令）第十九条、第二十一条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液氧贮罐站未设置防火围堰，或者围堰的有效容积小于围堰最大液氧贮罐的容积，或围堰高度低于0.9 m。</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50751-2012《医用气体工程技术规范》第4.6.3条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液氧贮罐处的实体围墙高度低于2.5 m；当围墙外为道路或开阔地时，贮罐与实体围墙的间距小于1 m；围墙外为建（构）筑物时，贮罐与实体围墙的间距小于5 m。</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50751-2012《医用气体工程技术规范》第4.6.4条第二款</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场所环境类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建（构）筑物类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液氧贮罐与医疗卫生机构外建筑的防火间距小于《建筑设计防火规范》《医用气体工程技术规范》的规定。</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50751-2012《医用气体工程技术规范》第4.6.4条第一款</w:t>
            </w:r>
          </w:p>
          <w:p>
            <w:pPr>
              <w:pStyle w:val="40"/>
              <w:ind w:left="100" w:right="100"/>
            </w:pPr>
            <w:r>
              <w:rPr>
                <w:rFonts w:hint="eastAsia"/>
              </w:rPr>
              <w:t>GB 50016-2014《建筑设计防火规范》第4.3.3条、第4.3.4条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液氧贮罐与医疗卫生机构内部建（构）筑物之间的防火间距小于7</w:t>
            </w:r>
            <w:r>
              <w:t>.5</w:t>
            </w:r>
            <w:r>
              <w:rPr>
                <w:rFonts w:hint="eastAsia"/>
              </w:rPr>
              <w:t>m。</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GB51039-2014《综合医院建筑设计规范》第1</w:t>
            </w:r>
            <w:r>
              <w:t>0.2.9</w:t>
            </w:r>
            <w:r>
              <w:rPr>
                <w:rFonts w:hint="eastAsia"/>
              </w:rPr>
              <w:t>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液氧贮罐周围5m范围内有可燃物和沥青路面。</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50751-2012《医用气体工程技术规范》第4.6.3条</w:t>
            </w:r>
          </w:p>
          <w:p>
            <w:pPr>
              <w:pStyle w:val="40"/>
              <w:ind w:left="100" w:right="100"/>
            </w:pPr>
            <w:r>
              <w:rPr>
                <w:rFonts w:hint="eastAsia"/>
              </w:rPr>
              <w:t>GB 50030-2013《氧气站设计规范》第3.0.4条、第3.0.14条</w:t>
            </w:r>
          </w:p>
          <w:p>
            <w:pPr>
              <w:pStyle w:val="40"/>
              <w:ind w:left="100" w:right="100"/>
            </w:pPr>
            <w:r>
              <w:rPr>
                <w:rFonts w:hint="eastAsia"/>
              </w:rPr>
              <w:t>GB 50016-2014《建筑设计防火规范》第4.3.5条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医用分子筛制氧站未布置为独立单层建筑物，建筑围护结构上的门窗采用木质、塑钢等可燃材料制作。与其他建筑毗连时，站房未设置1个直通室外的门。</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50751-2012《医用气体工程技术规范》第4.6.5条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调压装置设置在用气建筑物专用单层毗连建筑物内的，该建筑物与相邻建筑未用无门窗和洞口的防火墙隔开。与锅炉房贴邻的调压间未设置防火墙与锅炉房隔开，其门窗未向外开启并直接通向锅炉房，未采用不产生火花的地面。</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50028-2006《城镇燃气设计规范》（2020年版）第6.6.6条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污水处理站未独立设置；与病房、居民区建筑物的距离小于10 m，并设置隔离带；当无法满足上述条件时，未采取有效安全隔离措施，并将污水处理站设于门诊或病房等建筑物的地下室。</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CECS 07-2004《医院污水处理设计规范》第8.0.2条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污水处理设施未采取防腐蚀、防渗漏和防冻等技术措施。构筑物均未加盖，密闭时未有进气装置。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CECS 07-2004《医院污水处理设计规范》第1.0.6条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二次供水机房与外界相通的入口未安装金属防护门，保持锁闭；窗户未加装金属栅栏。</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436-2013《医院二次供水运行管理》第4.1.5条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场所环境类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建（构）筑物类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变配电系统的门、窗未符合下列要求：</w:t>
            </w:r>
          </w:p>
          <w:p>
            <w:pPr>
              <w:pStyle w:val="40"/>
              <w:ind w:left="100" w:right="100"/>
            </w:pPr>
            <w:r>
              <w:rPr>
                <w:rFonts w:hint="eastAsia"/>
              </w:rPr>
              <w:t>a）出入口的门为防火门，向外开启，并应装锁，且门锁应便于值班人员在紧急情况下打开；</w:t>
            </w:r>
          </w:p>
          <w:p>
            <w:pPr>
              <w:pStyle w:val="40"/>
              <w:ind w:left="100" w:right="100"/>
            </w:pPr>
            <w:r>
              <w:rPr>
                <w:rFonts w:hint="eastAsia"/>
              </w:rPr>
              <w:t>b）设备间与附属房间之间的门应向附属房间方向开启。高压间与低压间之间的门，应向低压间方向开启。配电装置室的中间门应采用双向开启门；</w:t>
            </w:r>
          </w:p>
          <w:p>
            <w:pPr>
              <w:pStyle w:val="40"/>
              <w:ind w:left="100" w:right="100"/>
            </w:pPr>
            <w:r>
              <w:rPr>
                <w:rFonts w:hint="eastAsia"/>
              </w:rPr>
              <w:t>c）地面变配电室的通往室外的门、窗应装有纱门且门上方应装设雨罩；</w:t>
            </w:r>
          </w:p>
          <w:p>
            <w:pPr>
              <w:pStyle w:val="40"/>
              <w:ind w:left="100" w:right="100"/>
            </w:pPr>
            <w:r>
              <w:rPr>
                <w:rFonts w:hint="eastAsia"/>
              </w:rPr>
              <w:t>d）应设置防止雨、雪和小动物从采光窗、通风窗、门、通风管道、桥架、电缆保护管等进入室内的设施；</w:t>
            </w:r>
          </w:p>
          <w:p>
            <w:pPr>
              <w:pStyle w:val="40"/>
              <w:ind w:left="100" w:right="100"/>
            </w:pPr>
            <w:r>
              <w:rPr>
                <w:rFonts w:hint="eastAsia"/>
              </w:rPr>
              <w:t>e）出入口应设置高度不低于400 mm的防小动物挡板。</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JGJ 16-2008《民用建筑电气设计规范》第4.9.2条</w:t>
            </w:r>
          </w:p>
          <w:p>
            <w:pPr>
              <w:pStyle w:val="40"/>
              <w:ind w:left="100" w:right="100"/>
            </w:pPr>
            <w:r>
              <w:rPr>
                <w:rFonts w:hint="eastAsia"/>
              </w:rPr>
              <w:t>GB 50053-2013《20kV及以下变电所设计规范》第6.1.3条</w:t>
            </w:r>
          </w:p>
          <w:p>
            <w:pPr>
              <w:pStyle w:val="40"/>
              <w:ind w:left="100" w:right="100"/>
            </w:pPr>
            <w:r>
              <w:rPr>
                <w:rFonts w:hint="eastAsia"/>
              </w:rPr>
              <w:t>GB 50060-2008《3-110kV高压配电装置设计规范》第7.1.4条</w:t>
            </w:r>
          </w:p>
          <w:p>
            <w:pPr>
              <w:pStyle w:val="40"/>
              <w:ind w:left="100" w:right="100"/>
            </w:pPr>
            <w:r>
              <w:rPr>
                <w:rFonts w:hint="eastAsia"/>
              </w:rPr>
              <w:t>DB11/527-2021《配电室安全管理规范》第6.3.9条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常闭式防火门未保持关闭。常开式防火门的关闭装置未完好有效，并未保证火灾等异常情况下能自动关闭。</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308-2009《医疗机构消防安全管理》第4.1.10条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防火卷帘门两侧各0.5 m范围内堆放物品，并未用黄色标识线划定范围。</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40248-2021《人员密集场所消防安全管理》第8.8.2条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设在建筑物内的危险化学品储存场所，未选择靠外墙、人员较少的位置，并未设置防火墙、泄压设施；与其他建筑物贴邻设置的储存场所时，有门、窗与相邻建筑物相通。</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1322.56-2017《安全生产等级评定技术规范 第56部分：医疗卫生机构》第3.5.3.1条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安全出口及疏散通道类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医院出入口少于2个。</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51039-2014《综合医院建筑设计规范》第4.2.2条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lang w:val="zh-CN"/>
              </w:rPr>
              <w:t>院区内未有机动车行车限速5 km和禁止鸣笛的标志，进出大门处未设车辆减速装置。交通视线盲区未设置室外反光镜。</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444.1-2014《医疗机构患者活动场所及坐卧设施安全要求 第1部分：活动场所》第4.13.2条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lang w:val="zh-CN"/>
              </w:rPr>
              <w:t>院区内人行道和机动车道</w:t>
            </w:r>
            <w:r>
              <w:rPr>
                <w:rFonts w:hint="eastAsia"/>
              </w:rPr>
              <w:t>未</w:t>
            </w:r>
            <w:r>
              <w:rPr>
                <w:rFonts w:hint="eastAsia"/>
                <w:lang w:val="zh-CN"/>
              </w:rPr>
              <w:t>分离，未设置机动车、非机动车停车标识线。</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444.1-2014《医疗机构患者活动场所及坐卧设施安全要求 第1部分：活动场所》第4.13.3条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场所环境类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安全出口及疏散通道类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消防车道的设置未符合下列要求：</w:t>
            </w:r>
          </w:p>
          <w:p>
            <w:pPr>
              <w:pStyle w:val="40"/>
              <w:ind w:left="100" w:right="100"/>
            </w:pPr>
            <w:r>
              <w:rPr>
                <w:rFonts w:hint="eastAsia"/>
              </w:rPr>
              <w:t>a）当建筑物沿街道部分的长度大于150 m或总长度大于220 m时，应设置穿过建筑物的消防车道。确有困难时，应设置环形消防车道；</w:t>
            </w:r>
          </w:p>
          <w:p>
            <w:pPr>
              <w:pStyle w:val="40"/>
              <w:ind w:left="100" w:right="100"/>
            </w:pPr>
            <w:r>
              <w:rPr>
                <w:rFonts w:hint="eastAsia"/>
              </w:rPr>
              <w:t>b）设有高层建筑的医疗卫生机构，应设置环形消防车道，确有困难时，可沿建筑的两个长边设置消防车道；</w:t>
            </w:r>
          </w:p>
          <w:p>
            <w:pPr>
              <w:pStyle w:val="40"/>
              <w:ind w:left="100" w:right="100"/>
            </w:pPr>
            <w:r>
              <w:rPr>
                <w:rFonts w:hint="eastAsia"/>
              </w:rPr>
              <w:t>c）有封闭内院或天井的建筑物，当内院或天井的短边长度大于24 m时，宜设置进入内院或天井的消防车道；当该建筑物沿街时，应设置连通街道和内院的人行通道（可利用楼梯间），其间距不宜大于80 m；</w:t>
            </w:r>
          </w:p>
          <w:p>
            <w:pPr>
              <w:pStyle w:val="40"/>
              <w:ind w:left="100" w:right="100"/>
            </w:pPr>
            <w:r>
              <w:rPr>
                <w:rFonts w:hint="eastAsia"/>
              </w:rPr>
              <w:t>d）在穿过建筑物或进入建筑物内院的消防车道两侧，不应设置影响消防车通行或人员安全疏散的设施；</w:t>
            </w:r>
          </w:p>
          <w:p>
            <w:pPr>
              <w:pStyle w:val="40"/>
              <w:ind w:left="100" w:right="100"/>
            </w:pPr>
            <w:r>
              <w:rPr>
                <w:rFonts w:hint="eastAsia"/>
              </w:rPr>
              <w:t>e）消防车道的净宽度和净空高度均不应小于4 m，且转弯半径应满足消防车转弯的要求；</w:t>
            </w:r>
          </w:p>
          <w:p>
            <w:pPr>
              <w:pStyle w:val="40"/>
              <w:ind w:left="100" w:right="100"/>
            </w:pPr>
            <w:r>
              <w:rPr>
                <w:rFonts w:hint="eastAsia"/>
              </w:rPr>
              <w:t>f）消防车道与建筑之间不应设置妨碍消防车操作的树木、架空管线等障碍物。</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50016-2014《建筑设计防火规范》第7.1.1条、第7.1.2条、第7.1.4条、第7.1.5条、第7.1.8条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设备设施周围未设置必要的安全巡视、检查和检修通道。</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B11/T 1322.56-2017《安全生产等级评定技术规范 第56部分：医疗卫生机构》第3.3.1.4条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锅炉房出入口的设置未符合下列要求：</w:t>
            </w:r>
          </w:p>
          <w:p>
            <w:pPr>
              <w:pStyle w:val="40"/>
              <w:ind w:left="100" w:right="100"/>
            </w:pPr>
            <w:r>
              <w:rPr>
                <w:rFonts w:hint="eastAsia"/>
              </w:rPr>
              <w:t>a）出入口不应少于2个。对独立锅炉房，当炉前走道总长度小于12 m，且总建筑面积小于200 m2时，其出入口可设1个；</w:t>
            </w:r>
          </w:p>
          <w:p>
            <w:pPr>
              <w:pStyle w:val="40"/>
              <w:ind w:left="100" w:right="100"/>
            </w:pPr>
            <w:r>
              <w:rPr>
                <w:rFonts w:hint="eastAsia"/>
              </w:rPr>
              <w:t>b）锅炉房通向室外的门应向室外开启，锅炉房内的工作间或生活间直通锅炉间的门应向锅炉间内开启。</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50041-2008《锅炉房设计规范》第4.3.7条、第4.3.8条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安全出口和疏散通道未保持畅通，存在占用、堵塞、封闭安全出口和疏散通道或者有其他妨碍安全疏散的行为。</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《中华人民共和国消防法》第十六条</w:t>
            </w:r>
          </w:p>
          <w:p>
            <w:pPr>
              <w:pStyle w:val="40"/>
              <w:ind w:left="100" w:right="100"/>
            </w:pPr>
            <w:r>
              <w:rPr>
                <w:rFonts w:hint="eastAsia"/>
              </w:rPr>
              <w:t>《北京市消防条例》第十二条</w:t>
            </w:r>
          </w:p>
          <w:p>
            <w:pPr>
              <w:pStyle w:val="40"/>
              <w:ind w:left="100" w:right="100"/>
            </w:pPr>
            <w:r>
              <w:rPr>
                <w:rFonts w:hint="eastAsia"/>
              </w:rPr>
              <w:t>《机关、团体、企业、事业单位消防安全管理规定》第七条、第二十一条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平时需要控制人员随意出入的疏散门和设置门禁系统疏散门，未保证火灾时不需使用钥匙等任何工具即能从内部易于打开，并未在显著位置设置具有使用提示的标识。</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50016-2014《建筑设计防火规范》第6.4.11条</w:t>
            </w:r>
          </w:p>
          <w:p>
            <w:pPr>
              <w:pStyle w:val="40"/>
              <w:ind w:left="100" w:right="100"/>
            </w:pPr>
            <w:r>
              <w:rPr>
                <w:rFonts w:hint="eastAsia"/>
              </w:rPr>
              <w:t>GB 50116-2013《火灾自动报警系统设计规范》第4.10.3条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公共建筑内每个防火分区或1个防火分区的每个楼层，其安全出口少于2个。</w:t>
            </w:r>
          </w:p>
          <w:p>
            <w:pPr>
              <w:pStyle w:val="40"/>
              <w:ind w:left="100" w:right="100"/>
            </w:pPr>
            <w:r>
              <w:rPr>
                <w:rFonts w:hint="eastAsia"/>
              </w:rPr>
              <w:t>（建筑面积不大于200 m2且人数不超过50人的单层公共建筑或多层公共建筑的首层，可设置1个安全出口或1部疏散楼梯。）</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50016-2014《建筑设计防火规范》第5.5.8条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场所环境类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安全出口及疏散通道类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公共建筑内房间的疏散门数量少于2个。</w:t>
            </w:r>
          </w:p>
          <w:p>
            <w:pPr>
              <w:pStyle w:val="40"/>
              <w:ind w:left="100" w:right="100"/>
            </w:pPr>
            <w:r>
              <w:rPr>
                <w:rFonts w:hint="eastAsia"/>
              </w:rPr>
              <w:t>除医疗建筑内位于走道尽端的房间外，符合下列条件之一的房间可设置1个疏散门：</w:t>
            </w:r>
          </w:p>
          <w:p>
            <w:pPr>
              <w:pStyle w:val="40"/>
              <w:ind w:left="100" w:right="100"/>
            </w:pPr>
            <w:r>
              <w:rPr>
                <w:rFonts w:hint="eastAsia"/>
              </w:rPr>
              <w:t>a）位于两个安全出口之间或袋形走道两侧的房间，对于医疗建筑建筑面积不大于75 m2；</w:t>
            </w:r>
          </w:p>
          <w:p>
            <w:pPr>
              <w:pStyle w:val="40"/>
              <w:ind w:left="100" w:right="100"/>
            </w:pPr>
            <w:r>
              <w:rPr>
                <w:rFonts w:hint="eastAsia"/>
              </w:rPr>
              <w:t>b）位于走道尽端的房间，建筑面积小于50 m2且疏散门的净宽度不小于0.90 m，或由房间内</w:t>
            </w:r>
            <w:r>
              <w:t>任意</w:t>
            </w:r>
            <w:r>
              <w:rPr>
                <w:rFonts w:hint="eastAsia"/>
              </w:rPr>
              <w:t>一点至疏散门的直线距离不大于15 m.建筑面积不大于200 m2且疏散门的净宽度不小于1.40 m。</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50016-2014《建筑设计防火规范》第5.5.15条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疏散门和安全出口的净宽度未符合下列要求：</w:t>
            </w:r>
          </w:p>
          <w:p>
            <w:pPr>
              <w:pStyle w:val="40"/>
              <w:ind w:left="100" w:right="100"/>
            </w:pPr>
            <w:r>
              <w:rPr>
                <w:rFonts w:hint="eastAsia"/>
              </w:rPr>
              <w:t>a）医院门诊大厅等人员密集公共场所的疏散门不应设置门槛，其净宽度不应小于1.40 m，且紧靠门口内外各1.40 m范围内不应设置踏步；</w:t>
            </w:r>
          </w:p>
          <w:p>
            <w:pPr>
              <w:pStyle w:val="40"/>
              <w:ind w:left="100" w:right="100"/>
            </w:pPr>
            <w:r>
              <w:rPr>
                <w:rFonts w:hint="eastAsia"/>
              </w:rPr>
              <w:t>b）高层公共建筑内楼梯间的首层疏散门、首层疏散外门、疏散走道和疏散楼梯的最小净宽度应符合表H.2的规定；</w:t>
            </w:r>
          </w:p>
          <w:p>
            <w:pPr>
              <w:pStyle w:val="40"/>
              <w:ind w:left="100" w:right="100"/>
            </w:pPr>
            <w:r>
              <w:rPr>
                <w:rFonts w:hint="eastAsia"/>
              </w:rPr>
              <w:t>c）其余公共建筑内疏散门和安全出口的净宽度不应小于0.90 m，疏散走道和疏散楼梯的净宽度不应小于1.10 m。</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50016-2014《建筑设计防火规范》第5.5.19条、第5.5.18条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高层病房楼未在二层及以上的病房楼层和洁净手术部设置避难间。避难间未符合下列要求：</w:t>
            </w:r>
          </w:p>
          <w:p>
            <w:pPr>
              <w:pStyle w:val="40"/>
              <w:ind w:left="100" w:right="100"/>
            </w:pPr>
            <w:r>
              <w:rPr>
                <w:rFonts w:hint="eastAsia"/>
              </w:rPr>
              <w:t>a）应设置消防专线电话和消防应急广播；</w:t>
            </w:r>
          </w:p>
          <w:p>
            <w:pPr>
              <w:pStyle w:val="40"/>
              <w:ind w:left="100" w:right="100"/>
            </w:pPr>
            <w:r>
              <w:rPr>
                <w:rFonts w:hint="eastAsia"/>
              </w:rPr>
              <w:t>b）避难间的入口处应设置明显的指示标志；</w:t>
            </w:r>
          </w:p>
          <w:p>
            <w:pPr>
              <w:pStyle w:val="40"/>
              <w:ind w:left="100" w:right="100"/>
            </w:pPr>
            <w:r>
              <w:rPr>
                <w:rFonts w:hint="eastAsia"/>
              </w:rPr>
              <w:t>c）应设置直接对外的可开启窗口或独立的机械防烟设施，外窗应采用乙级防火窗。</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50016-2014《建筑设计防火规范》第5.5.24条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建筑的楼梯间宜通至屋面，通向屋面的门或窗未向外开启。</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50016-2014《建筑设计防火规范》第5.5.3条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主楼梯宽度小于1.65 m，踏步宽度小于0.28 m，高度大于0.16 m。</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51039-2014《综合医院建筑设计规范》第5.1.5条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消防水泵房未符合下列要求：</w:t>
            </w:r>
          </w:p>
          <w:p>
            <w:pPr>
              <w:pStyle w:val="40"/>
              <w:ind w:left="100" w:right="100"/>
            </w:pPr>
            <w:r>
              <w:rPr>
                <w:rFonts w:hint="eastAsia"/>
              </w:rPr>
              <w:t>a）疏散门应直通室外或安全出口；</w:t>
            </w:r>
          </w:p>
          <w:p>
            <w:pPr>
              <w:pStyle w:val="40"/>
              <w:ind w:left="100" w:right="100"/>
            </w:pPr>
            <w:r>
              <w:rPr>
                <w:rFonts w:hint="eastAsia"/>
              </w:rPr>
              <w:t>b）主要通道宽度不应小于1.2 m；</w:t>
            </w:r>
          </w:p>
          <w:p>
            <w:pPr>
              <w:pStyle w:val="40"/>
              <w:ind w:left="100" w:right="100"/>
            </w:pPr>
            <w:r>
              <w:rPr>
                <w:rFonts w:hint="eastAsia"/>
              </w:rPr>
              <w:t>c）设消防专用电话分机。</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50016-2014《建筑设计防火规范》第8.1.7条</w:t>
            </w:r>
          </w:p>
          <w:p>
            <w:pPr>
              <w:pStyle w:val="40"/>
              <w:ind w:left="100" w:right="100"/>
            </w:pPr>
            <w:r>
              <w:rPr>
                <w:rFonts w:hint="eastAsia"/>
              </w:rPr>
              <w:t>GB 50974-2014《消防给水及消火栓系统技术规范》第5.5.2条</w:t>
            </w:r>
          </w:p>
          <w:p>
            <w:pPr>
              <w:pStyle w:val="40"/>
              <w:ind w:left="100" w:right="100"/>
            </w:pPr>
            <w:r>
              <w:rPr>
                <w:rFonts w:hint="eastAsia"/>
              </w:rPr>
              <w:t>GB 50116-2013《火灾自动报警系统设计规范》第6.7.4条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危险化学品储存场所安全出口少于2个。</w:t>
            </w:r>
          </w:p>
          <w:p>
            <w:pPr>
              <w:pStyle w:val="40"/>
              <w:ind w:left="100" w:right="100"/>
            </w:pPr>
            <w:r>
              <w:rPr>
                <w:rFonts w:hint="eastAsia"/>
              </w:rPr>
              <w:t>（当建筑面积不大于100 m2时，可设置1个安全出口）</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50016-2014《建筑设计防火规范》第3.8.2条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场所环境类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标志及标识类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实验室的每个出口和入口不能清晰地分辨，紧急出口处未有标记以和普通出口区别。</w:t>
            </w:r>
          </w:p>
          <w:p>
            <w:pPr>
              <w:pStyle w:val="40"/>
              <w:ind w:left="100" w:right="100"/>
            </w:pPr>
            <w:r>
              <w:rPr>
                <w:rFonts w:hint="eastAsia"/>
              </w:rPr>
              <w:t>（标记应包括国际或国家通用的危险标志（如：生物危险标志、火灾标志和放射性标志）以及其他有关的规定标记。）</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GB19781-2005《医学实验室安全要求》第6.3.7条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生产设备设施处，未按规定设置安全警示标志，并在设备设施附近悬挂操作规程。</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33000-2016《企业安全生产标准化基本规范》第5.2.3条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未在磁共振、电子计算机断层扫描、超声诊断等设备机房外显著位置张贴安全告知。</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33000-2016《企业安全生产标准化基本规范》第5.4.4条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液氧贮罐站的氧气储罐及液氧贮罐本体未设置标识和警示标志，周围未设置安全标识。</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50751-2012《医用气体工程技术规范》第4.6.3条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变配电系统内标志标识未齐全、清楚、正确，还未符合下列要求：</w:t>
            </w:r>
          </w:p>
          <w:p>
            <w:pPr>
              <w:pStyle w:val="40"/>
              <w:ind w:left="100" w:right="100"/>
            </w:pPr>
            <w:r>
              <w:rPr>
                <w:rFonts w:hint="eastAsia"/>
              </w:rPr>
              <w:t>安全标示牌的悬挂位置和式样要求应符合表G.3的规定；</w:t>
            </w:r>
          </w:p>
          <w:p>
            <w:pPr>
              <w:pStyle w:val="40"/>
              <w:ind w:left="100" w:right="100"/>
            </w:pPr>
            <w:r>
              <w:rPr>
                <w:rFonts w:hint="eastAsia"/>
              </w:rPr>
              <w:t>部分停电的工作，工作人员与未停电设备安全距离不符合表 2 规定时应装设临时遮栏，表中未列电压等级按高一档电压等级安全距离。（见附页表2）</w:t>
            </w:r>
          </w:p>
          <w:p>
            <w:pPr>
              <w:pStyle w:val="40"/>
              <w:ind w:left="100" w:right="100"/>
            </w:pPr>
            <w:r>
              <w:rPr>
                <w:rFonts w:hint="eastAsia"/>
              </w:rPr>
              <w:t>每面配电盘柜应标明路名和调度操作编号，双面维护的配电盘柜前和盘柜后均应标明路名和调度操作编号，且路名、编号应与模拟屏、自动化监控系统、运行资料等保持一致；</w:t>
            </w:r>
          </w:p>
          <w:p>
            <w:pPr>
              <w:pStyle w:val="40"/>
              <w:ind w:left="100" w:right="100"/>
            </w:pPr>
            <w:r>
              <w:rPr>
                <w:rFonts w:hint="eastAsia"/>
              </w:rPr>
              <w:t>配电装置前应标注警戒线，警戒线距配电装置应不小于800 mm；</w:t>
            </w:r>
          </w:p>
          <w:p>
            <w:pPr>
              <w:pStyle w:val="40"/>
              <w:ind w:left="100" w:right="100"/>
            </w:pPr>
            <w:r>
              <w:rPr>
                <w:rFonts w:hint="eastAsia"/>
              </w:rPr>
              <w:t>设备上不应粘贴与运行无关的标志，不应悬挂、堆放杂物；</w:t>
            </w:r>
          </w:p>
          <w:p>
            <w:pPr>
              <w:pStyle w:val="40"/>
              <w:ind w:left="100" w:right="100"/>
            </w:pPr>
            <w:r>
              <w:rPr>
                <w:rFonts w:hint="eastAsia"/>
              </w:rPr>
              <w:t>变配电室的出入口应设置明显的安全警示标志牌。</w:t>
            </w:r>
          </w:p>
          <w:p>
            <w:pPr>
              <w:pStyle w:val="40"/>
              <w:ind w:left="100" w:right="100"/>
            </w:pPr>
            <w:r>
              <w:rPr>
                <w:rFonts w:hint="eastAsia"/>
              </w:rPr>
              <w:t>电缆的首端、末端和分支处应设标志牌。</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DB11/527-2021《配电室安全管理规范》第6.2.1条、第6.2.2条、第6.2.3条、第6.2.4条、第6.2.5条、第6.2.6条、第6.2.7条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消防安全疏散标志未设置在下列位置：</w:t>
            </w:r>
          </w:p>
          <w:p>
            <w:pPr>
              <w:pStyle w:val="40"/>
              <w:ind w:left="100" w:right="100"/>
            </w:pPr>
            <w:r>
              <w:rPr>
                <w:rFonts w:hint="eastAsia"/>
              </w:rPr>
              <w:t>a）安全出口；</w:t>
            </w:r>
          </w:p>
          <w:p>
            <w:pPr>
              <w:pStyle w:val="40"/>
              <w:ind w:left="100" w:right="100"/>
            </w:pPr>
            <w:r>
              <w:rPr>
                <w:rFonts w:hint="eastAsia"/>
              </w:rPr>
              <w:t xml:space="preserve">b）防烟楼梯间的前室或合用前室； </w:t>
            </w:r>
          </w:p>
          <w:p>
            <w:pPr>
              <w:pStyle w:val="40"/>
              <w:ind w:left="100" w:right="100"/>
            </w:pPr>
            <w:r>
              <w:rPr>
                <w:rFonts w:hint="eastAsia"/>
              </w:rPr>
              <w:t>c）超过20 m的走道、超过10 m的袋形走道；</w:t>
            </w:r>
          </w:p>
          <w:p>
            <w:pPr>
              <w:pStyle w:val="40"/>
              <w:ind w:left="100" w:right="100"/>
            </w:pPr>
            <w:r>
              <w:rPr>
                <w:rFonts w:hint="eastAsia"/>
              </w:rPr>
              <w:t>d）疏散走道拐弯处；</w:t>
            </w:r>
          </w:p>
          <w:p>
            <w:pPr>
              <w:pStyle w:val="40"/>
              <w:ind w:left="100" w:right="100"/>
            </w:pPr>
            <w:r>
              <w:rPr>
                <w:rFonts w:hint="eastAsia"/>
              </w:rPr>
              <w:t>e）高层建筑或多层建筑中建筑面积大于300 m2的会议室、多功能厅等公共活动用房；地下建筑中各房间总面积超过200 m2且经常有人停留的活动场所的房间疏散门；</w:t>
            </w:r>
          </w:p>
          <w:p>
            <w:pPr>
              <w:pStyle w:val="40"/>
              <w:ind w:left="100" w:right="100"/>
            </w:pPr>
            <w:r>
              <w:rPr>
                <w:rFonts w:hint="eastAsia"/>
              </w:rPr>
              <w:t>f）避难层（间）。</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DB11/1024-2013《消防安全疏散标志设置标准》第3.2.2条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非联动控制的安全出口或疏散通道中的门扇未设置“禁止锁闭”标志。室内疏散走道或室外通道醒目处未设置“禁止阻塞”标志。</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DB11/1024-2013《消防安全疏散标志设置标准》第3.3.3条</w:t>
            </w:r>
          </w:p>
          <w:p>
            <w:pPr>
              <w:pStyle w:val="40"/>
              <w:ind w:left="100" w:right="100"/>
            </w:pPr>
            <w:r>
              <w:rPr>
                <w:rFonts w:hint="eastAsia"/>
              </w:rPr>
              <w:t>GB 15630-1995《消防安全标志设置要求》第5.3条、第5.4条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场所环境类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标志及标识类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消防安全疏散标志的设置未符合下列要求：</w:t>
            </w:r>
          </w:p>
          <w:p>
            <w:pPr>
              <w:pStyle w:val="40"/>
              <w:ind w:left="100" w:right="100"/>
            </w:pPr>
            <w:r>
              <w:rPr>
                <w:rFonts w:hint="eastAsia"/>
              </w:rPr>
              <w:t>a）消防疏散导流标志应沿疏散通道和疏散路线设置；疏散走道转角区域1 m范围内应设置消防安全疏散标志；疏散走道和主要疏散路线的地面或靠近地面的墙上应设置消防安全疏散标志；</w:t>
            </w:r>
          </w:p>
          <w:p>
            <w:pPr>
              <w:pStyle w:val="40"/>
              <w:ind w:left="100" w:right="100"/>
            </w:pPr>
            <w:r>
              <w:rPr>
                <w:rFonts w:hint="eastAsia"/>
              </w:rPr>
              <w:t>b）消防安全疏散标志设置在距地面高度1 m以下的墙面上，间距不应大于10 m；设置在疏散走道上空，间距不应大于20 m，其标志面应与疏散方向垂直，标志下边缘距室内地面距离宜为2.2 m～2.5 m；增设的电光源型消防疏散导流标志间距不应小于3 m，且不应超过5 m。设置在墙面上时，底边距地不大于0.2 m；非电光源型消防安全疏散标志应设置在电光源型疏散标志之间，且间距不应小于2 m，不应大于3 m；</w:t>
            </w:r>
          </w:p>
          <w:p>
            <w:pPr>
              <w:pStyle w:val="40"/>
              <w:ind w:left="100" w:right="100"/>
            </w:pPr>
            <w:r>
              <w:rPr>
                <w:rFonts w:hint="eastAsia"/>
              </w:rPr>
              <w:t>c）非电光源型消防安全疏散标志只能作为电光源型消防安全疏散标志的辅助指示设施；</w:t>
            </w:r>
          </w:p>
          <w:p>
            <w:pPr>
              <w:pStyle w:val="40"/>
              <w:ind w:left="100" w:right="100"/>
            </w:pPr>
            <w:r>
              <w:rPr>
                <w:rFonts w:hint="eastAsia"/>
              </w:rPr>
              <w:t>d）消防安全疏散标志应独立设置在醒目位置。疏散出口和安全出口标志不应设置在可开启的门、窗扇上或其他可移动的物体上，应设在靠近其出口一侧的门上方或门洞两侧的墙面上，标志的下边缘距门的上边缘不宜大于0.3 m。在远离安全出口的地方，应将安全出口标志和疏散通道方向标志联合设置，箭头应指向最近的安全出口。</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DB11/1024-2013《消防安全疏散标志设置标准》第3.1.4条、第3.1.5条、第3.2.3条、第3.2.5条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未在医疗卫生机构建筑内不同区域的明显位置设置安全疏散指示图，指示图上未标明疏散路线、安全出口、人员所在位置和必要的文字说明。</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308-2009《医疗机构消防安全管理》第4.1.9条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未在危化品储存场所的显著位置张贴或悬挂现场处置方案。</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第2部分：安全生产通用要求》第3.8.1.14条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存放废弃危险化学品的场所、设施、包装容器未设置危险废弃物识别标志，且并未设置安全监护措施。</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DB11/1578-2018《医疗机构危险化学品安全管理规范》第9.3条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产生职业病危害的地方，未在醒目位置设置公告栏，公布有关职业病防治的规章制度、操作规程、职业病危害事故应急救援措施和工作场所职业病危害因素检测结果。</w:t>
            </w:r>
          </w:p>
          <w:p>
            <w:pPr>
              <w:pStyle w:val="40"/>
              <w:ind w:left="100" w:right="100"/>
            </w:pPr>
            <w:r>
              <w:rPr>
                <w:rFonts w:hint="eastAsia"/>
              </w:rPr>
              <w:t>存在或者产生职业病危害的工作场所、作业岗位、设备、设施，未按照《工作场所职业病危害警示标识》（GBZ158）的规定，在醒目位置设置图形、警示线、警示语句等警示标识和中文警示说明。警示说明应当载明产生职业病危害的种类、后果、预防和应急处置措施等内容。</w:t>
            </w:r>
          </w:p>
          <w:p>
            <w:pPr>
              <w:pStyle w:val="40"/>
              <w:ind w:left="100" w:right="100"/>
            </w:pPr>
            <w:r>
              <w:rPr>
                <w:rFonts w:hint="eastAsia"/>
              </w:rPr>
              <w:t>存在或者产生高毒物品的作业岗位，未按照《高毒物品作业岗位职业病危害告知规范》（GBZ/T203）的规定，在醒目位置设置高毒物品告知卡，告知卡应当载明高毒物品的名称、理化特性、健康危害、防护措施及应急处理等告知内容与警示标识。</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《中华人民共和国职业病防治法》第二十四条</w:t>
            </w:r>
          </w:p>
          <w:p>
            <w:pPr>
              <w:pStyle w:val="40"/>
              <w:ind w:left="100" w:right="100"/>
            </w:pPr>
            <w:r>
              <w:rPr>
                <w:rFonts w:hint="eastAsia"/>
              </w:rPr>
              <w:t>《工作场所职业卫生管理规定》第十五条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医疗废物产生地点未有医疗废物分类收集方法的示意图或者文字说明。</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《医疗卫生机构医疗废物管理办法》第十二条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作业环境类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存在职业病危害因素分类目录所列职业病危害因素的医疗卫生机构，未委托具有相应的资质的职业卫生技术服务机构，每年未至少进行1次职业病危害因素检测。每三年未至少进行一次职业病危害现状评价。</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《中华人民共和国职业病防治法》第二十六条</w:t>
            </w:r>
          </w:p>
          <w:p>
            <w:pPr>
              <w:pStyle w:val="40"/>
              <w:ind w:left="100" w:right="100"/>
            </w:pPr>
            <w:r>
              <w:rPr>
                <w:rFonts w:hint="eastAsia"/>
              </w:rPr>
              <w:t>《工作场所职业卫生管理规定》第二十条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药品库房内的升降机载人，其附近堆放纱布、药箱等可燃物。</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308-2009《医疗机构消防安全管理》第5.5.4条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场所环境类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作业环境类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药品库房中采用堆垛方式存放的中草药，未采取定期翻堆散热等防止自燃的措施，必要时加装视频监控装置。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药品库房内堆放药品未符合下列要求：</w:t>
            </w:r>
          </w:p>
          <w:p>
            <w:pPr>
              <w:pStyle w:val="40"/>
              <w:ind w:left="100" w:right="100"/>
            </w:pPr>
            <w:r>
              <w:rPr>
                <w:rFonts w:hint="eastAsia"/>
              </w:rPr>
              <w:t>a）堆垛上部与楼板、平屋顶之间的距离不小于0.3 m（人字屋架从横梁算起）；</w:t>
            </w:r>
          </w:p>
          <w:p>
            <w:pPr>
              <w:pStyle w:val="40"/>
              <w:ind w:left="100" w:right="100"/>
            </w:pPr>
            <w:r>
              <w:rPr>
                <w:rFonts w:hint="eastAsia"/>
              </w:rPr>
              <w:t>b）物品与照明灯之间的距离不小于0.5 m；</w:t>
            </w:r>
          </w:p>
          <w:p>
            <w:pPr>
              <w:pStyle w:val="40"/>
              <w:ind w:left="100" w:right="100"/>
            </w:pPr>
            <w:r>
              <w:rPr>
                <w:rFonts w:hint="eastAsia"/>
              </w:rPr>
              <w:t>c）物品与墙之间的距离不小于0.5 m；</w:t>
            </w:r>
          </w:p>
          <w:p>
            <w:pPr>
              <w:pStyle w:val="40"/>
              <w:ind w:left="100" w:right="100"/>
            </w:pPr>
            <w:r>
              <w:rPr>
                <w:rFonts w:hint="eastAsia"/>
              </w:rPr>
              <w:t>d）物品堆垛与柱之间的距离不小于0.3 m；</w:t>
            </w:r>
          </w:p>
          <w:p>
            <w:pPr>
              <w:pStyle w:val="40"/>
              <w:ind w:left="100" w:right="100"/>
            </w:pPr>
            <w:r>
              <w:rPr>
                <w:rFonts w:hint="eastAsia"/>
              </w:rPr>
              <w:t>e）物品堆垛与堆垛之间的距离不小于1 m。</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XF 1131-2014《仓储场所消防安全管理通则》第6.8条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设备设施使用科室未保持工作环境清洁、干燥，未根据设备设施的使用安全要求做好防尘、防潮、防爆、防水、防电磁波、防静电工作。</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33000-2016《企业安全生产标准化基本规范》第5.4.2.1条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液氧贮罐站未远离热源、火源和易燃、易爆源</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51039-2014《综合医院建筑设计规范》第5.24.5条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变配电系统的室内环境未符合下列要求：</w:t>
            </w:r>
          </w:p>
          <w:p>
            <w:pPr>
              <w:pStyle w:val="40"/>
              <w:ind w:left="100" w:right="100"/>
            </w:pPr>
            <w:r>
              <w:rPr>
                <w:rFonts w:hint="eastAsia"/>
              </w:rPr>
              <w:t>a）变压器、高压配电装置、低压配电装置的操作区、维护通道应铺设绝缘胶垫；</w:t>
            </w:r>
          </w:p>
          <w:p>
            <w:pPr>
              <w:pStyle w:val="40"/>
              <w:ind w:left="100" w:right="100"/>
            </w:pPr>
            <w:r>
              <w:rPr>
                <w:rFonts w:hint="eastAsia"/>
              </w:rPr>
              <w:t>b）室内环境整洁，场地平整，设备间不应存放与运行无关的物品，设备间内不应有与其无关的管道和线路通过，巡视道路畅通；</w:t>
            </w:r>
          </w:p>
          <w:p>
            <w:pPr>
              <w:pStyle w:val="40"/>
              <w:ind w:left="100" w:right="100"/>
            </w:pPr>
            <w:r>
              <w:rPr>
                <w:rFonts w:hint="eastAsia"/>
              </w:rPr>
              <w:t>c）设备构架、基础无严重腐蚀，房屋不漏雨，无应封堵的孔洞、沟道；</w:t>
            </w:r>
          </w:p>
          <w:p>
            <w:pPr>
              <w:pStyle w:val="40"/>
              <w:ind w:left="100" w:right="100"/>
            </w:pPr>
            <w:r>
              <w:rPr>
                <w:rFonts w:hint="eastAsia"/>
              </w:rPr>
              <w:t>d）电缆沟盖板齐全，电缆夹层、电缆沟和电缆室设置的防水、排水措施完好有效。e）设备区域内应配有温、湿度计；</w:t>
            </w:r>
          </w:p>
          <w:p>
            <w:pPr>
              <w:pStyle w:val="40"/>
              <w:ind w:left="100" w:right="100"/>
            </w:pPr>
            <w:r>
              <w:rPr>
                <w:rFonts w:hint="eastAsia"/>
              </w:rPr>
              <w:t>f）有专人值班的变配电室应配备专用电话，电话畅通，时钟准确。</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DB11/527-2021《配电室安全管理规范》第6.3.1条、第6.3.2条、第6.3.3条、第6.3.4条、第6.3.9条、第6.3.10条</w:t>
            </w:r>
          </w:p>
          <w:p>
            <w:pPr>
              <w:pStyle w:val="40"/>
              <w:ind w:left="100" w:right="100"/>
            </w:pPr>
            <w:r>
              <w:rPr>
                <w:rFonts w:hint="eastAsia"/>
              </w:rPr>
              <w:t>GB 50575-2010《1kV及以下配线工程施工与验收规范》第3.0.5条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柴油发电机房未符合下列要求：</w:t>
            </w:r>
          </w:p>
          <w:p>
            <w:pPr>
              <w:pStyle w:val="40"/>
              <w:ind w:left="100" w:right="100"/>
            </w:pPr>
            <w:r>
              <w:rPr>
                <w:rFonts w:hint="eastAsia"/>
              </w:rPr>
              <w:t>a）机房应有良好的通风；</w:t>
            </w:r>
          </w:p>
          <w:p>
            <w:pPr>
              <w:pStyle w:val="40"/>
              <w:ind w:left="100" w:right="100"/>
            </w:pPr>
            <w:r>
              <w:rPr>
                <w:rFonts w:hint="eastAsia"/>
              </w:rPr>
              <w:t>b）机房面积在50㎡及以下时宜设置不少于一个出入口，在50㎡以上时宜设置不少于两个出入口，其中一个应满足搬运机组的需要；门应为向外开启的甲级防火门；发电机间与控制室、配电室之间的门和观察窗应采取防火、隔声措施，门应为甲级防火门，并应开向发电机间；</w:t>
            </w:r>
          </w:p>
          <w:p>
            <w:pPr>
              <w:pStyle w:val="40"/>
              <w:ind w:left="100" w:right="100"/>
            </w:pPr>
            <w:r>
              <w:rPr>
                <w:rFonts w:hint="eastAsia"/>
              </w:rPr>
              <w:t>c）储油间应采用防火墙与发电机间隔开；当必须在防火墙上开门时，应设置能自行关闭的甲级防火门。</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51348-2019《民用建筑电气设计标准》第6.1.11条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易燃易爆危险化学品的储存未符合下列要求：</w:t>
            </w:r>
          </w:p>
          <w:p>
            <w:pPr>
              <w:pStyle w:val="40"/>
              <w:ind w:left="100" w:right="100"/>
            </w:pPr>
            <w:r>
              <w:rPr>
                <w:rFonts w:hint="eastAsia"/>
              </w:rPr>
              <w:t>a）储存场所应干燥、易于通风、密闭和避光，并应安装避雷装置；可能散发或泄漏可燃气体、可燃蒸汽的场所应安装可燃气体检测报警装置；电气应符合防爆要求；门应向疏散方向开启，地面平整、耐磨、防滑，不应设地沟、暗道，门窗、地面应采用撞击时不产生火花的材料制作；</w:t>
            </w:r>
          </w:p>
          <w:p>
            <w:pPr>
              <w:pStyle w:val="40"/>
              <w:ind w:left="100" w:right="100"/>
            </w:pPr>
            <w:r>
              <w:rPr>
                <w:rFonts w:hint="eastAsia"/>
              </w:rPr>
              <w:t>b）易爆性危险化学品应避免阳光直射、远离火源、电源及产生火花的环境。</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17914-2013《易燃易爆性商品储存养护技术条件》第4.2.1条、第4.3.1条</w:t>
            </w:r>
          </w:p>
          <w:p>
            <w:pPr>
              <w:pStyle w:val="40"/>
              <w:ind w:left="100" w:right="100"/>
            </w:pPr>
            <w:r>
              <w:rPr>
                <w:rFonts w:hint="eastAsia"/>
              </w:rPr>
              <w:t>DB11/ 755-2010《危险化学品仓库建设及储存安全规范》第4.1.3条、第4.2.1条、第4.3.8条、第4.4.5条</w:t>
            </w:r>
          </w:p>
          <w:p>
            <w:pPr>
              <w:pStyle w:val="40"/>
              <w:ind w:left="100" w:right="100"/>
            </w:pPr>
            <w:r>
              <w:rPr>
                <w:rFonts w:hint="eastAsia"/>
              </w:rPr>
              <w:t>《危险化学品安全管理条例》第八十条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场所环境类</w:t>
            </w:r>
          </w:p>
        </w:tc>
        <w:tc>
          <w:tcPr>
            <w:tcW w:w="91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作业环境类</w:t>
            </w: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腐蚀性危险化学品的储存未符合下列要求：</w:t>
            </w:r>
          </w:p>
          <w:p>
            <w:pPr>
              <w:pStyle w:val="40"/>
              <w:ind w:left="100" w:right="100"/>
            </w:pPr>
            <w:r>
              <w:rPr>
                <w:rFonts w:hint="eastAsia"/>
              </w:rPr>
              <w:t>a）储存场所应阴凉、干燥、通风、避阳，并经防腐蚀、防渗处理；</w:t>
            </w:r>
          </w:p>
          <w:p>
            <w:pPr>
              <w:pStyle w:val="40"/>
              <w:ind w:left="100" w:right="100"/>
            </w:pPr>
            <w:r>
              <w:rPr>
                <w:rFonts w:hint="eastAsia"/>
              </w:rPr>
              <w:t>b）腐蚀性危险化学品应远离热源、电源、火源。</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17915-2013《腐蚀性商品储存养护技术条件》第4.1.1条、第4.3.1条</w:t>
            </w:r>
          </w:p>
          <w:p>
            <w:pPr>
              <w:pStyle w:val="40"/>
              <w:ind w:left="100" w:right="100"/>
            </w:pPr>
            <w:r>
              <w:rPr>
                <w:rFonts w:hint="eastAsia"/>
              </w:rPr>
              <w:t>DB11/ 755-2010《危险化学品仓库建设及储存安全规范》第4.4.6条</w:t>
            </w:r>
          </w:p>
          <w:p>
            <w:pPr>
              <w:pStyle w:val="40"/>
              <w:ind w:left="100" w:right="100"/>
            </w:pPr>
            <w:r>
              <w:rPr>
                <w:rFonts w:hint="eastAsia"/>
              </w:rPr>
              <w:t>《危险化学品安全管理条例》第八十条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有毒危险化学品的储存未符合下列要求：</w:t>
            </w:r>
          </w:p>
          <w:p>
            <w:pPr>
              <w:pStyle w:val="40"/>
              <w:ind w:left="100" w:right="100"/>
            </w:pPr>
            <w:r>
              <w:rPr>
                <w:rFonts w:hint="eastAsia"/>
              </w:rPr>
              <w:t>a）储存场所应干燥、通风，机械通风排毒应有安全防护和处理措施，并应远离居民区和水源，在固定和方便的位置配置与毒害性相匹配的消防器材、报警装置和急救药箱；</w:t>
            </w:r>
          </w:p>
          <w:p>
            <w:pPr>
              <w:pStyle w:val="40"/>
              <w:ind w:left="100" w:right="100"/>
            </w:pPr>
            <w:r>
              <w:rPr>
                <w:rFonts w:hint="eastAsia"/>
              </w:rPr>
              <w:t>b）应避免阳光直射、暴晒，远离热源、电源、火源；</w:t>
            </w:r>
          </w:p>
          <w:p>
            <w:pPr>
              <w:pStyle w:val="40"/>
              <w:ind w:left="100" w:right="100"/>
            </w:pPr>
            <w:r>
              <w:rPr>
                <w:rFonts w:hint="eastAsia"/>
              </w:rPr>
              <w:t>c）剧毒品应专库储存或存放在彼此间隔的单间内，并安装防盗报警器和监控系统，库门装双锁，实行双人收发、双人保管制度。</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17916-2013《毒害性商品储存养护技术条件》第4.1.1条、第4.2.1条、第4.2.2条、第4.2.4条</w:t>
            </w:r>
          </w:p>
          <w:p>
            <w:pPr>
              <w:pStyle w:val="40"/>
              <w:ind w:left="100" w:right="100"/>
            </w:pPr>
            <w:r>
              <w:rPr>
                <w:rFonts w:hint="eastAsia"/>
              </w:rPr>
              <w:t>DB11/ 755-2010《危险化学品仓库建设及储存安全规范》第4.4.7条</w:t>
            </w:r>
          </w:p>
          <w:p>
            <w:pPr>
              <w:pStyle w:val="40"/>
              <w:ind w:left="100" w:right="100"/>
            </w:pPr>
            <w:r>
              <w:rPr>
                <w:rFonts w:hint="eastAsia"/>
              </w:rPr>
              <w:t>《危险化学品安全管理条例》第八十条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8" w:type="dxa"/>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0" w:leftChars="0" w:right="0" w:rightChars="0" w:firstLine="0" w:firstLineChars="0"/>
              <w:rPr>
                <w:rFonts w:ascii="宋体" w:hAnsi="宋体"/>
                <w:bCs/>
                <w:szCs w:val="20"/>
                <w:lang w:bidi="mn-Mong-CN"/>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宋体" w:hAnsi="宋体"/>
                <w:bCs/>
                <w:kern w:val="0"/>
                <w:szCs w:val="20"/>
              </w:rPr>
            </w:pPr>
          </w:p>
        </w:tc>
        <w:tc>
          <w:tcPr>
            <w:tcW w:w="67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在危险化学品储存场所内堆积可燃性物品。泄漏、渗漏危险化学品的包装容器未迅速转移至安全区域。</w:t>
            </w:r>
          </w:p>
        </w:tc>
        <w:tc>
          <w:tcPr>
            <w:tcW w:w="36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1578-2018《医疗机构危险化学品安全管理规范》第5.8条</w:t>
            </w:r>
          </w:p>
        </w:tc>
        <w:tc>
          <w:tcPr>
            <w:tcW w:w="7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bl>
    <w:p>
      <w:pPr>
        <w:adjustRightInd w:val="0"/>
        <w:snapToGrid w:val="0"/>
        <w:ind w:left="0" w:leftChars="0" w:right="100" w:firstLine="0" w:firstLineChars="0"/>
      </w:pPr>
      <w:r>
        <w:br w:type="page"/>
      </w:r>
    </w:p>
    <w:p>
      <w:pPr>
        <w:pStyle w:val="3"/>
        <w:keepNext w:val="0"/>
        <w:keepLines w:val="0"/>
        <w:adjustRightInd w:val="0"/>
        <w:snapToGrid w:val="0"/>
        <w:spacing w:before="0" w:after="0"/>
        <w:ind w:left="100" w:right="100"/>
        <w:rPr>
          <w:rFonts w:ascii="黑体" w:hAnsi="黑体" w:cs="黑体"/>
          <w:kern w:val="0"/>
          <w:sz w:val="32"/>
          <w:szCs w:val="32"/>
        </w:rPr>
      </w:pPr>
      <w:bookmarkStart w:id="0" w:name="_Toc120634486"/>
      <w:r>
        <w:rPr>
          <w:rFonts w:hint="eastAsia" w:ascii="黑体" w:hAnsi="黑体" w:cs="黑体"/>
          <w:kern w:val="0"/>
          <w:sz w:val="32"/>
          <w:szCs w:val="32"/>
        </w:rPr>
        <w:t>（2）北京市社区卫生服务机构生产安全事故隐患目录</w:t>
      </w:r>
      <w:bookmarkEnd w:id="0"/>
    </w:p>
    <w:p>
      <w:pPr>
        <w:adjustRightInd w:val="0"/>
        <w:snapToGrid w:val="0"/>
        <w:ind w:left="100" w:right="100"/>
      </w:pPr>
    </w:p>
    <w:tbl>
      <w:tblPr>
        <w:tblStyle w:val="13"/>
        <w:tblW w:w="14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795"/>
        <w:gridCol w:w="900"/>
        <w:gridCol w:w="6675"/>
        <w:gridCol w:w="3600"/>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362"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pStyle w:val="24"/>
              <w:adjustRightInd w:val="0"/>
              <w:snapToGrid w:val="0"/>
              <w:spacing w:line="240" w:lineRule="auto"/>
              <w:ind w:left="0" w:leftChars="0" w:right="0" w:rightChars="0" w:firstLine="0" w:firstLineChars="0"/>
              <w:jc w:val="center"/>
              <w:rPr>
                <w:rFonts w:ascii="宋体" w:hAnsi="宋体"/>
                <w:bCs/>
                <w:sz w:val="24"/>
                <w:szCs w:val="24"/>
                <w:lang w:bidi="mn-Mong-CN"/>
              </w:rPr>
            </w:pPr>
            <w:r>
              <w:rPr>
                <w:rFonts w:hint="eastAsia" w:ascii="宋体" w:hAnsi="宋体"/>
                <w:bCs/>
                <w:sz w:val="24"/>
                <w:szCs w:val="24"/>
                <w:lang w:bidi="mn-Mong-CN"/>
              </w:rPr>
              <w:t>编号</w:t>
            </w:r>
          </w:p>
        </w:tc>
        <w:tc>
          <w:tcPr>
            <w:tcW w:w="1695" w:type="dxa"/>
            <w:gridSpan w:val="2"/>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隐患分类</w:t>
            </w:r>
          </w:p>
        </w:tc>
        <w:tc>
          <w:tcPr>
            <w:tcW w:w="6675"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pStyle w:val="40"/>
              <w:ind w:left="100" w:right="100"/>
              <w:jc w:val="center"/>
              <w:rPr>
                <w:sz w:val="24"/>
                <w:szCs w:val="24"/>
              </w:rPr>
            </w:pPr>
            <w:r>
              <w:rPr>
                <w:rFonts w:hint="eastAsia"/>
                <w:sz w:val="24"/>
                <w:szCs w:val="24"/>
              </w:rPr>
              <w:t>隐患内容</w:t>
            </w:r>
          </w:p>
        </w:tc>
        <w:tc>
          <w:tcPr>
            <w:tcW w:w="3600"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pStyle w:val="40"/>
              <w:ind w:left="100" w:right="100"/>
              <w:jc w:val="center"/>
              <w:rPr>
                <w:sz w:val="24"/>
                <w:szCs w:val="24"/>
              </w:rPr>
            </w:pPr>
            <w:r>
              <w:rPr>
                <w:rFonts w:hint="eastAsia"/>
                <w:sz w:val="24"/>
                <w:szCs w:val="24"/>
              </w:rPr>
              <w:t>依    据</w:t>
            </w:r>
          </w:p>
        </w:tc>
        <w:tc>
          <w:tcPr>
            <w:tcW w:w="770"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vMerge w:val="continue"/>
            <w:tcBorders>
              <w:top w:val="single" w:color="auto" w:sz="4" w:space="0"/>
              <w:left w:val="single" w:color="auto" w:sz="4" w:space="0"/>
              <w:bottom w:val="single" w:color="auto" w:sz="4" w:space="0"/>
              <w:right w:val="single" w:color="auto" w:sz="4" w:space="0"/>
            </w:tcBorders>
            <w:vAlign w:val="center"/>
          </w:tcPr>
          <w:p>
            <w:pPr>
              <w:pStyle w:val="24"/>
              <w:numPr>
                <w:ilvl w:val="0"/>
                <w:numId w:val="3"/>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一类</w:t>
            </w:r>
          </w:p>
        </w:tc>
        <w:tc>
          <w:tcPr>
            <w:tcW w:w="900" w:type="dxa"/>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二类</w:t>
            </w:r>
          </w:p>
        </w:tc>
        <w:tc>
          <w:tcPr>
            <w:tcW w:w="6675" w:type="dxa"/>
            <w:vMerge w:val="continue"/>
            <w:tcBorders>
              <w:top w:val="single" w:color="auto" w:sz="4" w:space="0"/>
              <w:left w:val="single" w:color="auto" w:sz="4" w:space="0"/>
              <w:bottom w:val="single" w:color="auto" w:sz="4" w:space="0"/>
              <w:right w:val="single" w:color="auto" w:sz="4" w:space="0"/>
            </w:tcBorders>
            <w:vAlign w:val="center"/>
          </w:tcPr>
          <w:p>
            <w:pPr>
              <w:pStyle w:val="40"/>
              <w:ind w:left="100" w:right="100"/>
            </w:pPr>
          </w:p>
        </w:tc>
        <w:tc>
          <w:tcPr>
            <w:tcW w:w="3600" w:type="dxa"/>
            <w:vMerge w:val="continue"/>
            <w:tcBorders>
              <w:top w:val="single" w:color="auto" w:sz="4" w:space="0"/>
              <w:left w:val="single" w:color="auto" w:sz="4" w:space="0"/>
              <w:bottom w:val="single" w:color="auto" w:sz="4" w:space="0"/>
              <w:right w:val="single" w:color="auto" w:sz="4" w:space="0"/>
            </w:tcBorders>
            <w:vAlign w:val="center"/>
          </w:tcPr>
          <w:p>
            <w:pPr>
              <w:pStyle w:val="40"/>
              <w:ind w:left="100" w:right="100"/>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Chars="0" w:right="0" w:rightChars="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基础资料类</w:t>
            </w: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资质证照类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社区卫生服务机构未取得有效的《医疗机构执业许可证》、事业单位法人证书或其业务范围里的相关内容。</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《医疗机构管理条例》第十四条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机构及人员配备类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从业人员超过100人的，未设置安全生产管理机构或者配备专职安全生产管理人员；从业人员在100人以下的，未配备专职或者兼职的安全生产管理人员。</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 xml:space="preserve">《中华人民共和国安全生产法》第二十四条 </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责任制类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社区卫生服务机构未建立安全生产责任制，或安全生产责任制内容不完善（未明确某些岗位的职责，或某些岗位职责不健全）或未定期审核、更新。</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《中华人民共和国安全生产法》第四条</w:t>
            </w:r>
          </w:p>
          <w:p>
            <w:pPr>
              <w:pStyle w:val="40"/>
              <w:ind w:left="100" w:right="100"/>
            </w:pPr>
            <w:r>
              <w:rPr>
                <w:rFonts w:hint="eastAsia"/>
              </w:rPr>
              <w:t>《北京市安全生产条例》第四条：</w:t>
            </w:r>
          </w:p>
          <w:p>
            <w:pPr>
              <w:pStyle w:val="40"/>
              <w:ind w:left="100" w:right="100"/>
            </w:pPr>
            <w:r>
              <w:rPr>
                <w:rFonts w:hint="eastAsia"/>
              </w:rPr>
              <w:t>a）主要负责人、安全生产管理人员、各岗位人员的安全生产职责；</w:t>
            </w:r>
          </w:p>
          <w:p>
            <w:pPr>
              <w:pStyle w:val="40"/>
              <w:ind w:left="100" w:right="100"/>
            </w:pPr>
            <w:r>
              <w:rPr>
                <w:rFonts w:hint="eastAsia"/>
              </w:rPr>
              <w:t>b）安全生产管理机构、各部门的安全生产职责；</w:t>
            </w:r>
          </w:p>
          <w:p>
            <w:pPr>
              <w:pStyle w:val="40"/>
              <w:ind w:left="100" w:right="100"/>
            </w:pPr>
            <w:r>
              <w:rPr>
                <w:rFonts w:hint="eastAsia"/>
              </w:rPr>
              <w:t>c）安全生产责任考核及奖惩。</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社区卫生服务机构未及时跟踪并获取适用于其生产经营活动的安全生产法律法规、标准规范，并未定期更新安全生产规章制度，使其符合现行法律法规、标准规范的要求。</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第2部分：安全生产通用要求》第3.1.2.2条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安全生产规章制度现行有效版本未经批准实施，未发放至相关岗位的从业人员。</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第2部分：安全生产通用要求》第3.1.2.3条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危化品储存场所未由专人负责管理。储存场所内未张贴安全管理部门负责人、安全责任人、消防控制室等联系电话，并未保持电话畅通。</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《危险化学品安全管理条例》第二十四条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kern w:val="0"/>
                <w:szCs w:val="20"/>
              </w:rPr>
            </w:pPr>
            <w:r>
              <w:rPr>
                <w:rFonts w:hint="eastAsia" w:ascii="宋体" w:hAnsi="宋体"/>
                <w:bCs/>
                <w:kern w:val="0"/>
                <w:szCs w:val="20"/>
              </w:rPr>
              <w:t>操作规程类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岗位安全操作规程要素不齐全。</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第2部分：安全生产通用要求》第3.1.3.2条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岗位安全操作规程现行有效版本未发放至相关岗位的从业人员。</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第2部分：安全生产通用要求》第3.1.3.3条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工艺、设备发生变化后未及时修订或更新岗位安全操作规程。</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第2部分：安全生产通用要求》第3.1.3.4条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szCs w:val="20"/>
              </w:rPr>
              <w:t>安全生产教育培训</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未制订年度安全生产培训计划。</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《中华人民共和国安全生产法》第二十一条（三）</w:t>
            </w:r>
          </w:p>
          <w:p>
            <w:pPr>
              <w:pStyle w:val="40"/>
              <w:ind w:left="100" w:right="100"/>
            </w:pPr>
            <w:r>
              <w:rPr>
                <w:rFonts w:hint="eastAsia"/>
              </w:rPr>
              <w:t>《生产经营单位安全培训规定》第二十一条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基础资料类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rPr>
            </w:pPr>
            <w:r>
              <w:rPr>
                <w:rFonts w:hint="eastAsia" w:ascii="宋体" w:hAnsi="宋体"/>
                <w:bCs/>
                <w:szCs w:val="20"/>
              </w:rPr>
              <w:t>安全生产教育培训</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未按照培训计划实施培训，培训内容未包括：</w:t>
            </w:r>
          </w:p>
          <w:p>
            <w:pPr>
              <w:pStyle w:val="40"/>
              <w:ind w:left="100" w:right="100"/>
            </w:pPr>
            <w:r>
              <w:rPr>
                <w:rFonts w:hint="eastAsia"/>
              </w:rPr>
              <w:t>对社区卫生服务机构主要负责人、职业卫生管理人员的职业卫生培训，应当包括下列主要内容：</w:t>
            </w:r>
          </w:p>
          <w:p>
            <w:pPr>
              <w:pStyle w:val="40"/>
              <w:ind w:left="100" w:right="100"/>
            </w:pPr>
            <w:r>
              <w:rPr>
                <w:rFonts w:hint="eastAsia"/>
              </w:rPr>
              <w:t>（一）职业卫生相关法律、法规、规章和国家职业卫生标准；</w:t>
            </w:r>
          </w:p>
          <w:p>
            <w:pPr>
              <w:pStyle w:val="40"/>
              <w:ind w:left="100" w:right="100"/>
            </w:pPr>
            <w:r>
              <w:rPr>
                <w:rFonts w:hint="eastAsia"/>
              </w:rPr>
              <w:t>（二）职业病危害预防和控制的基本知识；</w:t>
            </w:r>
          </w:p>
          <w:p>
            <w:pPr>
              <w:pStyle w:val="40"/>
              <w:ind w:left="100" w:right="100"/>
            </w:pPr>
            <w:r>
              <w:rPr>
                <w:rFonts w:hint="eastAsia"/>
              </w:rPr>
              <w:t>（三）职业卫生管理相关知识；</w:t>
            </w:r>
          </w:p>
          <w:p>
            <w:pPr>
              <w:pStyle w:val="40"/>
              <w:ind w:left="100" w:right="100"/>
            </w:pPr>
            <w:r>
              <w:rPr>
                <w:rFonts w:hint="eastAsia"/>
              </w:rPr>
              <w:t>（四）国家卫生健康委规定的其他内容。</w:t>
            </w:r>
          </w:p>
          <w:p>
            <w:pPr>
              <w:pStyle w:val="40"/>
              <w:ind w:left="100" w:right="100"/>
            </w:pPr>
            <w:r>
              <w:rPr>
                <w:rFonts w:hint="eastAsia"/>
              </w:rPr>
              <w:t>社区卫生服务机构应当对劳动者进行上岗前的职业卫生培训和在岗期间的定期职业卫生培训，普及职业卫生知识，督促劳动者遵守职业病防治的法律、法规、规章、国家职业卫生标准和操作规程。</w:t>
            </w:r>
          </w:p>
          <w:p>
            <w:pPr>
              <w:pStyle w:val="40"/>
              <w:ind w:left="100" w:right="100"/>
            </w:pPr>
            <w:r>
              <w:rPr>
                <w:rFonts w:hint="eastAsia"/>
              </w:rPr>
              <w:t>社区卫生服务机构应当对职业病危害严重的岗位的劳动者，进行专门的职业卫生培训，经培训合格后方可上岗作业。</w:t>
            </w:r>
          </w:p>
          <w:p>
            <w:pPr>
              <w:pStyle w:val="40"/>
              <w:ind w:left="100" w:right="100"/>
            </w:pPr>
            <w:r>
              <w:rPr>
                <w:rFonts w:hint="eastAsia"/>
              </w:rPr>
              <w:t>因变更工艺、技术、设备、材料，或者岗位调整导致劳动者接触的职业病危害因素发生变化的，社区卫生服务机构应当重新对劳动者进行上岗前的职业卫生培训。</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《生产经营单位安全培训规定》第七条、第八条、第十四条、第十五条、第十六条</w:t>
            </w:r>
          </w:p>
          <w:p>
            <w:pPr>
              <w:pStyle w:val="40"/>
              <w:ind w:left="100" w:right="100"/>
            </w:pPr>
            <w:r>
              <w:rPr>
                <w:rFonts w:hint="eastAsia"/>
              </w:rPr>
              <w:t>《工作场所职业卫生管理规定》第九条、第十条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从事特种作业、特种设备作业的人员和消防控制室操作职业资格证书的值班人员未按照有关规定，未经安全培训、考核合格，取得相应资格，便上岗作业，未按期参加复训和复审。</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 第三十条</w:t>
            </w:r>
          </w:p>
          <w:p>
            <w:pPr>
              <w:pStyle w:val="40"/>
              <w:ind w:left="100" w:right="100"/>
            </w:pPr>
            <w:r>
              <w:rPr>
                <w:rFonts w:hint="eastAsia"/>
              </w:rPr>
              <w:t>《中华人民共和国特种设备安全法》第十四条</w:t>
            </w:r>
          </w:p>
          <w:p>
            <w:pPr>
              <w:pStyle w:val="40"/>
              <w:ind w:left="100" w:right="100"/>
            </w:pPr>
            <w:r>
              <w:rPr>
                <w:rFonts w:hint="eastAsia"/>
              </w:rPr>
              <w:t>GB 25506-2010《消防控制室通用技术要求》第4.2.1条a）</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未对相关方作业人员（短期临时作业人员、实习学生、学习参观人员及其他外来人员）进行安全教育培训。</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《中华人民共和国安全生产法》第二十八条</w:t>
            </w:r>
          </w:p>
          <w:p>
            <w:pPr>
              <w:pStyle w:val="40"/>
              <w:ind w:left="100" w:right="100"/>
            </w:pPr>
            <w:r>
              <w:rPr>
                <w:rFonts w:hint="eastAsia"/>
              </w:rPr>
              <w:t>《生产经营单位安全培训规定》第四条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社区卫生服务机构未建立安全生产教育培训档案，或档案内不齐全。档案未包括培训记录表、培训签到表、培训试卷等有关书面材料和图片资料。</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《中华人民共和国安全生产法》第二十八条</w:t>
            </w:r>
          </w:p>
          <w:p>
            <w:pPr>
              <w:pStyle w:val="40"/>
              <w:ind w:left="100" w:right="100"/>
            </w:pPr>
            <w:r>
              <w:rPr>
                <w:rFonts w:hint="eastAsia"/>
              </w:rPr>
              <w:t>DB11/T 1322.2-2017《安全生产等级评定技术规范 第2部分：安全生产通用要求》第3.1.5.8条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记录档案类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社区卫生服务机构未建立事故隐患治理台账。</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第2部分：安全生产通用要求》第3.1.7.3.1条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建筑物或者场所未依法通过消防验收。</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《中华人民共和国消防法》第十三条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社区卫生服务机构未对灭火器配置、外观等按附录C的要求进行每月一次的定期检查，并未记录归档。</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50444-2008《建筑灭火器配置验收及检查规范》第5.2.1条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未对建筑消防设施每年至少进行1次全面检测，确保完好有效；不具备检测条件的未委托具备相应资质的检测机构进行检测，并保存检测记录。</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《中华人民共和国消防法》第十七条</w:t>
            </w:r>
          </w:p>
          <w:p>
            <w:pPr>
              <w:pStyle w:val="40"/>
              <w:ind w:left="100" w:right="100"/>
            </w:pPr>
            <w:r>
              <w:rPr>
                <w:rFonts w:hint="eastAsia"/>
              </w:rPr>
              <w:t>《北京市消防条例》第十三条</w:t>
            </w:r>
          </w:p>
          <w:p>
            <w:pPr>
              <w:pStyle w:val="40"/>
              <w:ind w:left="100" w:right="100"/>
            </w:pPr>
            <w:r>
              <w:rPr>
                <w:rFonts w:hint="eastAsia"/>
              </w:rPr>
              <w:t>《机关、团体、企业、事业单位消防安全管理规定》第二十五条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消防安全重点单位未每年对电气防火安全进行检测和开展每日防火巡查，确定巡查的人员、内容、部位和频次，并保存记录。</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《中华人民共和国消防法》第十七条</w:t>
            </w:r>
          </w:p>
          <w:p>
            <w:pPr>
              <w:pStyle w:val="40"/>
              <w:ind w:left="100" w:right="100"/>
            </w:pPr>
            <w:r>
              <w:rPr>
                <w:rFonts w:hint="eastAsia"/>
              </w:rPr>
              <w:t>《北京市消防条例》第十二、十三条</w:t>
            </w:r>
          </w:p>
          <w:p>
            <w:pPr>
              <w:pStyle w:val="40"/>
              <w:ind w:left="100" w:right="100"/>
            </w:pPr>
            <w:r>
              <w:rPr>
                <w:rFonts w:hint="eastAsia"/>
              </w:rPr>
              <w:t>《机关、团体、企业、事业单位消防安全管理规定》第二十五条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消防安全疏散标志管理和维护不符合规范要求，未确保完好有效。</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15630-1995《消防安全标志设置要求》第6.1条</w:t>
            </w:r>
          </w:p>
          <w:p>
            <w:pPr>
              <w:pStyle w:val="40"/>
              <w:ind w:left="100" w:right="100"/>
            </w:pPr>
            <w:r>
              <w:rPr>
                <w:rFonts w:hint="eastAsia"/>
              </w:rPr>
              <w:t>DB11/1024-2013《消防安全疏散标志设置标准》第5.1条</w:t>
            </w:r>
          </w:p>
          <w:p>
            <w:pPr>
              <w:pStyle w:val="40"/>
              <w:ind w:left="100" w:right="100"/>
            </w:pPr>
            <w:r>
              <w:rPr>
                <w:rFonts w:hint="eastAsia"/>
              </w:rPr>
              <w:t>《中华人民共和国消防法》第十六条第一款第二项</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基础资料类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记录档案类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每月未手动启动消防水泵运转1次，并未检查供电电源的情况；每周未模拟消防水泵自动控制的条件自动启动消防水泵运转1次，且未自动记录自动巡检情况；每月未进行检测记录。</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50974-2014《消防给水及消火栓系统技术规范》第14.0.4条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消防水泵房门未设置明显的标志，未标明“消防安全重点部位”及其消防安全责任人，未落实相应管理规定。并未符合下列规定：</w:t>
            </w:r>
          </w:p>
          <w:p>
            <w:pPr>
              <w:pStyle w:val="40"/>
              <w:ind w:left="100" w:right="100"/>
            </w:pPr>
            <w:r>
              <w:rPr>
                <w:rFonts w:hint="eastAsia"/>
              </w:rPr>
              <w:t>根据实际需要配备相应的灭火器材、装备和个人防护器材；</w:t>
            </w:r>
          </w:p>
          <w:p>
            <w:pPr>
              <w:pStyle w:val="40"/>
              <w:ind w:left="100" w:right="100"/>
            </w:pPr>
            <w:r>
              <w:rPr>
                <w:rFonts w:hint="eastAsia"/>
              </w:rPr>
              <w:t>制定和完善事故应急处置操作程序；</w:t>
            </w:r>
          </w:p>
          <w:p>
            <w:pPr>
              <w:pStyle w:val="40"/>
              <w:ind w:left="100" w:right="100"/>
            </w:pPr>
            <w:r>
              <w:rPr>
                <w:rFonts w:hint="eastAsia"/>
              </w:rPr>
              <w:t>每日进行防火巡查，每月定期开展防火检查。</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308-2019《医疗机构消防安全管理》第5.1.2条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未建立危险化学品储存台账，在储存场所内未有温湿度记录和安全检查记录。危险化学品出入储存场所时，未检验物品数量、包装等情况。</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 755-2010《危险化学品仓库建设及储存安全规范》第4.5.3条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未对简单压力容器进行日常维护保养、定期自行检查，并记录存档。简单压力容器的安全阀未校验合格，压力表未检定合格，并未保持铅封完好。</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21-2016《固定式压力容器安全技术监察规程》第7.1.11条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应急救援类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社区卫生服务机构未按要求编制应急救援预案、应急处置方案等或未及时、定期修订。</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bottom"/>
          </w:tcPr>
          <w:p>
            <w:pPr>
              <w:pStyle w:val="40"/>
              <w:ind w:left="100" w:right="100"/>
            </w:pPr>
            <w:r>
              <w:rPr>
                <w:rFonts w:hint="eastAsia"/>
              </w:rPr>
              <w:t>《生产安全事故应急条例》第五、六条</w:t>
            </w:r>
          </w:p>
          <w:p>
            <w:pPr>
              <w:pStyle w:val="40"/>
              <w:ind w:left="100" w:right="100"/>
            </w:pPr>
            <w:r>
              <w:rPr>
                <w:rFonts w:hint="eastAsia"/>
              </w:rPr>
              <w:t>《生产安全事故应急预案管理办法》第十三条到第十九条</w:t>
            </w:r>
          </w:p>
          <w:p>
            <w:pPr>
              <w:pStyle w:val="40"/>
              <w:ind w:left="100" w:right="100"/>
            </w:pPr>
            <w:r>
              <w:rPr>
                <w:rFonts w:hint="eastAsia"/>
              </w:rPr>
              <w:t>DB11/T 1322.2-2017《安全生产等级评定技术规范 第2部分：安全生产通用要求》第3.1.6.2.2条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应急救援类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社区卫生服务机构未建立应急救援组织机构及专兼职应急救援队伍。</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《中华人民共和国安全生产法》第八十五条《生产安全事故应急条例》第十、十一条</w:t>
            </w:r>
          </w:p>
          <w:p>
            <w:pPr>
              <w:pStyle w:val="40"/>
              <w:ind w:left="100" w:right="100"/>
            </w:pPr>
            <w:r>
              <w:rPr>
                <w:rFonts w:hint="eastAsia"/>
              </w:rPr>
              <w:t>《北京市生产经营单位安全生产主体责任规定》第三十、第三十一条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未根据实际需求，配备应急设施和装备，储备应急物资，指定专人负责管理，并未建立使用状况台账，定期检测和维护，使其处于良好状态。</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《中华人民共和国安全生产法》第八十二条</w:t>
            </w:r>
          </w:p>
          <w:p>
            <w:pPr>
              <w:pStyle w:val="40"/>
              <w:ind w:left="100" w:right="100"/>
            </w:pPr>
            <w:r>
              <w:rPr>
                <w:rFonts w:hint="eastAsia"/>
              </w:rPr>
              <w:t>《生产安全事故应急预案管理办法》第三十八条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社区卫生服务机构未按规定定期组织应急演练。</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《中华人民共和国安全生产法》第八十四条</w:t>
            </w:r>
          </w:p>
          <w:p>
            <w:pPr>
              <w:pStyle w:val="40"/>
              <w:ind w:left="100" w:right="100"/>
            </w:pPr>
            <w:r>
              <w:rPr>
                <w:rFonts w:hint="eastAsia"/>
              </w:rPr>
              <w:t>《生产安全事故应急条例》第六、八条</w:t>
            </w:r>
          </w:p>
          <w:p>
            <w:pPr>
              <w:pStyle w:val="40"/>
              <w:ind w:left="100" w:right="100"/>
            </w:pPr>
            <w:r>
              <w:rPr>
                <w:rFonts w:hint="eastAsia"/>
              </w:rPr>
              <w:t>《生产安全事故应急预案管理办法》第三十三、三十五、三十六条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szCs w:val="20"/>
                <w:lang w:bidi="mn-Mong-CN"/>
              </w:rPr>
              <w:t>基础资料类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相关方管理类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社区卫生服务机构未与相关方签订专门的安全生产管理协议或在承包合同、租赁合同中明确各自的安全生产管理职责。</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《中华人民共和国安全生产法》第四十八、四十九条</w:t>
            </w:r>
          </w:p>
          <w:p>
            <w:pPr>
              <w:pStyle w:val="40"/>
              <w:ind w:left="100" w:right="100"/>
            </w:pPr>
            <w:r>
              <w:rPr>
                <w:rFonts w:hint="eastAsia"/>
              </w:rPr>
              <w:t>《北京市生产经营单位安全生产主体责任规定》第二十七条</w:t>
            </w:r>
          </w:p>
          <w:p>
            <w:pPr>
              <w:pStyle w:val="40"/>
              <w:ind w:left="100" w:right="100"/>
            </w:pPr>
            <w:r>
              <w:rPr>
                <w:rFonts w:hint="eastAsia"/>
              </w:rPr>
              <w:t>DB11/T 1322.2-2017《安全生产等级评定技术规范 第2部分：安全生产通用要求》第3.1.8条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社区卫生服务机构未对相关方的安全生产工作统一协调、管理，未定期进行安全检查。</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《中华人民共和国安全生产法》第四十九条</w:t>
            </w:r>
          </w:p>
          <w:p>
            <w:pPr>
              <w:pStyle w:val="40"/>
              <w:ind w:left="100" w:right="100"/>
            </w:pPr>
            <w:r>
              <w:rPr>
                <w:rFonts w:hint="eastAsia"/>
              </w:rPr>
              <w:t>DB11/T 1322.2-2017《安全生产等级评定技术规范 第2部分：安全生产通用要求》第3.1.8.5条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安全生产投入类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社区卫生服务机构未履行安全生产资金投入责任。</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《中华人民共和国安全生产法》第二十三、四十七条</w:t>
            </w:r>
          </w:p>
          <w:p>
            <w:pPr>
              <w:pStyle w:val="40"/>
              <w:ind w:left="100" w:right="100"/>
            </w:pPr>
            <w:r>
              <w:rPr>
                <w:rFonts w:hint="eastAsia"/>
              </w:rPr>
              <w:t>《北京市安全生产条例》第十八条</w:t>
            </w:r>
          </w:p>
          <w:p>
            <w:pPr>
              <w:pStyle w:val="40"/>
              <w:ind w:left="100" w:right="100"/>
            </w:pPr>
            <w:r>
              <w:rPr>
                <w:rFonts w:hint="eastAsia"/>
              </w:rPr>
              <w:t>《北京市生产经营单位安全生产主体责任规定》第九条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其他</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未将特种设备使用登记标志设置在特种设备现场显著位置。</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《中华人民共和国特种设备安全法》第四十条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物料类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采购未具有经营许可资质单位的危险化学品。</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《危险化学品安全管理条例》第三十七条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危险化学品未储存在专用的储存场所内。</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《危险化学品安全管理条例》第二十四条</w:t>
            </w:r>
          </w:p>
          <w:p>
            <w:pPr>
              <w:pStyle w:val="40"/>
              <w:ind w:left="100" w:right="100"/>
            </w:pPr>
            <w:r>
              <w:rPr>
                <w:rFonts w:hint="eastAsia"/>
              </w:rPr>
              <w:t>DB11/ 755-2010《危险化学品仓库建设及储存安全规范》第4.4.1条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未保留与储存、使用危险化学品种类相符的化学品安全标签和安全技术说明书。</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 755-2010《危险化学品仓库建设及储存安全规范》第4.5.2条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随意更换危险化学品的储存包装，包括内包装和外包装；在危险化学品储存场所内对危险化学品进行分装、改装。</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《危险化学品安全管理条例》第十七条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未按危险化学品的危险性质分区、分类、分柜（或分库）存放，禁忌类危险化学品混合存放。</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 755-2010《危险化学品仓库建设及储存安全规范》第4.4.2条、第4.4.3条</w:t>
            </w:r>
          </w:p>
          <w:p>
            <w:pPr>
              <w:pStyle w:val="40"/>
              <w:ind w:left="100" w:right="100"/>
            </w:pPr>
            <w:r>
              <w:rPr>
                <w:rFonts w:hint="eastAsia"/>
              </w:rPr>
              <w:t>《危险化学品安全管理条例》第八十条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特种设备未办理使用登记，未按规定的周期进行检验。</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《中华人民共和国特种设备安全法》第三十三条、第四十条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设备设施类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对在用特种设备未至少每月进行1次自行检查，未保存检查记录。</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《中华人民共和国特种设备安全法》第三十九条</w:t>
            </w:r>
          </w:p>
          <w:p>
            <w:pPr>
              <w:pStyle w:val="40"/>
              <w:ind w:left="100" w:right="100"/>
            </w:pPr>
            <w:r>
              <w:rPr>
                <w:rFonts w:hint="eastAsia"/>
              </w:rPr>
              <w:t>记录保存符合下列要求：</w:t>
            </w:r>
          </w:p>
          <w:p>
            <w:pPr>
              <w:pStyle w:val="40"/>
              <w:ind w:left="100" w:right="100"/>
            </w:pPr>
            <w:r>
              <w:rPr>
                <w:rFonts w:hint="eastAsia"/>
              </w:rPr>
              <w:t>a）锅炉、压力容器、压力管道的运行记录齐全；</w:t>
            </w:r>
          </w:p>
          <w:p>
            <w:pPr>
              <w:pStyle w:val="40"/>
              <w:ind w:left="100" w:right="100"/>
            </w:pPr>
            <w:r>
              <w:rPr>
                <w:rFonts w:hint="eastAsia"/>
              </w:rPr>
              <w:t>b）电梯日常维保单位的相关检查记录齐全；</w:t>
            </w:r>
          </w:p>
          <w:p>
            <w:pPr>
              <w:pStyle w:val="40"/>
              <w:ind w:left="100" w:right="100"/>
            </w:pPr>
            <w:r>
              <w:rPr>
                <w:rFonts w:hint="eastAsia"/>
              </w:rPr>
              <w:t>c）场（厂）内专用机动车辆的日常点检、定期自检和日常维护保养等记录齐全。</w:t>
            </w:r>
          </w:p>
          <w:p>
            <w:pPr>
              <w:pStyle w:val="40"/>
              <w:ind w:left="100" w:right="100"/>
            </w:pPr>
            <w:r>
              <w:rPr>
                <w:rFonts w:hint="eastAsia"/>
              </w:rPr>
              <w:t>d）氧舱每月未至少进行1次维护保养，每年至少进行1次年度检查，并保存相关记录档案。</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特种设备的安全附件、安全保护装置未按要求定期校验检定、检修，并保存记录。</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《中华人民共和国特种设备安全法》第三十九条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设备设施的防护装置随意拆除、挪用或弃置不用；确因检维修拆除的，未采取临时安全措施，检维修完毕后未立即复原。</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33000-2016《企业安全生产标准化基本规范》第5.4.1.3条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供氧、用氧设备及其检修工具沾染油污。</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308-2009《医疗机构消防安全管理》第5.7.3条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储存瓶装气体实瓶时，存放空间温度超过60℃，且未采取喷淋等冷却措施。</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空瓶与实瓶未分开放置，无明显标志。</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气瓶瓶阀、瓶帽、防震圈等安全附件不齐全、不完好，外观有明显机械损伤、变形及严重腐蚀。气瓶立放时未采取防止倾倒的措施或装置。</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1322.56-2018《安全生产等级评定技术规范 第56部分：医疗卫生机构》第3.3.2.5.3条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毒性气体实瓶和瓶内气体相互接触能引起燃烧、爆炸、产生毒物的实瓶，未分室存放，并未在附近配备防毒用具和消防器材。储存易起聚合反应或者分解反应的瓶装气体时，未根据气体的性质控制存放空间的最高温度和规定储存期限。</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固定式压力容器的安全阀校验合格后未加装有铅封，并未保持铅封完好。</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21-2016《固定式压力容器安全技术监察规程》第9.1.4.5条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气瓶未有清晰、完整、无变形，与气瓶连结牢固的具有唯一性的气瓶追溯标识。</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1530-2018《危险化学品气瓶追溯技术规范》第4.6条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气瓶未有制造标志和定期检验标志。</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23-2021《气瓶安全技术规程》第1.8.1条、第1.8.2条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气瓶的颜色标志、字样和色环未符合GB/T 7144《气瓶颜色标志》的规定，且气瓶的字显著部位未标注办理使用登记的气瓶充装单位名称或者简称。</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23-2021《气瓶安全技术规程》第1.8.</w:t>
            </w:r>
            <w:r>
              <w:t>1.3</w:t>
            </w:r>
            <w:r>
              <w:rPr>
                <w:rFonts w:hint="eastAsia"/>
              </w:rPr>
              <w:t>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设备设施类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气瓶保护附件未符合下列要求：</w:t>
            </w:r>
          </w:p>
          <w:p>
            <w:pPr>
              <w:pStyle w:val="40"/>
              <w:ind w:left="100" w:right="100"/>
            </w:pPr>
            <w:r>
              <w:rPr>
                <w:rFonts w:hint="eastAsia"/>
              </w:rPr>
              <w:t xml:space="preserve"> (1）无缝气瓶出厂时，应当装配不影响瓶阀手轮正常使用的保护罩，并且不得装配螺纹式瓶帽；</w:t>
            </w:r>
          </w:p>
          <w:p>
            <w:pPr>
              <w:pStyle w:val="40"/>
              <w:ind w:left="100" w:right="100"/>
            </w:pPr>
            <w:r>
              <w:rPr>
                <w:rFonts w:hint="eastAsia"/>
              </w:rPr>
              <w:t>(2）公称容积大于或者等于10L的钢质焊接气瓶（含溶解乙炔气瓶），应当装配不可拆卸的保护罩或者固定式瓶帽；</w:t>
            </w:r>
          </w:p>
          <w:p>
            <w:pPr>
              <w:pStyle w:val="40"/>
              <w:ind w:left="100" w:right="100"/>
            </w:pPr>
            <w:r>
              <w:rPr>
                <w:rFonts w:hint="eastAsia"/>
              </w:rPr>
              <w:t>(3）气瓶保护罩或者固定式瓶帽应当具有良好的抗撞击性，不得用铸铁制造；公称容积小于或者等于5L的钢质无缝气瓶和公称容积小于或者等于15L的铝合金无缝气瓶的保护罩，可以用工程塑料制造；</w:t>
            </w:r>
          </w:p>
          <w:p>
            <w:pPr>
              <w:pStyle w:val="40"/>
              <w:ind w:left="100" w:right="100"/>
            </w:pPr>
            <w:r>
              <w:rPr>
                <w:rFonts w:hint="eastAsia"/>
              </w:rPr>
              <w:t>(4）不能靠瓶底竖立的气瓶，应当装配底座（采用固定支架或者集装框架的气瓶除外），使气瓶能够稳定竖立，并且有效防止气瓶底部锈蚀；</w:t>
            </w:r>
          </w:p>
          <w:p>
            <w:pPr>
              <w:pStyle w:val="40"/>
              <w:ind w:left="100" w:right="100"/>
            </w:pPr>
            <w:r>
              <w:rPr>
                <w:rFonts w:hint="eastAsia"/>
              </w:rPr>
              <w:t>(5)5L以上的无缝气瓶应当装配颈圈，并且在颈圈上设置适当的电子识读标志。</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w:t>
            </w:r>
            <w:r>
              <w:t>7.3</w:t>
            </w:r>
            <w:r>
              <w:rPr>
                <w:rFonts w:hint="eastAsia"/>
              </w:rPr>
              <w:t>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气瓶的使用未遵循下列要求：</w:t>
            </w:r>
          </w:p>
          <w:p>
            <w:pPr>
              <w:pStyle w:val="40"/>
              <w:ind w:left="100" w:right="100"/>
            </w:pPr>
            <w:r>
              <w:rPr>
                <w:rFonts w:hint="eastAsia"/>
              </w:rPr>
              <w:t>a）不应将盛装气体的气瓶置于人员密集或者靠近热源的场所使用（车用瓶除外），不应使用任何热源对气瓶进行加热；</w:t>
            </w:r>
          </w:p>
          <w:p>
            <w:pPr>
              <w:pStyle w:val="40"/>
              <w:ind w:left="100" w:right="100"/>
            </w:pPr>
            <w:r>
              <w:rPr>
                <w:rFonts w:hint="eastAsia"/>
              </w:rPr>
              <w:t>b）应购买粘贴充装产品合格标签的瓶装气体，不应购买超期未检气瓶或者报废气瓶盛装的气体；</w:t>
            </w:r>
          </w:p>
          <w:p>
            <w:pPr>
              <w:pStyle w:val="40"/>
              <w:ind w:left="100" w:right="100"/>
            </w:pPr>
            <w:r>
              <w:rPr>
                <w:rFonts w:hint="eastAsia"/>
              </w:rPr>
              <w:t>c）在可能造成气体回流的使用场合，设备上应配置防止倒灌的装置，如单向阀、止回阀、缓冲罐等；瓶内气体不应用尽，压缩气体、溶解乙炔气气瓶的剩余压力应不小于0.05 MPa；液化气体、低温液化气体以及低温液体气瓶应留有不少于0.5% ～ 1.0%规定充量的剩余气体。</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未将电梯安全使用说明、安全注意事项和警示标志置于易于为乘客注意的显著位置。</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《中华人民共和国特种设备安全法》第四十三条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未保证电梯轿内报警装置、对讲系统正常工作</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T5002-2017《电梯维护保养规则》第六条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紧急停止装置未设置在位于自动扶梯出入口附近、不明显并且不易于接近。紧急停止装置未为红色，未有清晰并且永久的中文标识。</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T7005-2012《电梯监督检验和定期检验规则——自动扶梯与自动人行道》附件A</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采用防爆柜、防腐柜等专柜储存易燃易爆、腐蚀性危险化学品的，专柜未放置于阴凉干燥通风处，专柜未有进风口和排风口，且不直通到室外，柜体未进行可靠接地。</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第2部分：安全生产通用要求》第3.8条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消防设施和消防产品类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用气管道和用气设备的场所（含用餐场所、瓶组气化间、用气设备房间等），未设置可燃气体探测器，且可燃气体报警控制器未安装在有人值守的房间内，未定期检定校准。</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50028-2006《城镇燃气设计规范》第6.6.6条</w:t>
            </w:r>
          </w:p>
          <w:p>
            <w:pPr>
              <w:pStyle w:val="40"/>
              <w:ind w:left="100" w:right="100"/>
            </w:pPr>
            <w:r>
              <w:rPr>
                <w:rFonts w:hint="eastAsia"/>
              </w:rPr>
              <w:t>《安全生产法》第三十六条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消火栓的设置未符合下列要求：</w:t>
            </w:r>
          </w:p>
          <w:p>
            <w:pPr>
              <w:pStyle w:val="40"/>
              <w:ind w:left="100" w:right="100"/>
            </w:pPr>
            <w:r>
              <w:rPr>
                <w:rFonts w:hint="eastAsia"/>
              </w:rPr>
              <w:t>a）下列建筑或场所未设置室内消火栓系统：</w:t>
            </w:r>
          </w:p>
          <w:p>
            <w:pPr>
              <w:pStyle w:val="40"/>
              <w:ind w:left="100" w:right="100"/>
            </w:pPr>
            <w:r>
              <w:rPr>
                <w:rFonts w:hint="eastAsia"/>
              </w:rPr>
              <w:t>1）高层公共建筑；</w:t>
            </w:r>
          </w:p>
          <w:p>
            <w:pPr>
              <w:pStyle w:val="40"/>
              <w:ind w:left="100" w:right="100"/>
            </w:pPr>
            <w:r>
              <w:rPr>
                <w:rFonts w:hint="eastAsia"/>
              </w:rPr>
              <w:t>2）体积大于5000 m3的单、多层医疗建筑。</w:t>
            </w:r>
          </w:p>
          <w:p>
            <w:pPr>
              <w:pStyle w:val="40"/>
              <w:ind w:left="100" w:right="100"/>
            </w:pPr>
            <w:r>
              <w:rPr>
                <w:rFonts w:hint="eastAsia"/>
              </w:rPr>
              <w:t>b）人员密集的公共建筑应设置消防软管卷盘或轻便消防水龙。</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50016-2014《建筑设计防火规范》第8.2.1条、第8.2.4条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消防设施和消防产品类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消火栓的管理未符合下列要求：</w:t>
            </w:r>
          </w:p>
          <w:p>
            <w:pPr>
              <w:pStyle w:val="40"/>
              <w:ind w:left="100" w:right="100"/>
            </w:pPr>
            <w:r>
              <w:rPr>
                <w:rFonts w:hint="eastAsia"/>
              </w:rPr>
              <w:t>a）室内消火栓箱不应上锁，箱内设备应齐全、完好；</w:t>
            </w:r>
          </w:p>
          <w:p>
            <w:pPr>
              <w:pStyle w:val="40"/>
              <w:ind w:left="100" w:right="100"/>
            </w:pPr>
            <w:r>
              <w:rPr>
                <w:rFonts w:hint="eastAsia"/>
              </w:rPr>
              <w:t>b）栓箱应设置门锁或箱门关紧装置；设置门锁的栓箱，除箱门安装玻璃者以及能被击碎的透明材料外，均应设置箱门紧急开启的手动机构，应保证在没有钥匙的情况下开启灵活、可靠；</w:t>
            </w:r>
          </w:p>
          <w:p>
            <w:pPr>
              <w:pStyle w:val="40"/>
              <w:ind w:left="100" w:right="100"/>
            </w:pPr>
            <w:r>
              <w:rPr>
                <w:rFonts w:hint="eastAsia"/>
              </w:rPr>
              <w:t>c）物品的设置不应影响室内消火栓的正常使用；</w:t>
            </w:r>
          </w:p>
          <w:p>
            <w:pPr>
              <w:pStyle w:val="40"/>
              <w:ind w:left="100" w:right="100"/>
            </w:pPr>
            <w:r>
              <w:rPr>
                <w:rFonts w:hint="eastAsia"/>
              </w:rPr>
              <w:t>d）室内消火栓水带外观应完整无损、无腐蚀、无污染现象，与接头未绑扎牢固；消防水喉接口绑扎组件应完整、无渗漏现象，与接头绑扎牢固；</w:t>
            </w:r>
          </w:p>
          <w:p>
            <w:pPr>
              <w:pStyle w:val="40"/>
              <w:ind w:left="100" w:right="100"/>
            </w:pPr>
            <w:r>
              <w:rPr>
                <w:rFonts w:hint="eastAsia"/>
              </w:rPr>
              <w:t>e）室外消火栓不应填埋、圈占，距室外消火栓、水泵接合器2 m范围内不应设置影响其正常使用的障碍物；</w:t>
            </w:r>
          </w:p>
          <w:p>
            <w:pPr>
              <w:pStyle w:val="40"/>
              <w:ind w:left="100" w:right="100"/>
            </w:pPr>
            <w:r>
              <w:rPr>
                <w:rFonts w:hint="eastAsia"/>
              </w:rPr>
              <w:t>f）室外消火栓、阀门、消防水泵接合器等设置地点应设置相应的永久性固定标识；</w:t>
            </w:r>
          </w:p>
          <w:p>
            <w:pPr>
              <w:pStyle w:val="40"/>
              <w:ind w:left="100" w:right="100"/>
            </w:pPr>
            <w:r>
              <w:rPr>
                <w:rFonts w:hint="eastAsia"/>
              </w:rPr>
              <w:t>g）每季度应对消火栓进行1次外观和漏水检查，发现有不正常的消火栓应及时更换，并保存相关记录。</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《中华人民共和国消防法》第二十八条</w:t>
            </w:r>
          </w:p>
          <w:p>
            <w:pPr>
              <w:pStyle w:val="40"/>
              <w:ind w:left="100" w:right="100"/>
            </w:pPr>
            <w:r>
              <w:rPr>
                <w:rFonts w:hint="eastAsia"/>
              </w:rPr>
              <w:t>GB 50974-2014《消防给水及消火栓系统技术规范》第14.0.7条、第14.0.12条</w:t>
            </w:r>
          </w:p>
          <w:p>
            <w:pPr>
              <w:pStyle w:val="40"/>
              <w:ind w:left="100" w:right="100"/>
            </w:pPr>
            <w:r>
              <w:rPr>
                <w:rFonts w:hint="eastAsia"/>
              </w:rPr>
              <w:t>GB/T 40248-2021《人员密集场所消防安全管理》第7.6.10条、第7.6.11条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8" w:hRule="atLeas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消防设施和消防产品类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灭火器的配置未符合下列要求：</w:t>
            </w:r>
          </w:p>
          <w:p>
            <w:pPr>
              <w:pStyle w:val="40"/>
              <w:ind w:left="100" w:right="100"/>
            </w:pPr>
            <w:r>
              <w:rPr>
                <w:rFonts w:hint="eastAsia"/>
              </w:rPr>
              <w:t>a）在同一灭火器配置场所，当选用两种或两种以上类型灭火器时，应采用灭火剂相容的灭火器；</w:t>
            </w:r>
          </w:p>
          <w:p>
            <w:pPr>
              <w:pStyle w:val="40"/>
              <w:ind w:left="100" w:right="100"/>
            </w:pPr>
            <w:r>
              <w:rPr>
                <w:rFonts w:hint="eastAsia"/>
              </w:rPr>
              <w:t>b）灭火器类型的选择应符合下列要求：</w:t>
            </w:r>
          </w:p>
          <w:p>
            <w:pPr>
              <w:pStyle w:val="40"/>
              <w:ind w:left="100" w:right="100"/>
            </w:pPr>
            <w:r>
              <w:rPr>
                <w:rFonts w:hint="eastAsia"/>
              </w:rPr>
              <w:t>——A类火灾（固体物质火灾）场所应选择水型灭火器、磷酸铵盐干粉灭火器、泡沫灭火器；</w:t>
            </w:r>
          </w:p>
          <w:p>
            <w:pPr>
              <w:pStyle w:val="40"/>
              <w:ind w:left="100" w:right="100"/>
            </w:pPr>
            <w:r>
              <w:rPr>
                <w:rFonts w:hint="eastAsia"/>
              </w:rPr>
              <w:t>——B类火灾（液体火灾或可熔化固体物质火灾）场所应选择泡沫灭火器、碳酸氢钠干粉灭火器、磷酸铵盐干粉灭火器、二氧化碳灭火器、B类火灾的水型灭火器。极性溶剂的B类火灾场所未选择B类火灾的抗溶性灭火器；</w:t>
            </w:r>
          </w:p>
          <w:p>
            <w:pPr>
              <w:pStyle w:val="40"/>
              <w:ind w:left="100" w:right="100"/>
            </w:pPr>
            <w:r>
              <w:rPr>
                <w:rFonts w:hint="eastAsia"/>
              </w:rPr>
              <w:t>——C类火灾（气体火灾）场所应选择磷酸铵盐干粉灭火器、碳酸氢钠干粉灭火器、二氧化碳灭火器；</w:t>
            </w:r>
          </w:p>
          <w:p>
            <w:pPr>
              <w:pStyle w:val="40"/>
              <w:ind w:left="100" w:right="100"/>
            </w:pPr>
            <w:r>
              <w:rPr>
                <w:rFonts w:hint="eastAsia"/>
              </w:rPr>
              <w:t>——E类火灾（物体带电燃烧的火灾）场所应选择磷酸铵盐干粉灭火器、碳酸氢钠干粉灭火器或二氧化碳灭火器，但不应选用装有金属喇叭喷筒的二氧化碳灭火器；</w:t>
            </w:r>
          </w:p>
          <w:p>
            <w:pPr>
              <w:pStyle w:val="40"/>
              <w:ind w:left="100" w:right="100"/>
            </w:pPr>
            <w:r>
              <w:rPr>
                <w:rFonts w:hint="eastAsia"/>
              </w:rPr>
              <w:t>——F类火灾（烹饪器具内的烹饪物火灾）场所应选择适用于F类的水基型灭火器等。</w:t>
            </w:r>
          </w:p>
          <w:p>
            <w:pPr>
              <w:pStyle w:val="40"/>
              <w:ind w:left="100" w:right="100"/>
            </w:pPr>
            <w:r>
              <w:rPr>
                <w:rFonts w:hint="eastAsia"/>
              </w:rPr>
              <w:t>c）灭火器的设置应保证配置场所的任一点都在灭火器设置点的保护范围内。最大保护距离应符合下列要求：</w:t>
            </w:r>
          </w:p>
          <w:p>
            <w:pPr>
              <w:pStyle w:val="40"/>
              <w:ind w:left="100" w:right="100"/>
            </w:pPr>
            <w:r>
              <w:rPr>
                <w:rFonts w:hint="eastAsia"/>
              </w:rPr>
              <w:t>——设置在A类火灾场所的灭火器，其最大保护距离应符合表H.3的规定；</w:t>
            </w:r>
          </w:p>
          <w:p>
            <w:pPr>
              <w:pStyle w:val="40"/>
              <w:ind w:left="100" w:right="100"/>
            </w:pPr>
            <w:r>
              <w:rPr>
                <w:rFonts w:hint="eastAsia"/>
              </w:rPr>
              <w:t>——设置在B、C类火灾场所的灭火器，其最大保护距离应符合表H.4的规定；</w:t>
            </w:r>
          </w:p>
          <w:p>
            <w:pPr>
              <w:pStyle w:val="40"/>
              <w:ind w:left="100" w:right="100"/>
            </w:pPr>
            <w:r>
              <w:rPr>
                <w:rFonts w:hint="eastAsia"/>
              </w:rPr>
              <w:t>——E类火灾场所的灭火器，其最大保护距离不应低于该场所内A类或B类火灾的规定；</w:t>
            </w:r>
          </w:p>
          <w:p>
            <w:pPr>
              <w:pStyle w:val="40"/>
              <w:ind w:left="100" w:right="100"/>
            </w:pPr>
            <w:r>
              <w:rPr>
                <w:rFonts w:hint="eastAsia"/>
              </w:rPr>
              <w:t>d）灭火器的配置的一般规定：1个计算单元内配置的灭火器数量不应少于2具，每个设置点的灭火器数量不宜多于5具。</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50140-2005《建筑灭火器配置设计规范》第4.1.3条、第4.2.1条～第4.2.3条、第4.2.5条、第5.2条、第6.1.1条、第6.1.2条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灭火器的现场管理未符合下列要求：</w:t>
            </w:r>
          </w:p>
          <w:p>
            <w:pPr>
              <w:pStyle w:val="40"/>
              <w:ind w:left="100" w:right="100"/>
            </w:pPr>
            <w:r>
              <w:rPr>
                <w:rFonts w:hint="eastAsia"/>
              </w:rPr>
              <w:t>a）灭火器材应定位存放，设在明显、便于取用的地点，存放点张贴标识，标明灭火器编号、类型、使用方法、责任人等，周围应无障碍物、遮栏、栓系等影响取用的现象。对有视线障碍的灭火器设置点，应设置指示其位置的发光标志；</w:t>
            </w:r>
          </w:p>
          <w:p>
            <w:pPr>
              <w:pStyle w:val="40"/>
              <w:ind w:left="100" w:right="100"/>
            </w:pPr>
            <w:r>
              <w:rPr>
                <w:rFonts w:hint="eastAsia"/>
              </w:rPr>
              <w:t>b）灭火器箱不应被遮挡、上锁或拴系，箱内应干燥清洁；</w:t>
            </w:r>
          </w:p>
          <w:p>
            <w:pPr>
              <w:pStyle w:val="40"/>
              <w:ind w:left="100" w:right="100"/>
            </w:pPr>
            <w:r>
              <w:rPr>
                <w:rFonts w:hint="eastAsia"/>
              </w:rPr>
              <w:t>c）嵌墙式灭火器箱及挂钩、托架的安装高度应满足手提式灭火器顶部离地面距离不大于1.50 m，底部离地面距离不小于0.08 m的规定；</w:t>
            </w:r>
          </w:p>
          <w:p>
            <w:pPr>
              <w:pStyle w:val="40"/>
              <w:ind w:left="100" w:right="100"/>
            </w:pPr>
            <w:r>
              <w:rPr>
                <w:rFonts w:hint="eastAsia"/>
              </w:rPr>
              <w:t>d）推车式灭火器不应设置在台阶上；</w:t>
            </w:r>
          </w:p>
          <w:p>
            <w:pPr>
              <w:pStyle w:val="40"/>
              <w:ind w:left="100" w:right="100"/>
            </w:pPr>
            <w:r>
              <w:rPr>
                <w:rFonts w:hint="eastAsia"/>
              </w:rPr>
              <w:t>e）设置在室外的灭火器应采取防湿、防寒、防晒等相未保护措施；当灭火器设置在潮湿性或腐蚀性的场所时，应采取防湿或防腐蚀措施。</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50140-2005《建筑灭火器配置规范》第5.1.1条、第5.1.2条、第5.1.4条</w:t>
            </w:r>
          </w:p>
          <w:p>
            <w:pPr>
              <w:pStyle w:val="40"/>
              <w:ind w:left="100" w:right="100"/>
            </w:pPr>
            <w:r>
              <w:rPr>
                <w:rFonts w:hint="eastAsia"/>
              </w:rPr>
              <w:t>GB 50444-2008《建筑灭火器配置验收及检查规范》第3.1.3条、第3.2.2条、第3.2.7条、第3.3.1条、第3.4.3条、第3.4.4条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消防设施和消防产品类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灭火器的维修未符合下列规定：</w:t>
            </w:r>
          </w:p>
          <w:p>
            <w:pPr>
              <w:pStyle w:val="40"/>
              <w:ind w:left="100" w:right="100"/>
            </w:pPr>
            <w:r>
              <w:rPr>
                <w:rFonts w:hint="eastAsia"/>
              </w:rPr>
              <w:t>存在机械损伤、明显锈蚀、灭火剂泄漏、被开启使用过、超过维修周期或符合其他维修条件的应由具有资质的单位及时进行维修，并记录归档；</w:t>
            </w:r>
          </w:p>
          <w:p>
            <w:pPr>
              <w:pStyle w:val="40"/>
              <w:ind w:left="100" w:right="100"/>
            </w:pPr>
            <w:r>
              <w:rPr>
                <w:rFonts w:hint="eastAsia"/>
              </w:rPr>
              <w:t>正常情况下灭火器的维修周期应符合表H.5的规定。</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50444-2008《建筑灭火器配置验收及检查规范》第5.3.1条、第5.3.2条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灭火器的配置未符合下列要求：</w:t>
            </w:r>
          </w:p>
          <w:p>
            <w:pPr>
              <w:pStyle w:val="40"/>
              <w:ind w:left="100" w:right="100"/>
            </w:pPr>
            <w:r>
              <w:rPr>
                <w:rFonts w:hint="eastAsia"/>
              </w:rPr>
              <w:t>a）在同一灭火器配置场所，当选用两种或两种以上类型灭火器时，应采用灭火剂相容的灭火器；</w:t>
            </w:r>
          </w:p>
          <w:p>
            <w:pPr>
              <w:pStyle w:val="40"/>
              <w:ind w:left="100" w:right="100"/>
            </w:pPr>
            <w:r>
              <w:rPr>
                <w:rFonts w:hint="eastAsia"/>
              </w:rPr>
              <w:t>b）灭火器类型的选择应符合下列要求：</w:t>
            </w:r>
          </w:p>
          <w:p>
            <w:pPr>
              <w:pStyle w:val="40"/>
              <w:ind w:left="100" w:right="100"/>
            </w:pPr>
            <w:r>
              <w:rPr>
                <w:rFonts w:hint="eastAsia"/>
              </w:rPr>
              <w:t>——A类火灾（固体物质火灾）场所应选择水型灭火器、磷酸铵盐干粉灭火器、泡沫灭火器；</w:t>
            </w:r>
          </w:p>
          <w:p>
            <w:pPr>
              <w:pStyle w:val="40"/>
              <w:ind w:left="100" w:right="100"/>
            </w:pPr>
            <w:r>
              <w:rPr>
                <w:rFonts w:hint="eastAsia"/>
              </w:rPr>
              <w:t>——B类火灾（液体火灾或可熔化固体物质火灾）场所应选择泡沫灭火器、碳酸氢钠干粉灭火器、磷酸铵盐干粉灭火器、二氧化碳灭火器、B类火灾的水型灭火器。极性溶剂的B类火灾场所应选择B类火灾的抗溶性灭火器；</w:t>
            </w:r>
          </w:p>
          <w:p>
            <w:pPr>
              <w:pStyle w:val="40"/>
              <w:ind w:left="100" w:right="100"/>
            </w:pPr>
            <w:r>
              <w:rPr>
                <w:rFonts w:hint="eastAsia"/>
              </w:rPr>
              <w:t>——C类火灾（气体火灾）场所应选择磷酸铵盐干粉灭火器、碳酸氢钠干粉灭火器、二氧化碳灭火器；</w:t>
            </w:r>
          </w:p>
          <w:p>
            <w:pPr>
              <w:pStyle w:val="40"/>
              <w:ind w:left="100" w:right="100"/>
            </w:pPr>
            <w:r>
              <w:rPr>
                <w:rFonts w:hint="eastAsia"/>
              </w:rPr>
              <w:t>——E类火灾（物体带电燃烧的火灾）场所应选择磷酸铵盐干粉灭火器、碳酸氢钠干粉灭火器或二氧化碳灭火器，但不应选用装有金属喇叭喷筒的二氧化碳灭火器；</w:t>
            </w:r>
          </w:p>
          <w:p>
            <w:pPr>
              <w:pStyle w:val="40"/>
              <w:ind w:left="100" w:right="100"/>
            </w:pPr>
            <w:r>
              <w:rPr>
                <w:rFonts w:hint="eastAsia"/>
              </w:rPr>
              <w:t>——F类火灾（烹饪器具内的烹饪物火灾）场所应选择适用于F类的水基型灭火器等。</w:t>
            </w:r>
          </w:p>
          <w:p>
            <w:pPr>
              <w:pStyle w:val="40"/>
              <w:ind w:left="100" w:right="100"/>
            </w:pPr>
            <w:r>
              <w:rPr>
                <w:rFonts w:hint="eastAsia"/>
              </w:rPr>
              <w:t>c）灭火器的设置应保证配置场所的任一点都在灭火器设置点的保护范围内。最大保护距离应符合下列要求：</w:t>
            </w:r>
          </w:p>
          <w:p>
            <w:pPr>
              <w:pStyle w:val="40"/>
              <w:ind w:left="100" w:right="100"/>
            </w:pPr>
            <w:r>
              <w:rPr>
                <w:rFonts w:hint="eastAsia"/>
              </w:rPr>
              <w:t>——设置在A类火灾场所的灭火器，其最大保护距离应符合表H.3的规定；</w:t>
            </w:r>
          </w:p>
          <w:p>
            <w:pPr>
              <w:pStyle w:val="40"/>
              <w:ind w:left="100" w:right="100"/>
            </w:pPr>
            <w:r>
              <w:rPr>
                <w:rFonts w:hint="eastAsia"/>
              </w:rPr>
              <w:t>——设置在B、C类火灾场所的灭火器，其最大保护距离应符合表H.4的规定；</w:t>
            </w:r>
          </w:p>
          <w:p>
            <w:pPr>
              <w:pStyle w:val="40"/>
              <w:ind w:left="100" w:right="100"/>
            </w:pPr>
            <w:r>
              <w:rPr>
                <w:rFonts w:hint="eastAsia"/>
              </w:rPr>
              <w:t>——E类火灾场所的灭火器，其最大保护距离不应低于该场所内A类或B类火灾的规定；</w:t>
            </w:r>
          </w:p>
          <w:p>
            <w:pPr>
              <w:pStyle w:val="40"/>
              <w:ind w:left="100" w:right="100"/>
            </w:pPr>
            <w:r>
              <w:rPr>
                <w:rFonts w:hint="eastAsia"/>
              </w:rPr>
              <w:t>d）灭火器的配置的一般规定：1个计算单元内配置的灭火器数量不应少于2具，每个设置点的灭火器数量不宜多于5具。</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50140-2005《建筑灭火器配置设计规范》第4.1.3条、第4.2.1条～第4.2.3条、第4.2.5条、第5.2条、第6.1.1条、第6.1.2条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消防应急照明灯的设置未符合下列要求：</w:t>
            </w:r>
          </w:p>
          <w:p>
            <w:pPr>
              <w:pStyle w:val="40"/>
              <w:ind w:left="100" w:right="100"/>
            </w:pPr>
            <w:r>
              <w:rPr>
                <w:rFonts w:hint="eastAsia"/>
              </w:rPr>
              <w:t>a）疏散照明灯具应设置在出口的顶部、墙面的上部或顶棚上；</w:t>
            </w:r>
          </w:p>
          <w:p>
            <w:pPr>
              <w:pStyle w:val="40"/>
              <w:ind w:left="100" w:right="100"/>
            </w:pPr>
            <w:r>
              <w:rPr>
                <w:rFonts w:hint="eastAsia"/>
              </w:rPr>
              <w:t>b）备用照明灯具应设置在墙面的上部或顶棚上。</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50016-2014《建筑设计防火规范》第10.3.4条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疏散走道及楼梯间未设应急照明。</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51039-2014《综合医院建筑设计规范》第5.24.4条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消防设施和消防产品类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消防给水系统未符合下列要求：</w:t>
            </w:r>
          </w:p>
          <w:p>
            <w:pPr>
              <w:pStyle w:val="40"/>
              <w:ind w:left="100" w:right="100"/>
            </w:pPr>
            <w:r>
              <w:rPr>
                <w:rFonts w:hint="eastAsia"/>
              </w:rPr>
              <w:t>a）冬季结冰地区的消防水池、水塔等应采取防冻措施；</w:t>
            </w:r>
          </w:p>
          <w:p>
            <w:pPr>
              <w:pStyle w:val="40"/>
              <w:ind w:left="100" w:right="100"/>
            </w:pPr>
            <w:r>
              <w:rPr>
                <w:rFonts w:hint="eastAsia"/>
              </w:rPr>
              <w:t>b）每年应检查消防水池、消防水箱等蓄水设施的结构材料的完好性，并保存记录；</w:t>
            </w:r>
          </w:p>
          <w:p>
            <w:pPr>
              <w:pStyle w:val="40"/>
              <w:ind w:left="100" w:right="100"/>
            </w:pPr>
            <w:r>
              <w:rPr>
                <w:rFonts w:hint="eastAsia"/>
              </w:rPr>
              <w:t>c）消防水池应设有下列设施：</w:t>
            </w:r>
          </w:p>
          <w:p>
            <w:pPr>
              <w:pStyle w:val="40"/>
              <w:ind w:left="100" w:right="100"/>
            </w:pPr>
            <w:r>
              <w:rPr>
                <w:rFonts w:hint="eastAsia"/>
              </w:rPr>
              <w:t>1）消防水池出水管应能保证水池的有效容积能被全部利用；</w:t>
            </w:r>
          </w:p>
          <w:p>
            <w:pPr>
              <w:pStyle w:val="40"/>
              <w:ind w:left="100" w:right="100"/>
            </w:pPr>
            <w:r>
              <w:rPr>
                <w:rFonts w:hint="eastAsia"/>
              </w:rPr>
              <w:t>2）消防水池应设置就地水位显示装置，并应在消防控制中心等地设显示消防水池水位的装置，同时应有最高和最低报警水位；</w:t>
            </w:r>
          </w:p>
          <w:p>
            <w:pPr>
              <w:pStyle w:val="40"/>
              <w:ind w:left="100" w:right="100"/>
            </w:pPr>
            <w:r>
              <w:rPr>
                <w:rFonts w:hint="eastAsia"/>
              </w:rPr>
              <w:t>3）消防水池应设置溢流水管和排水设施，并应采用间接排水；</w:t>
            </w:r>
          </w:p>
          <w:p>
            <w:pPr>
              <w:pStyle w:val="40"/>
              <w:ind w:left="100" w:right="100"/>
            </w:pPr>
            <w:r>
              <w:rPr>
                <w:rFonts w:hint="eastAsia"/>
              </w:rPr>
              <w:t>4）消防水池应设置通气管；</w:t>
            </w:r>
          </w:p>
          <w:p>
            <w:pPr>
              <w:pStyle w:val="40"/>
              <w:ind w:left="100" w:right="100"/>
            </w:pPr>
            <w:r>
              <w:rPr>
                <w:rFonts w:hint="eastAsia"/>
              </w:rPr>
              <w:t>5）消防水池通气管、呼吸管和溢流水管等应有防止虫鼠等进入消防水池的技术措施。</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50974-2014《消防给水及消火栓系统技术规范》第4.1.5条、第4.3.9条、第4.3.10条、第14.0.10条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除另有规定和不宜用水保护或灭火的场所外，任一层建筑面积大于1500 m2或总建筑面积大于3000 m2的病房楼、门诊楼和手术部未设置自动灭火系统，并未采用自动喷水灭火系统。</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50016-2014《建筑设计防火规范》第8.3.4条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防烟和排烟系统的配置不符合法规、国家标准、行业标准的要求，未确保完好有效。</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55036-2022 《消防设施通用规范》第1</w:t>
            </w:r>
            <w:r>
              <w:t>1</w:t>
            </w:r>
            <w:r>
              <w:rPr>
                <w:rFonts w:hint="eastAsia"/>
              </w:rPr>
              <w:t>部分</w:t>
            </w:r>
          </w:p>
          <w:p>
            <w:pPr>
              <w:pStyle w:val="40"/>
              <w:ind w:left="100" w:right="100"/>
            </w:pPr>
            <w:r>
              <w:rPr>
                <w:rFonts w:hint="eastAsia"/>
              </w:rPr>
              <w:t>GB 50016-2014《建筑设计防火规范》第8.5.1条、第8.5.3条、第8.5.4条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消防设施和消防产品类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火灾自动报警系统的配置不符合法规、国家标准、行业标准的要求，未确保完好有效。</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55036-2022 《消防设施通用规范》第1</w:t>
            </w:r>
            <w:r>
              <w:t>2</w:t>
            </w:r>
            <w:r>
              <w:rPr>
                <w:rFonts w:hint="eastAsia"/>
              </w:rPr>
              <w:t>部分</w:t>
            </w:r>
          </w:p>
          <w:p>
            <w:pPr>
              <w:pStyle w:val="40"/>
              <w:ind w:left="100" w:right="100"/>
            </w:pPr>
            <w:r>
              <w:rPr>
                <w:rFonts w:hint="eastAsia"/>
              </w:rPr>
              <w:t>GB 50016-2014《建筑设计防火规范》第8.4.1条、第8.4.3条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设置报警系统的公共区域未设置消防应急广播系统。</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51039-2014《综合医院建筑设计规范》第9.2.8条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消防控制室未符合下列要求：</w:t>
            </w:r>
          </w:p>
          <w:p>
            <w:pPr>
              <w:pStyle w:val="40"/>
              <w:ind w:left="100" w:right="100"/>
            </w:pPr>
            <w:r>
              <w:rPr>
                <w:rFonts w:hint="eastAsia"/>
              </w:rPr>
              <w:t>a）应采取防水淹的技术措施；</w:t>
            </w:r>
          </w:p>
          <w:p>
            <w:pPr>
              <w:pStyle w:val="40"/>
              <w:ind w:left="100" w:right="100"/>
            </w:pPr>
            <w:r>
              <w:rPr>
                <w:rFonts w:hint="eastAsia"/>
              </w:rPr>
              <w:t>b）应确保火灾自动报警系统、灭火系统和其他联动控制设备处于正常工作状态，不应将应处于自动状态的设在手动状态；</w:t>
            </w:r>
          </w:p>
          <w:p>
            <w:pPr>
              <w:pStyle w:val="40"/>
              <w:ind w:left="100" w:right="100"/>
            </w:pPr>
            <w:r>
              <w:rPr>
                <w:rFonts w:hint="eastAsia"/>
              </w:rPr>
              <w:t>c）确保高位消防水箱、消防水池、气压水罐等消防储水设施水量充足，确保消防泵出水管阀门、自动喷水灭火系统管道上的阀门常开；消防水泵、防排烟风机、防火卷帘等消防用电设备的配电柜开关应处于自动位置（通电状态）；</w:t>
            </w:r>
          </w:p>
          <w:p>
            <w:pPr>
              <w:pStyle w:val="40"/>
              <w:ind w:left="100" w:right="100"/>
            </w:pPr>
            <w:r>
              <w:rPr>
                <w:rFonts w:hint="eastAsia"/>
              </w:rPr>
              <w:t>d）不应有与消防控制室无关的电气线路和管路穿过；</w:t>
            </w:r>
          </w:p>
          <w:p>
            <w:pPr>
              <w:pStyle w:val="40"/>
              <w:ind w:left="100" w:right="100"/>
            </w:pPr>
            <w:r>
              <w:rPr>
                <w:rFonts w:hint="eastAsia"/>
              </w:rPr>
              <w:t>e）应设置可直接报警的外线电话。</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50016-2014《建筑设计防火规范》第8.1.8条</w:t>
            </w:r>
          </w:p>
          <w:p>
            <w:pPr>
              <w:pStyle w:val="40"/>
              <w:ind w:left="100" w:right="100"/>
            </w:pPr>
            <w:r>
              <w:rPr>
                <w:rFonts w:hint="eastAsia"/>
              </w:rPr>
              <w:t>GB 25506-2010《消防控制室通用技术要求》第4.2.1条</w:t>
            </w:r>
          </w:p>
          <w:p>
            <w:pPr>
              <w:pStyle w:val="40"/>
              <w:ind w:left="100" w:right="100"/>
            </w:pPr>
            <w:r>
              <w:rPr>
                <w:rFonts w:hint="eastAsia"/>
              </w:rPr>
              <w:t>GB 50116-2013《火灾自动报警系统设计规范》第3.4.3条、第3.4.6条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消防设施和消防产品类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消防控制室未保存下列资料：</w:t>
            </w:r>
          </w:p>
          <w:p>
            <w:pPr>
              <w:pStyle w:val="40"/>
              <w:ind w:left="100" w:right="100"/>
            </w:pPr>
            <w:r>
              <w:rPr>
                <w:rFonts w:hint="eastAsia"/>
              </w:rPr>
              <w:t>a）建（构）筑物竣工后的总平面布局图、建筑消防设施平面布置图、建筑消防设施系统图及安全出口布置图、重点部位位置图等；</w:t>
            </w:r>
          </w:p>
          <w:p>
            <w:pPr>
              <w:pStyle w:val="40"/>
              <w:ind w:left="100" w:right="100"/>
            </w:pPr>
            <w:r>
              <w:rPr>
                <w:rFonts w:hint="eastAsia"/>
              </w:rPr>
              <w:t>b）消防安全管理规章制度、应急灭火预案、应急疏散预案等；</w:t>
            </w:r>
          </w:p>
          <w:p>
            <w:pPr>
              <w:pStyle w:val="40"/>
              <w:ind w:left="100" w:right="100"/>
            </w:pPr>
            <w:r>
              <w:rPr>
                <w:rFonts w:hint="eastAsia"/>
              </w:rPr>
              <w:t>c）消防安全组织结构图，包括消防安全责任人、管理人、专职、义务消防人员等内容；</w:t>
            </w:r>
          </w:p>
          <w:p>
            <w:pPr>
              <w:pStyle w:val="40"/>
              <w:ind w:left="100" w:right="100"/>
            </w:pPr>
            <w:r>
              <w:rPr>
                <w:rFonts w:hint="eastAsia"/>
              </w:rPr>
              <w:t>d）消防安全培训记录、灭火和应急疏散预案的演练记录；</w:t>
            </w:r>
          </w:p>
          <w:p>
            <w:pPr>
              <w:pStyle w:val="40"/>
              <w:ind w:left="100" w:right="100"/>
            </w:pPr>
            <w:r>
              <w:rPr>
                <w:rFonts w:hint="eastAsia"/>
              </w:rPr>
              <w:t>e）值班情况、消防安全检查情况及巡查情况的记录；</w:t>
            </w:r>
          </w:p>
          <w:p>
            <w:pPr>
              <w:pStyle w:val="40"/>
              <w:ind w:left="100" w:right="100"/>
            </w:pPr>
            <w:r>
              <w:rPr>
                <w:rFonts w:hint="eastAsia"/>
              </w:rPr>
              <w:t>f）消防设施一览表，包括消防设施的类型、数量、状态等内容；</w:t>
            </w:r>
          </w:p>
          <w:p>
            <w:pPr>
              <w:pStyle w:val="40"/>
              <w:ind w:left="100" w:right="100"/>
            </w:pPr>
            <w:r>
              <w:rPr>
                <w:rFonts w:hint="eastAsia"/>
              </w:rPr>
              <w:t>g）消防系统控制逻辑关系说明、设备使用说明书、系统操作规程、系统和设备维护保养制度等；</w:t>
            </w:r>
          </w:p>
          <w:p>
            <w:pPr>
              <w:pStyle w:val="40"/>
              <w:ind w:left="100" w:right="100"/>
            </w:pPr>
            <w:r>
              <w:rPr>
                <w:rFonts w:hint="eastAsia"/>
              </w:rPr>
              <w:t>h）设备运行状况、接报警记录、火灾处理情况、设备检修检测报告等资料。</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25506-2010《消防控制室通用技术要求》第4.1条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消防控制室未有直通室外的出口，控制室的入口处未设置明显的标志。</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308-2019《医疗机构消防安全管理》第5.13.2条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燃气引入管敷设在卫生间、易燃品仓库、发电间、变配电室、不使用燃气的空调机房、通风机房、电缆沟、暖气沟、烟道和进风道、垃圾道等地方，或在室内地面下水平敷设。</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50028-2006 《城镇燃气设计规范》（2020年版）第10.2.14条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 xml:space="preserve">燃气管道上未设放散管，放散管排出高度未高出屋脊（或平屋顶）2 m以上，并未采取防止雨雪进入管道和放散物进入房间的措施。 </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50041-2008《锅炉房设计规范》第13.3.4条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当燃气金属管道螺纹连接的弯头、阀门、法兰盘等连接处的电阻值大于0.03 Ω或设计有要求时，连接处未用金属线跨接。</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QX/T 109-2009《城镇燃气防雷技术规范》6.5.2条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未依据国家公布的设备性能标准淘汰落后的电气设备。</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《中华人民共和国安全生产法》第三十八条</w:t>
            </w:r>
          </w:p>
          <w:p>
            <w:pPr>
              <w:pStyle w:val="40"/>
              <w:ind w:left="100" w:right="100"/>
            </w:pPr>
            <w:r>
              <w:rPr>
                <w:rFonts w:hint="eastAsia"/>
              </w:rPr>
              <w:t>DB11/527-2021《配电室安全管理规范》第5.1.3条</w:t>
            </w:r>
          </w:p>
          <w:p>
            <w:pPr>
              <w:pStyle w:val="40"/>
              <w:ind w:left="100" w:right="100"/>
            </w:pPr>
            <w:r>
              <w:rPr>
                <w:rFonts w:hint="eastAsia"/>
              </w:rPr>
              <w:t>DB11/1134-2014《高压电力用户安全用电规范》第7.2.5条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系统布线的敷设，为避免因环境温度、外部热源、浸水、灰尘聚集及腐蚀性或污染物质等外部影响对布线系统带来的损害，并未防止在敷设和使用过程中因受撞击、振动、电线或电缆自重和建筑物的变形等各种机械应力作用而带来的损害。</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JGJ 16-2008《民用建筑电气设计规范》第8.1.8条</w:t>
            </w:r>
          </w:p>
          <w:p>
            <w:pPr>
              <w:pStyle w:val="40"/>
              <w:ind w:left="100" w:right="100"/>
            </w:pPr>
            <w:r>
              <w:rPr>
                <w:rFonts w:hint="eastAsia"/>
              </w:rPr>
              <w:t>GB 50054-2011《低压配电设计规范》第7.1.5条1款</w:t>
            </w:r>
          </w:p>
          <w:p>
            <w:pPr>
              <w:pStyle w:val="40"/>
              <w:ind w:left="100" w:right="100"/>
            </w:pPr>
            <w:r>
              <w:rPr>
                <w:rFonts w:hint="eastAsia"/>
              </w:rPr>
              <w:t>GB 50575-2010《1kV及以下配线工程施工与验收规范》第3.0.5条6款</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bCs/>
                <w:kern w:val="0"/>
                <w:szCs w:val="20"/>
              </w:rPr>
              <w:t>消防设施和消防产品类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正常环境的屋内场所除建筑物顶棚及地沟内外，可采用直敷布线，并未符合下列要求：</w:t>
            </w:r>
          </w:p>
          <w:p>
            <w:pPr>
              <w:pStyle w:val="40"/>
              <w:ind w:left="100" w:right="100"/>
            </w:pPr>
            <w:r>
              <w:rPr>
                <w:rFonts w:hint="eastAsia"/>
              </w:rPr>
              <w:t>a）直敷布线应采用护套绝缘导线，且护套绝缘导线至地面的最小距离应符合表G.4的规定；</w:t>
            </w:r>
          </w:p>
          <w:p>
            <w:pPr>
              <w:pStyle w:val="40"/>
              <w:ind w:left="100" w:right="100"/>
            </w:pPr>
            <w:r>
              <w:rPr>
                <w:rFonts w:hint="eastAsia"/>
              </w:rPr>
              <w:t>b）当导线水平敷设至地面的距离小于2.5 m，垂直敷设至地面低于1.8 m的部分应穿管保护；</w:t>
            </w:r>
          </w:p>
          <w:p>
            <w:pPr>
              <w:pStyle w:val="40"/>
              <w:ind w:left="100" w:right="100"/>
            </w:pPr>
            <w:r>
              <w:rPr>
                <w:rFonts w:hint="eastAsia"/>
              </w:rPr>
              <w:t>c）导线与接地导体及不发热的管道紧贴交叉时，应用绝缘管保护；敷设在易受机械损伤的场所应用钢管保护；</w:t>
            </w:r>
          </w:p>
          <w:p>
            <w:pPr>
              <w:pStyle w:val="40"/>
              <w:ind w:left="100" w:right="100"/>
            </w:pPr>
            <w:r>
              <w:rPr>
                <w:rFonts w:hint="eastAsia"/>
              </w:rPr>
              <w:t>d）导线不应直接敷设在建筑物顶棚内。</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50575-2010《1kV及以下配线工程施工与验收规范》第5.5.1条、第5.5.4条、第5.5.5条</w:t>
            </w:r>
          </w:p>
          <w:p>
            <w:pPr>
              <w:pStyle w:val="40"/>
              <w:ind w:left="100" w:right="100"/>
            </w:pPr>
            <w:r>
              <w:rPr>
                <w:rFonts w:hint="eastAsia"/>
              </w:rPr>
              <w:t>GB 50054-2011《低压配电设计规范》第7.2.1条2款、第7.2.1条4款</w:t>
            </w:r>
          </w:p>
          <w:p>
            <w:pPr>
              <w:pStyle w:val="40"/>
              <w:ind w:left="100" w:right="100"/>
            </w:pPr>
            <w:r>
              <w:rPr>
                <w:rFonts w:hint="eastAsia"/>
              </w:rPr>
              <w:t>GB 50303-2015《建筑电气工程施工质量验收规范》第15.1.1条、第15.1.2条、第15.1.3条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用电场所线路接头连接不可靠，存在机械损伤、松动，导线接头未设在盒（箱）</w:t>
            </w:r>
          </w:p>
          <w:p>
            <w:pPr>
              <w:pStyle w:val="40"/>
              <w:ind w:left="100" w:right="100"/>
            </w:pPr>
            <w:r>
              <w:rPr>
                <w:rFonts w:hint="eastAsia"/>
              </w:rPr>
              <w:t>或器具内，盒（箱）配件不齐全，固定不牢固。</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t>DB11/T1322.56-2018</w:t>
            </w:r>
            <w:r>
              <w:rPr>
                <w:rFonts w:hint="eastAsia"/>
              </w:rPr>
              <w:t>《安全生产等级评定技术规范</w:t>
            </w:r>
            <w:r>
              <w:t xml:space="preserve"> </w:t>
            </w:r>
            <w:r>
              <w:rPr>
                <w:rFonts w:hint="eastAsia"/>
              </w:rPr>
              <w:t>第</w:t>
            </w:r>
            <w:r>
              <w:t>56</w:t>
            </w:r>
            <w:r>
              <w:rPr>
                <w:rFonts w:hint="eastAsia"/>
              </w:rPr>
              <w:t>部分：医疗卫生机构》第</w:t>
            </w:r>
            <w:r>
              <w:t>3.6.2.1.4</w:t>
            </w:r>
            <w:r>
              <w:rPr>
                <w:rFonts w:hint="eastAsia"/>
              </w:rPr>
              <w:t>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对于横跨通道的电气线路，未能进行埋地敷设，未采用完好有效的保护措施。</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50054-2011《低压配电设计规范》第7.2.28条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接地系统、电气设备的外露可导电部分和智能化系统的接地应符合《建筑电气与智能化通用规范》等规范的要求。</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55024-2022 《建筑电气与智能化通用规范》第7.2部分</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电气线路通过地板、墙壁、屋顶、天花板、隔墙等建筑构件时，其孔隙未按同建筑物构建耐火等级的规定封堵。</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JGJ 16-2008《民用建筑电气设计规范》第8.1.8条</w:t>
            </w:r>
          </w:p>
          <w:p>
            <w:pPr>
              <w:pStyle w:val="40"/>
              <w:ind w:left="100" w:right="100"/>
            </w:pPr>
            <w:r>
              <w:rPr>
                <w:rFonts w:hint="eastAsia"/>
              </w:rPr>
              <w:t>GB 50054-2011《低压配电设计规范》第7.1.5条1款</w:t>
            </w:r>
          </w:p>
          <w:p>
            <w:pPr>
              <w:pStyle w:val="40"/>
              <w:ind w:left="100" w:right="100"/>
            </w:pPr>
            <w:r>
              <w:rPr>
                <w:rFonts w:hint="eastAsia"/>
              </w:rPr>
              <w:t>GB 50575-2010《1kV及以下配线工程施工与验收规范》第3.0.5条6款</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配电箱（柜）未张贴醒目的安全警告标志和编号、标识，且未符合下列要求：</w:t>
            </w:r>
          </w:p>
          <w:p>
            <w:pPr>
              <w:pStyle w:val="40"/>
              <w:ind w:left="100" w:right="100"/>
            </w:pPr>
            <w:r>
              <w:rPr>
                <w:rFonts w:hint="eastAsia"/>
              </w:rPr>
              <w:t>a）配电箱应标识所控对象的名称、编号等，且与实际相符合；</w:t>
            </w:r>
          </w:p>
          <w:p>
            <w:pPr>
              <w:pStyle w:val="40"/>
              <w:ind w:left="100" w:right="100"/>
            </w:pPr>
            <w:r>
              <w:rPr>
                <w:rFonts w:hint="eastAsia"/>
              </w:rPr>
              <w:t>b）应有电气控制线路图；</w:t>
            </w:r>
          </w:p>
          <w:p>
            <w:pPr>
              <w:pStyle w:val="40"/>
              <w:ind w:left="100" w:right="100"/>
            </w:pPr>
            <w:r>
              <w:rPr>
                <w:rFonts w:hint="eastAsia"/>
              </w:rPr>
              <w:t>c）对于多路控制的配电箱（柜），在控制位置上标明所控制的电气设备的名称，且用途标识应齐全清晰。</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2894-2008《安全标志及其使用导则》第4.2.3条</w:t>
            </w:r>
          </w:p>
          <w:p>
            <w:pPr>
              <w:pStyle w:val="40"/>
              <w:ind w:left="100" w:right="100"/>
            </w:pPr>
            <w:r>
              <w:rPr>
                <w:rFonts w:hint="eastAsia"/>
              </w:rPr>
              <w:t>GB 50303-2015《建筑电气工程施工质量验收规范》第5.2.10条2款</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配电箱（柜）的箱门未完好无损，装有电器的箱门与箱体未进行可靠跨接。</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50303-2015《建筑电气工程施工质量验收规范》第5.2.10条4款、第5.1.1条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配电箱（柜）的安装未符合下列要求：</w:t>
            </w:r>
          </w:p>
          <w:p>
            <w:pPr>
              <w:pStyle w:val="40"/>
              <w:ind w:left="100" w:right="100"/>
            </w:pPr>
            <w:r>
              <w:rPr>
                <w:rFonts w:hint="eastAsia"/>
              </w:rPr>
              <w:t>a）配电箱（柜）前方1.2 m范围内应无任何妨碍操作与维修的物品，如因工艺布置、设备安装确有困难时可减至0.8 m，但不应影响箱门开启和操作；</w:t>
            </w:r>
          </w:p>
          <w:p>
            <w:pPr>
              <w:pStyle w:val="40"/>
              <w:ind w:left="100" w:right="100"/>
            </w:pPr>
            <w:r>
              <w:rPr>
                <w:rFonts w:hint="eastAsia"/>
              </w:rPr>
              <w:t>b）配电箱（柜）周边0.3 m内不应有可燃物，箱（柜）体内和下方不应搁置和堆放可燃物；</w:t>
            </w:r>
          </w:p>
          <w:p>
            <w:pPr>
              <w:pStyle w:val="40"/>
              <w:ind w:left="100" w:right="100"/>
            </w:pPr>
            <w:r>
              <w:rPr>
                <w:rFonts w:hint="eastAsia"/>
              </w:rPr>
              <w:t>c）落地式配电箱（柜）的底座周围应采取封闭措施，并应能防止鼠、蛇类等小动物进入箱（柜）内。</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50054-2011《低压配电设计规范》第4.2.1条、第4.2.5条注5</w:t>
            </w:r>
          </w:p>
          <w:p>
            <w:pPr>
              <w:pStyle w:val="40"/>
              <w:ind w:left="100" w:right="100"/>
            </w:pPr>
            <w:r>
              <w:rPr>
                <w:rFonts w:hint="eastAsia"/>
              </w:rPr>
              <w:t>DB11/065-2010《电气防火检测技术规范》第5.5.2.7c）条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配电箱（柜）内导线的安装和敷设未符合下列要求：</w:t>
            </w:r>
          </w:p>
          <w:p>
            <w:pPr>
              <w:pStyle w:val="40"/>
              <w:ind w:left="100" w:right="100"/>
            </w:pPr>
            <w:r>
              <w:rPr>
                <w:rFonts w:hint="eastAsia"/>
              </w:rPr>
              <w:t>a）进出导线应套管或用橡胶圈进行防护，不应与金属尖锐端口直接接触；</w:t>
            </w:r>
          </w:p>
          <w:p>
            <w:pPr>
              <w:pStyle w:val="40"/>
              <w:ind w:left="100" w:right="100"/>
            </w:pPr>
            <w:r>
              <w:rPr>
                <w:rFonts w:hint="eastAsia"/>
              </w:rPr>
              <w:t>b）导线不应卡在电气箱柜的金属外壳上，致使盖板无法盖上；</w:t>
            </w:r>
          </w:p>
          <w:p>
            <w:pPr>
              <w:pStyle w:val="40"/>
              <w:ind w:left="100" w:right="100"/>
            </w:pPr>
            <w:r>
              <w:rPr>
                <w:rFonts w:hint="eastAsia"/>
              </w:rPr>
              <w:t>c）箱内导线的颜色应符合要求，任何情况下颜色标记不应混用和互相代用。</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50617-2010《建筑电气照明装置施工与验收规范》第6.0.3条3款</w:t>
            </w:r>
          </w:p>
          <w:p>
            <w:pPr>
              <w:pStyle w:val="40"/>
              <w:ind w:left="100" w:right="100"/>
            </w:pPr>
            <w:r>
              <w:rPr>
                <w:rFonts w:hint="eastAsia"/>
              </w:rPr>
              <w:t>GB 50575-2010《1KV及以下配线工程施工与验收规范》第5.1.1条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bCs/>
                <w:kern w:val="0"/>
                <w:szCs w:val="20"/>
              </w:rPr>
              <w:t>设备设施及物料类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其他设备设施类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供氧站爆炸危险区域内电气未符合防爆要求。</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50030-2013《氧气站设计规范》第8.0.2条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照明灯具直接安装在可燃装修材料或可燃构件上，普通灯具与可燃物品的距离小于0.3 m。</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DB11/065-2010《电气防火检测技术规范》第6.1.2.3条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插座、开关无3C认证标志，使用破损、烧焦的插座、开关。</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《中华人民共和国认证认可条例》第三十条</w:t>
            </w:r>
          </w:p>
          <w:p>
            <w:pPr>
              <w:pStyle w:val="40"/>
              <w:ind w:left="100" w:right="100"/>
            </w:pPr>
            <w:r>
              <w:rPr>
                <w:rFonts w:hint="eastAsia"/>
              </w:rPr>
              <w:t>GB 26164.1-2010《电业安全工作规 第1部分：热力和机械》第3.5.5条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插座的安装未符合下列要求：</w:t>
            </w:r>
          </w:p>
          <w:p>
            <w:pPr>
              <w:pStyle w:val="40"/>
              <w:ind w:left="100" w:right="100"/>
            </w:pPr>
            <w:r>
              <w:rPr>
                <w:rFonts w:hint="eastAsia"/>
              </w:rPr>
              <w:t>a）插座安装盒应固定牢固，不应将安装盒吊挂着使用；</w:t>
            </w:r>
          </w:p>
          <w:p>
            <w:pPr>
              <w:pStyle w:val="40"/>
              <w:ind w:left="100" w:right="100"/>
            </w:pPr>
            <w:r>
              <w:rPr>
                <w:rFonts w:hint="eastAsia"/>
              </w:rPr>
              <w:t>b）潮湿场所应采用防溅型插座；</w:t>
            </w:r>
          </w:p>
          <w:p>
            <w:pPr>
              <w:pStyle w:val="40"/>
              <w:ind w:left="100" w:right="100"/>
            </w:pPr>
            <w:r>
              <w:rPr>
                <w:rFonts w:hint="eastAsia"/>
              </w:rPr>
              <w:t>c）地面插座应紧贴地面，盖板固定牢固，密封良好，且用配线接线盒；</w:t>
            </w:r>
          </w:p>
          <w:p>
            <w:pPr>
              <w:pStyle w:val="40"/>
              <w:ind w:left="100" w:right="100"/>
            </w:pPr>
            <w:r>
              <w:rPr>
                <w:rFonts w:hint="eastAsia"/>
              </w:rPr>
              <w:t>d）插座及其电源线靠近可燃物时，应采取隔热、散热等防火保护措施。</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DB11/065-2010《电气防火检测技术规范》第5.4.1条b）款、c）款、d）款、f）款</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将电线直接钩挂在闸刀上或直接插入插座内使用。</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50617-2010《建筑电气照明装置施工与验收规范》第5.1.2条4款</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移动式插座的使用未符合下列要求：</w:t>
            </w:r>
          </w:p>
          <w:p>
            <w:pPr>
              <w:pStyle w:val="40"/>
              <w:ind w:left="100" w:right="100"/>
            </w:pPr>
            <w:r>
              <w:rPr>
                <w:rFonts w:hint="eastAsia"/>
              </w:rPr>
              <w:t>a）不应放置在可燃物上或被可燃物覆盖；</w:t>
            </w:r>
          </w:p>
          <w:p>
            <w:pPr>
              <w:pStyle w:val="40"/>
              <w:ind w:left="100" w:right="100"/>
            </w:pPr>
            <w:r>
              <w:rPr>
                <w:rFonts w:hint="eastAsia"/>
              </w:rPr>
              <w:t>b）不应串接使用；</w:t>
            </w:r>
          </w:p>
          <w:p>
            <w:pPr>
              <w:pStyle w:val="40"/>
              <w:ind w:left="100" w:right="100"/>
            </w:pPr>
            <w:r>
              <w:rPr>
                <w:rFonts w:hint="eastAsia"/>
              </w:rPr>
              <w:t>c）插孔的双头插头和三头插头应分开。</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DB11/065-2010《电气防火检测技术规范》第5.4.1条k）款</w:t>
            </w:r>
          </w:p>
          <w:p>
            <w:pPr>
              <w:pStyle w:val="40"/>
              <w:ind w:left="100" w:right="100"/>
            </w:pPr>
            <w:r>
              <w:rPr>
                <w:rFonts w:hint="eastAsia"/>
              </w:rPr>
              <w:t>GB 2099.3-2015《家用和类似用途插头插座 第2-5部分：转换器的特殊要求》第9.1条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放射性装置的生产调试和使用场所，未必须配备与辐射类型和辐射水平相适应的防护用品和监测仪器，包括个人剂量测量报警、固定式和便携式辐射监测、表面污染监测、流出物监测等设备，未保证可能接触放射线的工作人员佩戴个人剂量计。</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《中华人民共和国职业病防治法》第二十五条</w:t>
            </w:r>
          </w:p>
          <w:p>
            <w:pPr>
              <w:pStyle w:val="40"/>
              <w:ind w:left="100" w:right="100"/>
            </w:pPr>
            <w:r>
              <w:rPr>
                <w:rFonts w:hint="eastAsia"/>
              </w:rPr>
              <w:t>《工作场所职业卫生管理规定》第十七条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人员类</w:t>
            </w: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kern w:val="0"/>
                <w:szCs w:val="20"/>
              </w:rPr>
            </w:pPr>
            <w:r>
              <w:rPr>
                <w:rFonts w:hint="eastAsia" w:ascii="宋体" w:hAnsi="宋体"/>
                <w:bCs/>
                <w:kern w:val="0"/>
                <w:szCs w:val="20"/>
              </w:rPr>
              <w:t>操作行为类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消防控制室值班和人员管理未符合下列要求：</w:t>
            </w:r>
          </w:p>
          <w:p>
            <w:pPr>
              <w:pStyle w:val="40"/>
              <w:ind w:left="100" w:right="100"/>
            </w:pPr>
            <w:r>
              <w:rPr>
                <w:rFonts w:hint="eastAsia"/>
              </w:rPr>
              <w:t>a）消防控制室实行每日24 h专人值班制度，每班不应少于2人，值班人员应持有消防控制室操作职业资格证书；</w:t>
            </w:r>
          </w:p>
          <w:p>
            <w:pPr>
              <w:pStyle w:val="40"/>
              <w:ind w:left="100" w:right="100"/>
            </w:pPr>
            <w:r>
              <w:rPr>
                <w:rFonts w:hint="eastAsia"/>
              </w:rPr>
              <w:t>b）消防控制室值班人员对火灾报警控制器进行检查、接班、交班时，应填写《消防控制室值班记录表》的相关内容。值班期间应每2 h记录1次消防控制室内消防设备的运行情况；</w:t>
            </w:r>
          </w:p>
          <w:p>
            <w:pPr>
              <w:pStyle w:val="40"/>
              <w:ind w:left="100" w:right="100"/>
            </w:pPr>
            <w:r>
              <w:rPr>
                <w:rFonts w:hint="eastAsia"/>
              </w:rPr>
              <w:t>c）室内不应堆放杂物，应保证其环境满足设备正常运行的要求。</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《机关、团体、企业、事业单位消防安全管理规定》第三十八条</w:t>
            </w:r>
          </w:p>
          <w:p>
            <w:pPr>
              <w:pStyle w:val="40"/>
              <w:ind w:left="100" w:right="100"/>
            </w:pPr>
            <w:r>
              <w:rPr>
                <w:rFonts w:hint="eastAsia"/>
              </w:rPr>
              <w:t>GB 25506-2010《消防控制室通用技术要求》第4.2.1条</w:t>
            </w:r>
          </w:p>
          <w:p>
            <w:pPr>
              <w:pStyle w:val="40"/>
              <w:ind w:left="100" w:right="100"/>
            </w:pPr>
            <w:r>
              <w:rPr>
                <w:rFonts w:hint="eastAsia"/>
              </w:rPr>
              <w:t>GB 25201-2010《建筑消防设施的维护管理》第5.2条</w:t>
            </w:r>
          </w:p>
          <w:p>
            <w:pPr>
              <w:pStyle w:val="40"/>
              <w:ind w:left="100" w:right="100"/>
            </w:pPr>
            <w:r>
              <w:rPr>
                <w:rFonts w:hint="eastAsia"/>
              </w:rPr>
              <w:t>GB/T 40248-2021《人员密集场所消防安全管理》第7.6.10条、第7.6.11条GB/T 40248-2021《人员密集场所消防安全管理》第7.6.10条、第7.6.11条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个人防护用品使用类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现场检查发现采购的劳动防护用品的质量不符合《个体防护装备配备规范 第1部分：总则》等国家、行业的相关标准要求。</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《中华人民共和国安全生产法》第四十五条</w:t>
            </w:r>
          </w:p>
          <w:p>
            <w:pPr>
              <w:pStyle w:val="40"/>
              <w:ind w:left="100" w:right="100"/>
            </w:pPr>
            <w:r>
              <w:rPr>
                <w:rFonts w:hint="eastAsia"/>
              </w:rPr>
              <w:t>GB</w:t>
            </w:r>
            <w:r>
              <w:t xml:space="preserve"> </w:t>
            </w:r>
            <w:r>
              <w:rPr>
                <w:rFonts w:hint="eastAsia"/>
              </w:rPr>
              <w:t>39800.1-2020 《个体防护装备配备规范_第1部分：总则》第4</w:t>
            </w:r>
            <w:r>
              <w:t>.3</w:t>
            </w:r>
            <w:r>
              <w:rPr>
                <w:rFonts w:hint="eastAsia"/>
              </w:rPr>
              <w:t>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未为从业人员提供劳动防护用品，未确保从业人员正确佩戴和使用劳动防护用品。</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《中华人民共和国安全生产法》第四十五条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场所环境类</w:t>
            </w:r>
          </w:p>
        </w:tc>
        <w:tc>
          <w:tcPr>
            <w:tcW w:w="9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平面布置类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未在显著位置设置消防疏散楼层指示图。</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DB11/1024-2013《消防安全疏散标志设置标准》第3.3.1条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建（构）筑物类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新建、改建、扩建建筑使用彩钢板。既有建筑使用低于A类燃烧性能的彩钢板。</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1322.56-2018《安全生产等级评定技术规范 第56部分：医疗卫生机构》第3.2.2.1条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药品库房未设在独立建筑内或建筑内的独立区域内，与其他场所未采取防火分隔措施。</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药品库房内设置休息室、办公室，值班室夜间留人住宿。</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未按规定设置建筑物防雷装置，并未保持完好有效。防雷装置至少每年未检测1次，对爆炸危险环境场所的防雷装置至少每半年未检测1次，检测由未具有防雷检测资质的单位进行，并未出具检测报告。</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《防雷减灾管理办法（修订）》（中国气象局第24号令）第十九条、第二十一条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常闭式防火门未保持关闭。常开式防火门的关闭装置未完好有效，并未保证火灾等异常情况下能自动关闭。</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308-2009《医疗机构消防安全管理》第4.1.10条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防火卷帘门两侧各0.5 m范围内堆放物品，并未用黄色标识线划定范围。</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40248-2021《人员密集场所消防安全管理》第8.8.2条GB/T 40248-2021《人员密集场所消防安全管理》第8.8.2条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设在建筑物内的危险化学品储存场所，未选择靠外墙、人员较少的位置，并未设置防火墙、泄压设施；与其他建筑物贴邻设置的储存场所时，有门、窗与相邻建筑物相通。</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第2部分：安全生产通用要求》第3.8.4.2条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安全出口及疏散通道类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社区卫生服务机构出入口少于2个。</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51039-2014《综合医院建筑设计规范》第4.2.2条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设备设施周围未设置必要的安全巡视、检查和检修通道。</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1322.56-2018《安全生产等级评定技术规范 第56部分：医疗卫生机构》第3.3.1.4条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安全出口和疏散通道未保持畅通，存在占用、堵塞、封闭安全出口和疏散通道或者有其他妨碍安全疏散的行为。</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《中华人民共和国消防法》第十六条</w:t>
            </w:r>
          </w:p>
          <w:p>
            <w:pPr>
              <w:pStyle w:val="40"/>
              <w:ind w:left="100" w:right="100"/>
            </w:pPr>
            <w:r>
              <w:rPr>
                <w:rFonts w:hint="eastAsia"/>
              </w:rPr>
              <w:t>《北京市消防条例》第十二条</w:t>
            </w:r>
          </w:p>
          <w:p>
            <w:pPr>
              <w:pStyle w:val="40"/>
              <w:ind w:left="100" w:right="100"/>
            </w:pPr>
            <w:r>
              <w:rPr>
                <w:rFonts w:hint="eastAsia"/>
              </w:rPr>
              <w:t>《机关、团体、企业、事业单位消防安全管理规定》第七条、第二十一条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平时需要控制人员随意出入的疏散门和设置门禁系统疏散门，未保证火灾时不需使用钥匙等任何工具即能从内部易于打开，并未在显著位置设置具有使用提示的标识。</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50016-2014《建筑设计防火规范》第6.4.11条</w:t>
            </w:r>
          </w:p>
          <w:p>
            <w:pPr>
              <w:pStyle w:val="40"/>
              <w:ind w:left="100" w:right="100"/>
            </w:pPr>
            <w:r>
              <w:rPr>
                <w:rFonts w:hint="eastAsia"/>
              </w:rPr>
              <w:t>GB 50116-2013《火灾自动报警系统设计规范》第4.10.3条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公共建筑内每个防火分区或1个防火分区的每个楼层，其安全出口少于2个。</w:t>
            </w:r>
          </w:p>
          <w:p>
            <w:pPr>
              <w:pStyle w:val="40"/>
              <w:ind w:left="100" w:right="100"/>
            </w:pPr>
            <w:r>
              <w:rPr>
                <w:rFonts w:hint="eastAsia"/>
              </w:rPr>
              <w:t>（建筑面积不大于200 m2且人数不超过50人的单层公共建筑或多层公共建筑的首层，可设置1个安全出口或1部疏散楼梯。）</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50016-2014《建筑设计防火规范》第5.5.8条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场所环境类</w:t>
            </w: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安全出口及疏散通道类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公共建筑内房间的疏散门数量少于2个。</w:t>
            </w:r>
          </w:p>
          <w:p>
            <w:pPr>
              <w:pStyle w:val="40"/>
              <w:ind w:left="100" w:right="100"/>
            </w:pPr>
            <w:r>
              <w:rPr>
                <w:rFonts w:hint="eastAsia"/>
              </w:rPr>
              <w:t>除医疗建筑内位于走道尽端的房间外，符合下列条件之一的房间可设置1个疏散门：</w:t>
            </w:r>
          </w:p>
          <w:p>
            <w:pPr>
              <w:pStyle w:val="40"/>
              <w:ind w:left="100" w:right="100"/>
            </w:pPr>
            <w:r>
              <w:rPr>
                <w:rFonts w:hint="eastAsia"/>
              </w:rPr>
              <w:t>a）位于两个安全出口之间或袋形走道两侧的房间，对于医疗建筑建筑面积不大于75 m2；</w:t>
            </w:r>
          </w:p>
          <w:p>
            <w:pPr>
              <w:pStyle w:val="40"/>
              <w:ind w:left="100" w:right="100"/>
            </w:pPr>
            <w:r>
              <w:rPr>
                <w:rFonts w:hint="eastAsia"/>
              </w:rPr>
              <w:t>b）位于走道尽端的房间，建筑面积小于50 m2且疏散门的净宽度不小于0.90 m，或由房间内任一点至疏散门的直线距离不大于15 m.建筑面积不大于200 m2且疏散门的净宽度不小于1.40 m。</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50016-2014《建筑设计防火规范》第5.5.15条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疏散门和安全出口的净宽度未符合下列要求：</w:t>
            </w:r>
          </w:p>
          <w:p>
            <w:pPr>
              <w:pStyle w:val="40"/>
              <w:ind w:left="100" w:right="100"/>
            </w:pPr>
            <w:r>
              <w:rPr>
                <w:rFonts w:hint="eastAsia"/>
              </w:rPr>
              <w:t>a）医院门诊大厅等人员密集公共场所的疏散门不应设置门槛，其净宽度不应小于1.40 m，且紧靠门口内外各1.40 m范围内不应设置踏步；</w:t>
            </w:r>
          </w:p>
          <w:p>
            <w:pPr>
              <w:pStyle w:val="40"/>
              <w:ind w:left="100" w:right="100"/>
            </w:pPr>
            <w:r>
              <w:rPr>
                <w:rFonts w:hint="eastAsia"/>
              </w:rPr>
              <w:t>b）高层公共建筑内楼梯间的首层疏散门、首层疏散外门、疏散走道和疏散楼梯的最小净宽度应符合表H.2的规定；</w:t>
            </w:r>
          </w:p>
          <w:p>
            <w:pPr>
              <w:pStyle w:val="40"/>
              <w:ind w:left="100" w:right="100"/>
            </w:pPr>
            <w:r>
              <w:rPr>
                <w:rFonts w:hint="eastAsia"/>
              </w:rPr>
              <w:t>c）其余公共建筑内疏散门和安全出口的净宽度不应小于0.90 m，疏散走道和疏散楼梯的净宽度不应小于1.10 m。</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50016-2014《建筑设计防火规范》第5.5.19条、第5.5.18条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建筑的楼梯间宜通至屋面，通向屋面的门或窗未向外开启。</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50016-2014《建筑设计防火规范》第5.5.3条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主楼梯宽度小于1.65 m，踏步宽度小于0.28 m，高度大于0.16 m。</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51039-2014《综合医院建筑设计规范》第5.1.5条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危险化学品储存场所安全出口少于2个。</w:t>
            </w:r>
          </w:p>
          <w:p>
            <w:pPr>
              <w:pStyle w:val="40"/>
              <w:ind w:left="100" w:right="100"/>
            </w:pPr>
            <w:r>
              <w:rPr>
                <w:rFonts w:hint="eastAsia"/>
              </w:rPr>
              <w:t>（当建筑面积不大于100 m2时，可设置1个安全出口）</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50016-2014《建筑设计防火规范》第3.8.2条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生产设备设施处，未按规定设置安全警示标志，并在设备设施附近悬挂操作规程。</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33000-2016《企业安全生产标准化基本规范》第5.2.3条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未在磁共振、电子计算机断层扫描、超声诊断等设备机房外显著位置张贴安全告知。</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33000-2016《企业安全生产标准化基本规范》第5.4.4条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消防安全疏散标志未设置在下列位置：</w:t>
            </w:r>
          </w:p>
          <w:p>
            <w:pPr>
              <w:pStyle w:val="40"/>
              <w:ind w:left="100" w:right="100"/>
            </w:pPr>
            <w:r>
              <w:rPr>
                <w:rFonts w:hint="eastAsia"/>
              </w:rPr>
              <w:t>a）安全出口；</w:t>
            </w:r>
          </w:p>
          <w:p>
            <w:pPr>
              <w:pStyle w:val="40"/>
              <w:ind w:left="100" w:right="100"/>
            </w:pPr>
            <w:r>
              <w:rPr>
                <w:rFonts w:hint="eastAsia"/>
              </w:rPr>
              <w:t xml:space="preserve">b）防烟楼梯间的前室或合用前室； </w:t>
            </w:r>
          </w:p>
          <w:p>
            <w:pPr>
              <w:pStyle w:val="40"/>
              <w:ind w:left="100" w:right="100"/>
            </w:pPr>
            <w:r>
              <w:rPr>
                <w:rFonts w:hint="eastAsia"/>
              </w:rPr>
              <w:t>c）超过20 m的走道、超过10 m的袋形走道；</w:t>
            </w:r>
          </w:p>
          <w:p>
            <w:pPr>
              <w:pStyle w:val="40"/>
              <w:ind w:left="100" w:right="100"/>
            </w:pPr>
            <w:r>
              <w:rPr>
                <w:rFonts w:hint="eastAsia"/>
              </w:rPr>
              <w:t>d）疏散走道拐弯处；</w:t>
            </w:r>
          </w:p>
          <w:p>
            <w:pPr>
              <w:pStyle w:val="40"/>
              <w:ind w:left="100" w:right="100"/>
            </w:pPr>
            <w:r>
              <w:rPr>
                <w:rFonts w:hint="eastAsia"/>
              </w:rPr>
              <w:t>e）高层建筑或多层建筑中建筑面积大于300 m2的会议室、多功能厅等公共活动用房；地下建筑中各房间总面积超过200 m2且经常有人停留的活动场所的房间疏散门；</w:t>
            </w:r>
          </w:p>
          <w:p>
            <w:pPr>
              <w:pStyle w:val="40"/>
              <w:ind w:left="100" w:right="100"/>
            </w:pPr>
            <w:r>
              <w:rPr>
                <w:rFonts w:hint="eastAsia"/>
              </w:rPr>
              <w:t>f）避难层（间）。</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DB11/1024-2013《消防安全疏散标志设置标准》第3.2.2条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场所环境类</w:t>
            </w: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非联动控制的安全出口或疏散通道中的门扇未设置“禁止锁闭”标志。室内疏散走道或室外通道醒目处未设置“禁止阻塞”标志。</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DB11/1024-2013《消防安全疏散标志设置标准》第3.3.3条</w:t>
            </w:r>
          </w:p>
          <w:p>
            <w:pPr>
              <w:pStyle w:val="40"/>
              <w:ind w:left="100" w:right="100"/>
            </w:pPr>
            <w:r>
              <w:rPr>
                <w:rFonts w:hint="eastAsia"/>
              </w:rPr>
              <w:t>GB 15630-1995《消防安全标志设置要求》第5.3条、第5.4条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消防安全疏散标志的设置未符合下列要求：</w:t>
            </w:r>
          </w:p>
          <w:p>
            <w:pPr>
              <w:pStyle w:val="40"/>
              <w:ind w:left="100" w:right="100"/>
            </w:pPr>
            <w:r>
              <w:rPr>
                <w:rFonts w:hint="eastAsia"/>
              </w:rPr>
              <w:t>a）消防疏散导流标志应沿疏散通道和疏散路线设置；疏散走道转角区域1 m范围内应设置消防安全疏散标志；疏散走道和主要疏散路线的地面或靠近地面的墙上应设置消防安全疏散标志；</w:t>
            </w:r>
          </w:p>
          <w:p>
            <w:pPr>
              <w:pStyle w:val="40"/>
              <w:ind w:left="100" w:right="100"/>
            </w:pPr>
            <w:r>
              <w:rPr>
                <w:rFonts w:hint="eastAsia"/>
              </w:rPr>
              <w:t>b）消防安全疏散标志设置在距地面高度1 m以下的墙面上，间距不应大于10 m；设置在疏散走道上空，间距不应大于20 m，其标志面应与疏散方向垂直，标志下边缘距室内地面距离宜为2.2 m～2.5 m；增设的电光源型消防疏散导流标志间距不应小于3 m，且不应超过5 m。设置在墙面上时，底边距地不大于0.2 m；非电光源型消防安全疏散标志应设置在电光源型疏散标志之间，且间距不应小于2 m，不应大于3 m；</w:t>
            </w:r>
          </w:p>
          <w:p>
            <w:pPr>
              <w:pStyle w:val="40"/>
              <w:ind w:left="100" w:right="100"/>
            </w:pPr>
            <w:r>
              <w:rPr>
                <w:rFonts w:hint="eastAsia"/>
              </w:rPr>
              <w:t>c）非电光源型消防安全疏散标志只能作为电光源型消防安全疏散标志的辅助指示设施；</w:t>
            </w:r>
          </w:p>
          <w:p>
            <w:pPr>
              <w:pStyle w:val="40"/>
              <w:ind w:left="100" w:right="100"/>
            </w:pPr>
            <w:r>
              <w:rPr>
                <w:rFonts w:hint="eastAsia"/>
              </w:rPr>
              <w:t>d）消防安全疏散标志应独立设置在醒目位置。疏散出口和安全出口标志不应设置在可开启的门、窗扇上或其他可移动的物体上，应设在靠近其出口一侧的门上方或门洞两侧的墙面上，标志的下边缘距门的上边缘不宜大于0.3 m。在远离安全出口的地方，应将安全出口标志和疏散通道方向标志联合设置，箭头应指向最近的安全出口。</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DB11/1024-2013《消防安全疏散标志设置标准》第3.1.4条、第3.1.5条、第3.2.3条、第3.2.5条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未在医疗卫生机构建筑内不同区域的明显位置设置安全疏散指示图，指示图上未标明疏散路线、安全出口、人员所在位置和必要的文字说明。</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308-2009《医疗机构消防安全管理》第4.1.9条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未在危化品储存场所的显著位置张贴或悬挂现场处置方案。</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第2部分：安全生产通用要求》第3.8.1.14条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存放废弃危险化学品的场所、设施、包装容器未设置危险废弃物识别标志，且并未设置安全监护措施。</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DB11/1578-2018《医疗机构危险化学品安全管理规范》第9.3条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产生职业病危害的地方，未在醒目位置设置公告栏，公布有关职业病防治的规章制度、操作规程、职业病危害事故应急救援措施和工作场所职业病危害因素检测结果。</w:t>
            </w:r>
          </w:p>
          <w:p>
            <w:pPr>
              <w:pStyle w:val="40"/>
              <w:ind w:left="100" w:right="100"/>
            </w:pPr>
            <w:r>
              <w:rPr>
                <w:rFonts w:hint="eastAsia"/>
              </w:rPr>
              <w:t>存在或者产生职业病危害的工作场所、作业岗位、设备、设施，未按照《工作场所职业病危害警示标识》（GBZ158）的规定，在醒目位置设置图形、警示线、警示语句等警示标识和中文警示说明。警示说明应当载明产生职业病危害的种类、后果、预防和应急处置措施等内容。</w:t>
            </w:r>
          </w:p>
          <w:p>
            <w:pPr>
              <w:pStyle w:val="40"/>
              <w:ind w:left="100" w:right="100"/>
            </w:pPr>
            <w:r>
              <w:rPr>
                <w:rFonts w:hint="eastAsia"/>
              </w:rPr>
              <w:t>存在或者产生高毒物品的作业岗位，未按照《高毒物品作业岗位职业病危害告知规范》（GBZ/T203）的规定，在醒目位置设置高毒物品告知卡，告知卡应当载明高毒物品的名称、理化特性、健康危害、防护措施及应急处理等告知内容与警示标识。</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《中华人民共和国职业病防治法》第二十四条</w:t>
            </w:r>
          </w:p>
          <w:p>
            <w:pPr>
              <w:pStyle w:val="40"/>
              <w:ind w:left="100" w:right="100"/>
            </w:pPr>
            <w:r>
              <w:rPr>
                <w:rFonts w:hint="eastAsia"/>
              </w:rPr>
              <w:t>《工作场所职业卫生管理规定》第十五条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医疗废物产生地点未有医疗废物分类收集方法的示意图或者文字说明。</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《医疗卫生机构医疗废物管理办法》第十二条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kern w:val="0"/>
                <w:szCs w:val="20"/>
              </w:rPr>
            </w:pPr>
            <w:r>
              <w:rPr>
                <w:rFonts w:hint="eastAsia" w:ascii="宋体" w:hAnsi="宋体"/>
                <w:bCs/>
                <w:kern w:val="0"/>
                <w:szCs w:val="20"/>
              </w:rPr>
              <w:t>作业环境类</w:t>
            </w: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存在职业病危害因素分类目录所列职业病危害因素的医疗卫生机构，未委托具有相应资质的职业卫生技术服务机构，每年未至少进行1次职业病危害因素检测。每三年未至少进行一次职业病危害现状评价。</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《中华人民共和国职业病防治法》第二十六条</w:t>
            </w:r>
          </w:p>
          <w:p>
            <w:pPr>
              <w:pStyle w:val="40"/>
              <w:ind w:left="100" w:right="100"/>
            </w:pPr>
            <w:r>
              <w:rPr>
                <w:rFonts w:hint="eastAsia"/>
              </w:rPr>
              <w:t>《工作场所职业卫生管理规定》第二十条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药品库房中采用堆垛方式存放的中草药，未采取定期翻堆散热等防止自燃的措施，必要时加装视频监控装置。</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308-2009《医疗机构消防安全管理》第5.5.5条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场所环境类</w:t>
            </w: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药品库房内堆放药品未符合下列要求：</w:t>
            </w:r>
          </w:p>
          <w:p>
            <w:pPr>
              <w:pStyle w:val="40"/>
              <w:ind w:left="100" w:right="100"/>
            </w:pPr>
            <w:r>
              <w:rPr>
                <w:rFonts w:hint="eastAsia"/>
              </w:rPr>
              <w:t>a）堆垛上部与楼板、平屋顶之间的距离不小于0.3 m（人字屋架从横梁算起）；</w:t>
            </w:r>
          </w:p>
          <w:p>
            <w:pPr>
              <w:pStyle w:val="40"/>
              <w:ind w:left="100" w:right="100"/>
            </w:pPr>
            <w:r>
              <w:rPr>
                <w:rFonts w:hint="eastAsia"/>
              </w:rPr>
              <w:t>b）物品与照明灯之间的距离不小于0.5 m；</w:t>
            </w:r>
          </w:p>
          <w:p>
            <w:pPr>
              <w:pStyle w:val="40"/>
              <w:ind w:left="100" w:right="100"/>
            </w:pPr>
            <w:r>
              <w:rPr>
                <w:rFonts w:hint="eastAsia"/>
              </w:rPr>
              <w:t>c）物品与墙之间的距离不小于0.5 m；</w:t>
            </w:r>
          </w:p>
          <w:p>
            <w:pPr>
              <w:pStyle w:val="40"/>
              <w:ind w:left="100" w:right="100"/>
            </w:pPr>
            <w:r>
              <w:rPr>
                <w:rFonts w:hint="eastAsia"/>
              </w:rPr>
              <w:t>d）物品堆垛与柱之间的距离不小于0.3 m；</w:t>
            </w:r>
          </w:p>
          <w:p>
            <w:pPr>
              <w:pStyle w:val="40"/>
              <w:ind w:left="100" w:right="100"/>
            </w:pPr>
            <w:r>
              <w:rPr>
                <w:rFonts w:hint="eastAsia"/>
              </w:rPr>
              <w:t>e）物品堆垛与堆垛之间的距离不小于1 m。</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XF 1131-2014《仓储场所消防安全管理通则》第6.8条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设备设施使用科室未保持工作环境清洁、干燥，未根据设备设施的使用安全要求做好防尘、防潮、防爆、防水、防电磁波、防静电工作。</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33000-2016《企业安全生产标准化基本规范》第5.4.2.1条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6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4"/>
              </w:numPr>
              <w:adjustRightInd w:val="0"/>
              <w:snapToGrid w:val="0"/>
              <w:spacing w:line="240" w:lineRule="auto"/>
              <w:ind w:left="100" w:right="0" w:rightChars="0" w:firstLine="0" w:firstLineChars="0"/>
              <w:jc w:val="center"/>
              <w:rPr>
                <w:rFonts w:ascii="宋体" w:hAnsi="宋体"/>
                <w:bCs/>
                <w:szCs w:val="20"/>
                <w:lang w:bidi="mn-Mong-CN"/>
              </w:rPr>
            </w:pP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kern w:val="0"/>
                <w:szCs w:val="20"/>
              </w:rPr>
            </w:pPr>
          </w:p>
        </w:tc>
        <w:tc>
          <w:tcPr>
            <w:tcW w:w="667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在危险化学品储存场所内堆积可燃性物品。泄漏、渗漏危险化学品的包装容器未迅速转移至安全区域。</w:t>
            </w:r>
          </w:p>
        </w:tc>
        <w:tc>
          <w:tcPr>
            <w:tcW w:w="360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DB11/T1578-2018《医疗机构危险化学品安全管理规范》第5.8条</w:t>
            </w:r>
          </w:p>
        </w:tc>
        <w:tc>
          <w:tcPr>
            <w:tcW w:w="7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bl>
    <w:p>
      <w:pPr>
        <w:adjustRightInd w:val="0"/>
        <w:snapToGrid w:val="0"/>
        <w:ind w:left="100" w:right="100"/>
        <w:rPr>
          <w:rFonts w:ascii="宋体" w:hAnsi="宋体"/>
          <w:b/>
          <w:bCs/>
          <w:sz w:val="30"/>
          <w:szCs w:val="30"/>
        </w:rPr>
      </w:pPr>
      <w:r>
        <w:rPr>
          <w:rFonts w:hint="eastAsia" w:ascii="宋体" w:hAnsi="宋体"/>
          <w:b/>
          <w:bCs/>
          <w:sz w:val="30"/>
          <w:szCs w:val="30"/>
        </w:rPr>
        <w:t>附页：</w:t>
      </w:r>
    </w:p>
    <w:p>
      <w:pPr>
        <w:pStyle w:val="27"/>
        <w:numPr>
          <w:ilvl w:val="0"/>
          <w:numId w:val="0"/>
        </w:numPr>
        <w:adjustRightInd w:val="0"/>
        <w:snapToGrid w:val="0"/>
        <w:spacing w:before="0" w:beforeLines="0" w:after="0" w:afterLines="0"/>
        <w:ind w:left="100" w:leftChars="50" w:right="100"/>
      </w:pPr>
      <w:r>
        <w:rPr>
          <w:rFonts w:hint="eastAsia"/>
        </w:rPr>
        <w:t>表G.4  护套绝缘导线至地面的最小距离</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6"/>
        <w:gridCol w:w="3545"/>
        <w:gridCol w:w="63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171" w:type="dxa"/>
            <w:gridSpan w:val="2"/>
            <w:tcBorders>
              <w:top w:val="single" w:color="auto" w:sz="4" w:space="0"/>
              <w:left w:val="single" w:color="auto" w:sz="8" w:space="0"/>
              <w:bottom w:val="single" w:color="auto" w:sz="8"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布线方式</w:t>
            </w:r>
          </w:p>
        </w:tc>
        <w:tc>
          <w:tcPr>
            <w:tcW w:w="6332" w:type="dxa"/>
            <w:tcBorders>
              <w:top w:val="single" w:color="auto" w:sz="4" w:space="0"/>
              <w:left w:val="single" w:color="auto" w:sz="4" w:space="0"/>
              <w:bottom w:val="single" w:color="auto" w:sz="8" w:space="0"/>
              <w:right w:val="single" w:color="auto" w:sz="8"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最小距离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626" w:type="dxa"/>
            <w:vMerge w:val="restart"/>
            <w:tcBorders>
              <w:top w:val="single" w:color="auto" w:sz="8" w:space="0"/>
              <w:left w:val="single" w:color="auto" w:sz="8"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水平敷设</w:t>
            </w:r>
          </w:p>
        </w:tc>
        <w:tc>
          <w:tcPr>
            <w:tcW w:w="3545" w:type="dxa"/>
            <w:tcBorders>
              <w:top w:val="single" w:color="auto" w:sz="8" w:space="0"/>
              <w:left w:val="single" w:color="auto" w:sz="4"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屋内</w:t>
            </w:r>
          </w:p>
        </w:tc>
        <w:tc>
          <w:tcPr>
            <w:tcW w:w="6332" w:type="dxa"/>
            <w:tcBorders>
              <w:top w:val="single" w:color="auto" w:sz="8" w:space="0"/>
              <w:left w:val="single" w:color="auto" w:sz="4" w:space="0"/>
              <w:bottom w:val="single" w:color="auto" w:sz="4" w:space="0"/>
              <w:right w:val="single" w:color="auto" w:sz="8"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171" w:type="dxa"/>
            <w:vMerge w:val="continue"/>
            <w:tcBorders>
              <w:top w:val="single" w:color="auto" w:sz="8"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354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rPr>
            </w:pPr>
            <w:r>
              <w:rPr>
                <w:rFonts w:hint="eastAsia" w:ascii="宋体" w:hAnsi="宋体"/>
                <w:sz w:val="18"/>
                <w:szCs w:val="18"/>
              </w:rPr>
              <w:t>屋外</w:t>
            </w:r>
          </w:p>
        </w:tc>
        <w:tc>
          <w:tcPr>
            <w:tcW w:w="63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rPr>
            </w:pPr>
            <w:r>
              <w:rPr>
                <w:rFonts w:hint="eastAsia" w:ascii="宋体" w:hAnsi="宋体"/>
                <w:sz w:val="18"/>
                <w:szCs w:val="18"/>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626" w:type="dxa"/>
            <w:vMerge w:val="restart"/>
            <w:tcBorders>
              <w:top w:val="single" w:color="auto" w:sz="4" w:space="0"/>
              <w:left w:val="single" w:color="auto" w:sz="8"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垂直敷设</w:t>
            </w:r>
          </w:p>
        </w:tc>
        <w:tc>
          <w:tcPr>
            <w:tcW w:w="3545" w:type="dxa"/>
            <w:tcBorders>
              <w:top w:val="single" w:color="auto" w:sz="4" w:space="0"/>
              <w:left w:val="single" w:color="auto" w:sz="4"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屋内</w:t>
            </w:r>
          </w:p>
        </w:tc>
        <w:tc>
          <w:tcPr>
            <w:tcW w:w="6332" w:type="dxa"/>
            <w:tcBorders>
              <w:top w:val="single" w:color="auto" w:sz="4" w:space="0"/>
              <w:left w:val="single" w:color="auto" w:sz="4" w:space="0"/>
              <w:bottom w:val="single" w:color="auto" w:sz="4" w:space="0"/>
              <w:right w:val="single" w:color="auto" w:sz="8"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171"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354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rPr>
            </w:pPr>
            <w:r>
              <w:rPr>
                <w:rFonts w:hint="eastAsia" w:ascii="宋体" w:hAnsi="宋体"/>
                <w:sz w:val="18"/>
                <w:szCs w:val="18"/>
              </w:rPr>
              <w:t>屋外</w:t>
            </w:r>
          </w:p>
        </w:tc>
        <w:tc>
          <w:tcPr>
            <w:tcW w:w="63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rPr>
            </w:pPr>
            <w:r>
              <w:rPr>
                <w:rFonts w:hint="eastAsia" w:ascii="宋体" w:hAnsi="宋体"/>
                <w:sz w:val="18"/>
                <w:szCs w:val="18"/>
              </w:rPr>
              <w:t>2.7</w:t>
            </w:r>
          </w:p>
        </w:tc>
      </w:tr>
    </w:tbl>
    <w:p>
      <w:pPr>
        <w:pStyle w:val="27"/>
        <w:numPr>
          <w:ilvl w:val="0"/>
          <w:numId w:val="0"/>
        </w:numPr>
        <w:adjustRightInd w:val="0"/>
        <w:snapToGrid w:val="0"/>
        <w:spacing w:before="0" w:beforeLines="0" w:after="0" w:afterLines="0"/>
        <w:ind w:left="100" w:leftChars="50" w:right="100"/>
      </w:pPr>
      <w:r>
        <w:rPr>
          <w:rFonts w:hint="eastAsia"/>
        </w:rPr>
        <w:t>表H.2  高层公共建筑内楼梯间的首层疏散门、首层疏散外门、疏散走道和疏散楼梯的最小净宽度</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3191"/>
        <w:gridCol w:w="2596"/>
        <w:gridCol w:w="2158"/>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建筑类别</w:t>
            </w:r>
          </w:p>
        </w:tc>
        <w:tc>
          <w:tcPr>
            <w:tcW w:w="319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楼梯间的首层疏散门、首层疏散外门</w:t>
            </w:r>
          </w:p>
        </w:tc>
        <w:tc>
          <w:tcPr>
            <w:tcW w:w="47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走  道</w:t>
            </w:r>
          </w:p>
        </w:tc>
        <w:tc>
          <w:tcPr>
            <w:tcW w:w="262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疏散楼梯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31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259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单面布房</w:t>
            </w: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双面布房</w:t>
            </w:r>
          </w:p>
        </w:tc>
        <w:tc>
          <w:tcPr>
            <w:tcW w:w="2622"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高层医疗建筑</w:t>
            </w:r>
          </w:p>
        </w:tc>
        <w:tc>
          <w:tcPr>
            <w:tcW w:w="319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1.30</w:t>
            </w:r>
          </w:p>
        </w:tc>
        <w:tc>
          <w:tcPr>
            <w:tcW w:w="259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1.40</w:t>
            </w: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1.50</w:t>
            </w:r>
          </w:p>
        </w:tc>
        <w:tc>
          <w:tcPr>
            <w:tcW w:w="2622" w:type="dxa"/>
            <w:tcBorders>
              <w:top w:val="single" w:color="auto" w:sz="4" w:space="0"/>
              <w:left w:val="single" w:color="auto" w:sz="4" w:space="0"/>
              <w:bottom w:val="single" w:color="auto" w:sz="4" w:space="0"/>
              <w:right w:val="single" w:color="auto" w:sz="4" w:space="0"/>
            </w:tcBorders>
          </w:tcPr>
          <w:p>
            <w:pPr>
              <w:adjustRightInd w:val="0"/>
              <w:snapToGrid w:val="0"/>
              <w:ind w:left="100" w:right="100"/>
              <w:jc w:val="center"/>
              <w:rPr>
                <w:rFonts w:ascii="宋体" w:hAnsi="宋体"/>
                <w:sz w:val="18"/>
                <w:szCs w:val="18"/>
              </w:rPr>
            </w:pPr>
            <w:r>
              <w:rPr>
                <w:rFonts w:hint="eastAsia" w:ascii="宋体" w:hAnsi="宋体"/>
                <w:sz w:val="18"/>
                <w:szCs w:val="18"/>
              </w:rPr>
              <w:t>1.30</w:t>
            </w:r>
          </w:p>
        </w:tc>
      </w:tr>
    </w:tbl>
    <w:p>
      <w:pPr>
        <w:pStyle w:val="25"/>
        <w:adjustRightInd w:val="0"/>
        <w:snapToGrid w:val="0"/>
        <w:ind w:left="100" w:leftChars="50" w:right="100" w:rightChars="50" w:firstLine="0" w:firstLineChars="0"/>
        <w:rPr>
          <w:rFonts w:ascii="黑体" w:hAnsi="黑体" w:eastAsia="黑体"/>
        </w:rPr>
      </w:pPr>
    </w:p>
    <w:p>
      <w:pPr>
        <w:pStyle w:val="27"/>
        <w:numPr>
          <w:ilvl w:val="0"/>
          <w:numId w:val="0"/>
        </w:numPr>
        <w:adjustRightInd w:val="0"/>
        <w:snapToGrid w:val="0"/>
        <w:spacing w:before="0" w:beforeLines="0" w:after="0" w:afterLines="0"/>
        <w:ind w:left="100" w:leftChars="50" w:right="100"/>
      </w:pPr>
      <w:r>
        <w:rPr>
          <w:rFonts w:hint="eastAsia"/>
        </w:rPr>
        <w:t>表H.3  A类火灾场所的灭火器最大保护距离</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4835"/>
        <w:gridCol w:w="4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sz w:val="18"/>
              </w:rPr>
              <w:t>危险等级</w:t>
            </w:r>
          </w:p>
        </w:tc>
        <w:tc>
          <w:tcPr>
            <w:tcW w:w="9667" w:type="dxa"/>
            <w:gridSpan w:val="2"/>
            <w:tcBorders>
              <w:top w:val="single" w:color="auto" w:sz="8"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sz w:val="18"/>
              </w:rPr>
            </w:pPr>
            <w:r>
              <w:rPr>
                <w:rFonts w:hint="eastAsia" w:ascii="宋体"/>
                <w:sz w:val="18"/>
              </w:rPr>
              <w:t>灭火器型式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手提式灭火器</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推车式灭火器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严重危险级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15</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中危险级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20</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轻危险级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25</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50</w:t>
            </w:r>
          </w:p>
        </w:tc>
      </w:tr>
    </w:tbl>
    <w:p>
      <w:pPr>
        <w:pStyle w:val="25"/>
        <w:adjustRightInd w:val="0"/>
        <w:snapToGrid w:val="0"/>
        <w:ind w:left="100" w:leftChars="50" w:right="100" w:rightChars="50" w:firstLine="0" w:firstLineChars="0"/>
        <w:rPr>
          <w:rFonts w:ascii="黑体" w:hAnsi="黑体" w:eastAsia="黑体"/>
        </w:rPr>
      </w:pPr>
    </w:p>
    <w:p>
      <w:pPr>
        <w:pStyle w:val="25"/>
        <w:adjustRightInd w:val="0"/>
        <w:snapToGrid w:val="0"/>
        <w:ind w:left="100" w:leftChars="50" w:right="100" w:rightChars="50" w:firstLine="0" w:firstLineChars="0"/>
        <w:rPr>
          <w:rFonts w:ascii="黑体" w:hAnsi="黑体" w:eastAsia="黑体"/>
        </w:rPr>
      </w:pPr>
    </w:p>
    <w:p>
      <w:pPr>
        <w:pStyle w:val="27"/>
        <w:numPr>
          <w:ilvl w:val="0"/>
          <w:numId w:val="0"/>
        </w:numPr>
        <w:adjustRightInd w:val="0"/>
        <w:snapToGrid w:val="0"/>
        <w:spacing w:before="0" w:beforeLines="0" w:after="0" w:afterLines="0"/>
        <w:ind w:left="100" w:leftChars="50" w:right="100"/>
      </w:pPr>
      <w:r>
        <w:rPr>
          <w:rFonts w:hint="eastAsia"/>
        </w:rPr>
        <w:t>表H.4  B.C类火灾场所的灭火器最大保护距离</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4835"/>
        <w:gridCol w:w="4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sz w:val="18"/>
              </w:rPr>
              <w:t>危险等级</w:t>
            </w:r>
          </w:p>
        </w:tc>
        <w:tc>
          <w:tcPr>
            <w:tcW w:w="9667" w:type="dxa"/>
            <w:gridSpan w:val="2"/>
            <w:tcBorders>
              <w:top w:val="single" w:color="auto" w:sz="8"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sz w:val="18"/>
              </w:rPr>
              <w:t>灭火器型式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手提式灭火器</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推车式灭火器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严重危险级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9</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中危险级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12</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轻危险级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15</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30</w:t>
            </w:r>
          </w:p>
        </w:tc>
      </w:tr>
    </w:tbl>
    <w:p>
      <w:pPr>
        <w:pStyle w:val="27"/>
        <w:numPr>
          <w:ilvl w:val="0"/>
          <w:numId w:val="0"/>
        </w:numPr>
        <w:adjustRightInd w:val="0"/>
        <w:snapToGrid w:val="0"/>
        <w:spacing w:before="0" w:beforeLines="0" w:after="0" w:afterLines="0"/>
        <w:ind w:left="100" w:leftChars="50" w:right="100"/>
      </w:pPr>
      <w:r>
        <w:rPr>
          <w:rFonts w:hint="eastAsia"/>
        </w:rPr>
        <w:t>表H.5  灭火器的维修期限</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55"/>
        <w:gridCol w:w="5587"/>
        <w:gridCol w:w="5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gridSpan w:val="2"/>
            <w:tcBorders>
              <w:top w:val="single" w:color="auto" w:sz="4" w:space="0"/>
              <w:left w:val="single" w:color="auto" w:sz="8"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灭火器类型</w:t>
            </w:r>
          </w:p>
        </w:tc>
        <w:tc>
          <w:tcPr>
            <w:tcW w:w="5961" w:type="dxa"/>
            <w:tcBorders>
              <w:top w:val="single" w:color="auto" w:sz="4" w:space="0"/>
              <w:left w:val="single" w:color="auto" w:sz="4" w:space="0"/>
              <w:bottom w:val="single" w:color="auto" w:sz="4" w:space="0"/>
              <w:right w:val="single" w:color="auto" w:sz="8"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维修期限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955"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水基型灭火器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手提式水基型灭火器</w:t>
            </w:r>
          </w:p>
        </w:tc>
        <w:tc>
          <w:tcPr>
            <w:tcW w:w="5961" w:type="dxa"/>
            <w:vMerge w:val="restart"/>
            <w:tcBorders>
              <w:top w:val="single" w:color="auto" w:sz="4" w:space="0"/>
              <w:left w:val="single" w:color="auto" w:sz="4" w:space="0"/>
              <w:bottom w:val="single" w:color="auto" w:sz="4" w:space="0"/>
              <w:right w:val="single" w:color="auto" w:sz="8"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出厂期满3年；</w:t>
            </w:r>
          </w:p>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首次维修以后每满1年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推车式水基型灭火器</w:t>
            </w:r>
          </w:p>
        </w:tc>
        <w:tc>
          <w:tcPr>
            <w:tcW w:w="5961" w:type="dxa"/>
            <w:vMerge w:val="continue"/>
            <w:tcBorders>
              <w:top w:val="single" w:color="auto" w:sz="4" w:space="0"/>
              <w:left w:val="single" w:color="auto" w:sz="4" w:space="0"/>
              <w:bottom w:val="single" w:color="auto" w:sz="4"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955"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干粉灭火器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手提式（贮压式）干粉灭火器</w:t>
            </w:r>
          </w:p>
        </w:tc>
        <w:tc>
          <w:tcPr>
            <w:tcW w:w="5961" w:type="dxa"/>
            <w:vMerge w:val="restart"/>
            <w:tcBorders>
              <w:top w:val="single" w:color="auto" w:sz="4" w:space="0"/>
              <w:left w:val="single" w:color="auto" w:sz="4" w:space="0"/>
              <w:bottom w:val="single" w:color="auto" w:sz="8" w:space="0"/>
              <w:right w:val="single" w:color="auto" w:sz="8"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出厂期满5年；</w:t>
            </w:r>
          </w:p>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首次维修以后每满2年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手提式（储气瓶式）干粉灭火器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推车式（贮压式）干粉灭火器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推车式（储气瓶式）干粉灭火器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955"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洁净气体灭火器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手提式洁净气体灭火器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推车式洁净气体灭火器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955" w:type="dxa"/>
            <w:vMerge w:val="restart"/>
            <w:tcBorders>
              <w:top w:val="single" w:color="auto" w:sz="4" w:space="0"/>
              <w:left w:val="single" w:color="auto" w:sz="8" w:space="0"/>
              <w:bottom w:val="single" w:color="auto" w:sz="8"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二氧化碳灭火器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手提式二氧化碳灭火器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8"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8"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推车式二氧化碳灭火器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bl>
    <w:p>
      <w:pPr>
        <w:pStyle w:val="25"/>
        <w:adjustRightInd w:val="0"/>
        <w:snapToGrid w:val="0"/>
        <w:ind w:left="100" w:leftChars="50" w:right="100" w:rightChars="50" w:firstLine="0" w:firstLineChars="0"/>
      </w:pPr>
    </w:p>
    <w:p>
      <w:pPr>
        <w:pStyle w:val="27"/>
        <w:numPr>
          <w:ilvl w:val="0"/>
          <w:numId w:val="0"/>
        </w:numPr>
        <w:adjustRightInd w:val="0"/>
        <w:snapToGrid w:val="0"/>
        <w:spacing w:before="0" w:beforeLines="0" w:after="0" w:afterLines="0"/>
        <w:ind w:left="100" w:leftChars="50" w:right="100"/>
      </w:pPr>
      <w:r>
        <w:rPr>
          <w:rFonts w:hint="eastAsia"/>
        </w:rPr>
        <w:t>表K.2  其他作业类别劳动防护用品的选用要求</w:t>
      </w:r>
    </w:p>
    <w:tbl>
      <w:tblPr>
        <w:tblStyle w:val="13"/>
        <w:tblW w:w="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5"/>
        <w:gridCol w:w="3121"/>
        <w:gridCol w:w="5816"/>
        <w:gridCol w:w="4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56"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作业类别</w:t>
            </w:r>
          </w:p>
        </w:tc>
        <w:tc>
          <w:tcPr>
            <w:tcW w:w="5816"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可以使用的防护用品</w:t>
            </w:r>
          </w:p>
        </w:tc>
        <w:tc>
          <w:tcPr>
            <w:tcW w:w="4731"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建议使用的防护用品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编号</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类别名称</w:t>
            </w:r>
          </w:p>
        </w:tc>
        <w:tc>
          <w:tcPr>
            <w:tcW w:w="5816"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4731"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A01</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存在物体坠落、撞击的作业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B02安全帽；B39防砸鞋（靴）；B41防刺穿鞋；B68安全网</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B40防滑鞋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A09</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低压带电作业（1 kV以下）</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B31绝缘手套；B42绝缘鞋；B64绝缘服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B02安全帽（带电绝缘性能）；B10防冲击护目镜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A10</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在1 kV ～ 10 kV带电设备上进行高压带电作业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B02安全帽（带电绝缘性能）；B31绝缘手套；B42绝缘鞋；B64绝缘服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B10防冲击护目镜；B63带电作业屏蔽服；B65防电弧服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A11</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高温作业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B02安全帽；B13防强光、紫外线、红外线护目镜或面罩；B34隔热阻燃鞋；B56白帆布类隔热服；B58热防护服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B57镀反射膜类隔热服；B71其他零星防护用品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A12</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易燃易爆场所作业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B23防静电手套；B35防静电鞋；B52化学品防护服；B53阻燃防护服；B54防静电服；B66棉布工作服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B05防尘口罩（防颗粒物呼吸器）；B06防毒面具；B47防尘服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A20</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密闭场所作业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B06防毒面具（供气或携气）；B21防化学品手套；B52化学品防护服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B07空气呼吸器；B69劳动护肤剂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A24</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噪声作业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B18耳塞</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B19耳罩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A29</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射线作业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B12防放射性护目镜；B25防放射性手套；B59防放射性服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A30</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腐蚀性作业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B01工作帽；B16防腐蚀液护目镜；B26耐酸（碱）手套；B43耐酸（碱）鞋；B60防酸（碱）服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B36防化学品鞋（靴）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A31</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易污作业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B01工作帽；B06防毒面具；B05防尘口罩（防颗粒物呼吸器）；B26耐酸碱手套；B35防静电鞋；B46一般防护服；B52化学品防护服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B27耐油手套；B37耐油鞋；B61防油服；B69劳动护肤剂；B71其他零星防护用品</w:t>
            </w:r>
          </w:p>
        </w:tc>
      </w:tr>
    </w:tbl>
    <w:p>
      <w:pPr>
        <w:adjustRightInd w:val="0"/>
        <w:snapToGrid w:val="0"/>
        <w:ind w:left="100" w:right="100"/>
        <w:jc w:val="center"/>
        <w:rPr>
          <w:rFonts w:ascii="宋体" w:hAnsi="宋体"/>
          <w:szCs w:val="20"/>
        </w:rPr>
      </w:pPr>
    </w:p>
    <w:p>
      <w:pPr>
        <w:adjustRightInd w:val="0"/>
        <w:snapToGrid w:val="0"/>
        <w:ind w:left="100" w:right="100"/>
        <w:jc w:val="center"/>
        <w:rPr>
          <w:rFonts w:ascii="宋体" w:hAnsi="宋体"/>
          <w:szCs w:val="20"/>
        </w:rPr>
      </w:pPr>
      <w:r>
        <w:rPr>
          <w:rFonts w:ascii="宋体" w:hAnsi="宋体"/>
          <w:szCs w:val="20"/>
        </w:rPr>
        <w:drawing>
          <wp:inline distT="0" distB="0" distL="0" distR="0">
            <wp:extent cx="4653280" cy="4572000"/>
            <wp:effectExtent l="0" t="0" r="0" b="0"/>
            <wp:docPr id="18" name="图片 18" descr="表B.1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表B.1_00"/>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l="11775" t="26884" r="10269" b="11555"/>
                    <a:stretch>
                      <a:fillRect/>
                    </a:stretch>
                  </pic:blipFill>
                  <pic:spPr>
                    <a:xfrm>
                      <a:off x="0" y="0"/>
                      <a:ext cx="4653280" cy="4572000"/>
                    </a:xfrm>
                    <a:prstGeom prst="rect">
                      <a:avLst/>
                    </a:prstGeom>
                    <a:noFill/>
                    <a:ln>
                      <a:noFill/>
                    </a:ln>
                  </pic:spPr>
                </pic:pic>
              </a:graphicData>
            </a:graphic>
          </wp:inline>
        </w:drawing>
      </w:r>
    </w:p>
    <w:p>
      <w:pPr>
        <w:adjustRightInd w:val="0"/>
        <w:snapToGrid w:val="0"/>
        <w:ind w:left="100" w:right="100"/>
        <w:jc w:val="center"/>
        <w:rPr>
          <w:rFonts w:ascii="宋体" w:hAnsi="宋体"/>
          <w:szCs w:val="20"/>
        </w:rPr>
      </w:pPr>
      <w:r>
        <w:rPr>
          <w:rFonts w:ascii="宋体" w:hAnsi="宋体"/>
          <w:szCs w:val="20"/>
        </w:rPr>
        <w:drawing>
          <wp:inline distT="0" distB="0" distL="0" distR="0">
            <wp:extent cx="5266690" cy="5300980"/>
            <wp:effectExtent l="0" t="0" r="0" b="0"/>
            <wp:docPr id="17" name="图片 17" descr="f6e1341133e51f9ce4e7d8e4fb474f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f6e1341133e51f9ce4e7d8e4fb474f9"/>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5266690" cy="5300980"/>
                    </a:xfrm>
                    <a:prstGeom prst="rect">
                      <a:avLst/>
                    </a:prstGeom>
                    <a:noFill/>
                    <a:ln>
                      <a:noFill/>
                    </a:ln>
                  </pic:spPr>
                </pic:pic>
              </a:graphicData>
            </a:graphic>
          </wp:inline>
        </w:drawing>
      </w:r>
    </w:p>
    <w:p>
      <w:pPr>
        <w:pStyle w:val="3"/>
        <w:keepNext w:val="0"/>
        <w:keepLines w:val="0"/>
        <w:adjustRightInd w:val="0"/>
        <w:snapToGrid w:val="0"/>
        <w:spacing w:before="0" w:after="0"/>
        <w:ind w:left="100" w:right="100"/>
        <w:rPr>
          <w:rFonts w:ascii="黑体" w:hAnsi="黑体" w:cs="黑体"/>
          <w:kern w:val="0"/>
          <w:sz w:val="32"/>
          <w:szCs w:val="32"/>
        </w:rPr>
      </w:pPr>
      <w:bookmarkStart w:id="1" w:name="_Toc120634487"/>
      <w:r>
        <w:rPr>
          <w:rFonts w:hint="eastAsia" w:ascii="黑体" w:hAnsi="黑体" w:cs="黑体"/>
          <w:kern w:val="0"/>
          <w:sz w:val="32"/>
          <w:szCs w:val="32"/>
        </w:rPr>
        <w:t>（3）北京市</w:t>
      </w:r>
      <w:bookmarkStart w:id="4" w:name="_GoBack"/>
      <w:r>
        <w:rPr>
          <w:rFonts w:hint="eastAsia" w:ascii="黑体" w:hAnsi="黑体" w:cs="黑体"/>
          <w:kern w:val="0"/>
          <w:sz w:val="32"/>
          <w:szCs w:val="32"/>
        </w:rPr>
        <w:t>托育</w:t>
      </w:r>
      <w:bookmarkEnd w:id="4"/>
      <w:r>
        <w:rPr>
          <w:rFonts w:hint="eastAsia" w:ascii="黑体" w:hAnsi="黑体" w:cs="黑体"/>
          <w:kern w:val="0"/>
          <w:sz w:val="32"/>
          <w:szCs w:val="32"/>
        </w:rPr>
        <w:t>机构生产安全事故隐患目录</w:t>
      </w:r>
      <w:bookmarkEnd w:id="1"/>
    </w:p>
    <w:tbl>
      <w:tblPr>
        <w:tblStyle w:val="14"/>
        <w:tblW w:w="50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870"/>
        <w:gridCol w:w="1253"/>
        <w:gridCol w:w="6090"/>
        <w:gridCol w:w="3485"/>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tblHeader/>
          <w:jc w:val="center"/>
        </w:trPr>
        <w:tc>
          <w:tcPr>
            <w:tcW w:w="576" w:type="pct"/>
            <w:vMerge w:val="restart"/>
            <w:shd w:val="clear" w:color="auto" w:fill="B4C6E7" w:themeFill="accent5" w:themeFillTint="66"/>
            <w:vAlign w:val="center"/>
          </w:tcPr>
          <w:p>
            <w:pPr>
              <w:pStyle w:val="24"/>
              <w:adjustRightInd w:val="0"/>
              <w:snapToGrid w:val="0"/>
              <w:spacing w:line="240" w:lineRule="auto"/>
              <w:ind w:left="100" w:leftChars="0" w:right="0" w:rightChars="0" w:firstLine="0" w:firstLineChars="0"/>
              <w:jc w:val="center"/>
              <w:rPr>
                <w:rFonts w:hint="eastAsia" w:ascii="宋体" w:hAnsi="宋体"/>
                <w:bCs/>
                <w:sz w:val="24"/>
                <w:szCs w:val="24"/>
                <w:lang w:bidi="mn-Mong-CN"/>
              </w:rPr>
            </w:pPr>
            <w:r>
              <w:rPr>
                <w:rFonts w:hint="eastAsia" w:ascii="宋体" w:hAnsi="宋体"/>
                <w:bCs/>
                <w:sz w:val="24"/>
                <w:szCs w:val="24"/>
                <w:lang w:bidi="mn-Mong-CN"/>
              </w:rPr>
              <w:t>编号</w:t>
            </w:r>
          </w:p>
        </w:tc>
        <w:tc>
          <w:tcPr>
            <w:tcW w:w="741" w:type="pct"/>
            <w:gridSpan w:val="2"/>
            <w:tcBorders>
              <w:bottom w:val="single" w:color="auto" w:sz="4" w:space="0"/>
            </w:tcBorders>
            <w:shd w:val="clear" w:color="auto" w:fill="B4C6E7" w:themeFill="accent5" w:themeFillTint="66"/>
            <w:vAlign w:val="center"/>
          </w:tcPr>
          <w:p>
            <w:pPr>
              <w:adjustRightInd w:val="0"/>
              <w:snapToGrid w:val="0"/>
              <w:spacing w:line="240" w:lineRule="auto"/>
              <w:ind w:left="100" w:right="100"/>
              <w:jc w:val="center"/>
              <w:rPr>
                <w:rFonts w:ascii="宋体" w:hAnsi="宋体"/>
                <w:kern w:val="0"/>
                <w:sz w:val="24"/>
                <w:szCs w:val="24"/>
              </w:rPr>
            </w:pPr>
            <w:r>
              <w:rPr>
                <w:rFonts w:hint="eastAsia" w:ascii="宋体" w:hAnsi="宋体"/>
                <w:bCs/>
                <w:sz w:val="24"/>
                <w:szCs w:val="24"/>
                <w:lang w:val="zh-CN" w:bidi="mn-Mong-CN"/>
              </w:rPr>
              <w:t>隐患分类</w:t>
            </w:r>
          </w:p>
        </w:tc>
        <w:tc>
          <w:tcPr>
            <w:tcW w:w="2128" w:type="pct"/>
            <w:vMerge w:val="restart"/>
            <w:shd w:val="clear" w:color="auto" w:fill="B4C6E7" w:themeFill="accent5" w:themeFillTint="66"/>
            <w:vAlign w:val="center"/>
          </w:tcPr>
          <w:p>
            <w:pPr>
              <w:pStyle w:val="40"/>
              <w:ind w:left="100" w:right="100"/>
              <w:jc w:val="center"/>
              <w:rPr>
                <w:sz w:val="24"/>
                <w:szCs w:val="24"/>
              </w:rPr>
            </w:pPr>
            <w:r>
              <w:rPr>
                <w:rFonts w:hint="eastAsia"/>
                <w:sz w:val="24"/>
                <w:szCs w:val="24"/>
                <w:lang w:val="zh-CN"/>
              </w:rPr>
              <w:t>隐患内容</w:t>
            </w:r>
          </w:p>
        </w:tc>
        <w:tc>
          <w:tcPr>
            <w:tcW w:w="1217" w:type="pct"/>
            <w:vMerge w:val="restart"/>
            <w:shd w:val="clear" w:color="auto" w:fill="B4C6E7" w:themeFill="accent5" w:themeFillTint="66"/>
            <w:vAlign w:val="center"/>
          </w:tcPr>
          <w:p>
            <w:pPr>
              <w:pStyle w:val="40"/>
              <w:ind w:left="100" w:right="100"/>
              <w:jc w:val="center"/>
              <w:rPr>
                <w:sz w:val="24"/>
                <w:szCs w:val="24"/>
              </w:rPr>
            </w:pPr>
            <w:r>
              <w:rPr>
                <w:rFonts w:hint="eastAsia"/>
                <w:sz w:val="24"/>
                <w:szCs w:val="24"/>
                <w:lang w:val="zh-CN"/>
              </w:rPr>
              <w:t>依    据</w:t>
            </w:r>
          </w:p>
        </w:tc>
        <w:tc>
          <w:tcPr>
            <w:tcW w:w="335" w:type="pct"/>
            <w:vMerge w:val="restart"/>
            <w:shd w:val="clear" w:color="auto" w:fill="B4C6E7" w:themeFill="accent5" w:themeFillTint="66"/>
            <w:vAlign w:val="center"/>
          </w:tcPr>
          <w:p>
            <w:pPr>
              <w:adjustRightInd w:val="0"/>
              <w:snapToGrid w:val="0"/>
              <w:spacing w:line="240" w:lineRule="auto"/>
              <w:ind w:left="100" w:right="100"/>
              <w:jc w:val="center"/>
              <w:rPr>
                <w:rFonts w:ascii="宋体" w:hAnsi="宋体"/>
                <w:kern w:val="0"/>
                <w:sz w:val="24"/>
                <w:szCs w:val="24"/>
              </w:rPr>
            </w:pPr>
            <w:r>
              <w:rPr>
                <w:rFonts w:hint="eastAsia" w:ascii="宋体" w:hAnsi="宋体"/>
                <w:bCs/>
                <w:sz w:val="24"/>
                <w:szCs w:val="24"/>
                <w:lang w:val="zh-CN" w:bidi="mn-Mong-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76" w:type="pct"/>
            <w:vMerge w:val="continue"/>
            <w:vAlign w:val="center"/>
          </w:tcPr>
          <w:p>
            <w:pPr>
              <w:pStyle w:val="24"/>
              <w:adjustRightInd w:val="0"/>
              <w:snapToGrid w:val="0"/>
              <w:spacing w:line="240" w:lineRule="auto"/>
              <w:ind w:left="100" w:leftChars="0" w:right="0" w:rightChars="0" w:firstLine="0" w:firstLineChars="0"/>
              <w:jc w:val="both"/>
              <w:rPr>
                <w:rFonts w:hint="eastAsia" w:ascii="宋体" w:hAnsi="宋体"/>
                <w:bCs/>
                <w:szCs w:val="20"/>
                <w:lang w:bidi="mn-Mong-CN"/>
              </w:rPr>
            </w:pPr>
          </w:p>
        </w:tc>
        <w:tc>
          <w:tcPr>
            <w:tcW w:w="304" w:type="pct"/>
            <w:shd w:val="clear" w:color="auto" w:fill="B4C6E7" w:themeFill="accent5" w:themeFillTint="66"/>
            <w:vAlign w:val="center"/>
          </w:tcPr>
          <w:p>
            <w:pPr>
              <w:adjustRightInd w:val="0"/>
              <w:snapToGrid w:val="0"/>
              <w:spacing w:line="240" w:lineRule="auto"/>
              <w:ind w:left="100" w:right="100"/>
              <w:jc w:val="center"/>
              <w:rPr>
                <w:rFonts w:ascii="宋体" w:hAnsi="宋体"/>
                <w:kern w:val="0"/>
                <w:sz w:val="24"/>
                <w:szCs w:val="24"/>
              </w:rPr>
            </w:pPr>
            <w:r>
              <w:rPr>
                <w:rFonts w:hint="eastAsia" w:ascii="宋体" w:hAnsi="宋体"/>
                <w:sz w:val="24"/>
                <w:szCs w:val="24"/>
                <w:lang w:val="zh-CN"/>
              </w:rPr>
              <w:t>一类</w:t>
            </w:r>
          </w:p>
        </w:tc>
        <w:tc>
          <w:tcPr>
            <w:tcW w:w="437" w:type="pct"/>
            <w:shd w:val="clear" w:color="auto" w:fill="B4C6E7" w:themeFill="accent5" w:themeFillTint="66"/>
            <w:vAlign w:val="center"/>
          </w:tcPr>
          <w:p>
            <w:pPr>
              <w:adjustRightInd w:val="0"/>
              <w:snapToGrid w:val="0"/>
              <w:spacing w:line="240" w:lineRule="auto"/>
              <w:ind w:left="100" w:right="100"/>
              <w:jc w:val="center"/>
              <w:rPr>
                <w:rFonts w:ascii="宋体" w:hAnsi="宋体"/>
                <w:kern w:val="0"/>
                <w:sz w:val="24"/>
                <w:szCs w:val="24"/>
              </w:rPr>
            </w:pPr>
            <w:r>
              <w:rPr>
                <w:rFonts w:hint="eastAsia" w:ascii="宋体" w:hAnsi="宋体"/>
                <w:sz w:val="24"/>
                <w:szCs w:val="24"/>
                <w:lang w:val="zh-CN"/>
              </w:rPr>
              <w:t>二类</w:t>
            </w:r>
          </w:p>
        </w:tc>
        <w:tc>
          <w:tcPr>
            <w:tcW w:w="2128" w:type="pct"/>
            <w:vMerge w:val="continue"/>
            <w:vAlign w:val="center"/>
          </w:tcPr>
          <w:p>
            <w:pPr>
              <w:pStyle w:val="40"/>
              <w:ind w:left="100" w:right="100"/>
              <w:jc w:val="both"/>
            </w:pPr>
          </w:p>
        </w:tc>
        <w:tc>
          <w:tcPr>
            <w:tcW w:w="1217" w:type="pct"/>
            <w:vMerge w:val="continue"/>
            <w:vAlign w:val="center"/>
          </w:tcPr>
          <w:p>
            <w:pPr>
              <w:pStyle w:val="40"/>
              <w:ind w:left="100" w:right="100"/>
              <w:jc w:val="both"/>
            </w:pPr>
          </w:p>
        </w:tc>
        <w:tc>
          <w:tcPr>
            <w:tcW w:w="335" w:type="pct"/>
            <w:vMerge w:val="continue"/>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576" w:type="pct"/>
            <w:vAlign w:val="center"/>
          </w:tcPr>
          <w:p>
            <w:pPr>
              <w:pStyle w:val="24"/>
              <w:numPr>
                <w:ilvl w:val="0"/>
                <w:numId w:val="5"/>
              </w:numPr>
              <w:adjustRightInd w:val="0"/>
              <w:snapToGrid w:val="0"/>
              <w:spacing w:line="240" w:lineRule="auto"/>
              <w:ind w:leftChars="0" w:right="0" w:rightChars="0" w:firstLineChars="0"/>
              <w:jc w:val="center"/>
              <w:rPr>
                <w:rFonts w:hint="eastAsia"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hint="eastAsia" w:ascii="宋体" w:hAnsi="宋体"/>
                <w:kern w:val="0"/>
                <w:szCs w:val="20"/>
              </w:rPr>
            </w:pPr>
            <w:r>
              <w:rPr>
                <w:rFonts w:hint="eastAsia" w:ascii="宋体" w:hAnsi="宋体"/>
                <w:kern w:val="0"/>
                <w:szCs w:val="20"/>
              </w:rPr>
              <w:t>基础资料类</w:t>
            </w:r>
          </w:p>
        </w:tc>
        <w:tc>
          <w:tcPr>
            <w:tcW w:w="437" w:type="pct"/>
            <w:vAlign w:val="center"/>
          </w:tcPr>
          <w:p>
            <w:pPr>
              <w:adjustRightInd w:val="0"/>
              <w:snapToGrid w:val="0"/>
              <w:spacing w:line="240" w:lineRule="auto"/>
              <w:ind w:left="100" w:right="100"/>
              <w:jc w:val="center"/>
              <w:rPr>
                <w:rFonts w:hint="eastAsia" w:ascii="宋体" w:hAnsi="宋体"/>
                <w:kern w:val="0"/>
                <w:szCs w:val="20"/>
              </w:rPr>
            </w:pPr>
            <w:r>
              <w:rPr>
                <w:rFonts w:hint="eastAsia" w:ascii="宋体" w:hAnsi="宋体"/>
                <w:kern w:val="0"/>
                <w:szCs w:val="20"/>
              </w:rPr>
              <w:t>资质证照类</w:t>
            </w:r>
          </w:p>
        </w:tc>
        <w:tc>
          <w:tcPr>
            <w:tcW w:w="2128" w:type="pct"/>
            <w:vAlign w:val="center"/>
          </w:tcPr>
          <w:p>
            <w:pPr>
              <w:pStyle w:val="40"/>
              <w:ind w:left="100" w:right="100"/>
              <w:jc w:val="both"/>
              <w:rPr>
                <w:rFonts w:hint="eastAsia"/>
              </w:rPr>
            </w:pPr>
            <w:r>
              <w:rPr>
                <w:rFonts w:hint="eastAsia"/>
              </w:rPr>
              <w:t>未取得合格的消防安全检查合格证明。</w:t>
            </w:r>
          </w:p>
        </w:tc>
        <w:tc>
          <w:tcPr>
            <w:tcW w:w="1217" w:type="pct"/>
            <w:vAlign w:val="center"/>
          </w:tcPr>
          <w:p>
            <w:pPr>
              <w:pStyle w:val="40"/>
              <w:ind w:left="100" w:right="100"/>
              <w:jc w:val="both"/>
              <w:rPr>
                <w:rFonts w:hint="eastAsia"/>
              </w:rPr>
            </w:pPr>
            <w:r>
              <w:rPr>
                <w:rFonts w:hint="eastAsia"/>
              </w:rPr>
              <w:t>《托育机构管理规范（试行）》第四条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记录档案类</w:t>
            </w:r>
          </w:p>
        </w:tc>
        <w:tc>
          <w:tcPr>
            <w:tcW w:w="2128" w:type="pct"/>
            <w:vAlign w:val="center"/>
          </w:tcPr>
          <w:p>
            <w:pPr>
              <w:pStyle w:val="40"/>
              <w:ind w:left="100" w:right="100"/>
              <w:jc w:val="both"/>
            </w:pPr>
            <w:r>
              <w:rPr>
                <w:rFonts w:hint="eastAsia"/>
              </w:rPr>
              <w:t>未取得托育机构备案回执和托育机构基本条件告知书。</w:t>
            </w:r>
          </w:p>
        </w:tc>
        <w:tc>
          <w:tcPr>
            <w:tcW w:w="1217" w:type="pct"/>
            <w:vAlign w:val="center"/>
          </w:tcPr>
          <w:p>
            <w:pPr>
              <w:pStyle w:val="40"/>
              <w:ind w:left="100" w:right="100"/>
              <w:jc w:val="both"/>
            </w:pPr>
            <w:r>
              <w:rPr>
                <w:rFonts w:hint="eastAsia"/>
              </w:rPr>
              <w:t>《托育机构管理规范（试行）》第六条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制度类</w:t>
            </w:r>
          </w:p>
        </w:tc>
        <w:tc>
          <w:tcPr>
            <w:tcW w:w="2128" w:type="pct"/>
            <w:vAlign w:val="center"/>
          </w:tcPr>
          <w:p>
            <w:pPr>
              <w:pStyle w:val="40"/>
              <w:ind w:left="100" w:right="100"/>
              <w:jc w:val="both"/>
            </w:pPr>
            <w:r>
              <w:rPr>
                <w:rFonts w:hint="eastAsia"/>
              </w:rPr>
              <w:t>未制定灭火和应急疏散预案；针对婴幼儿疏散未有专门的应急预案和实施方法；未明确托育从业人员协助婴幼儿应急疏散的岗位职责。</w:t>
            </w:r>
          </w:p>
        </w:tc>
        <w:tc>
          <w:tcPr>
            <w:tcW w:w="1217" w:type="pct"/>
            <w:vAlign w:val="center"/>
          </w:tcPr>
          <w:p>
            <w:pPr>
              <w:pStyle w:val="40"/>
              <w:ind w:left="100" w:right="100"/>
              <w:jc w:val="both"/>
            </w:pPr>
            <w:r>
              <w:rPr>
                <w:rFonts w:hint="eastAsia"/>
              </w:rPr>
              <w:t>《托育机构消防安全指南（试行）》（三十一）</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安全管理类</w:t>
            </w:r>
          </w:p>
        </w:tc>
        <w:tc>
          <w:tcPr>
            <w:tcW w:w="2128" w:type="pct"/>
            <w:vAlign w:val="center"/>
          </w:tcPr>
          <w:p>
            <w:pPr>
              <w:pStyle w:val="40"/>
              <w:ind w:left="100" w:right="100"/>
              <w:jc w:val="both"/>
            </w:pPr>
            <w:r>
              <w:rPr>
                <w:rFonts w:hint="eastAsia"/>
              </w:rPr>
              <w:t>未每半年组织开展一次全员消防演练，尤其是要针对婴幼儿没有自主疏散能力的特点，未加强应急疏散演练。</w:t>
            </w:r>
          </w:p>
        </w:tc>
        <w:tc>
          <w:tcPr>
            <w:tcW w:w="1217" w:type="pct"/>
            <w:vAlign w:val="center"/>
          </w:tcPr>
          <w:p>
            <w:pPr>
              <w:pStyle w:val="40"/>
              <w:ind w:left="100" w:right="100"/>
              <w:jc w:val="both"/>
            </w:pPr>
            <w:r>
              <w:rPr>
                <w:rFonts w:hint="eastAsia"/>
              </w:rPr>
              <w:t>《托育机构消防安全指南（试行）》（三十二）</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安全管理类</w:t>
            </w:r>
          </w:p>
        </w:tc>
        <w:tc>
          <w:tcPr>
            <w:tcW w:w="2128" w:type="pct"/>
            <w:vAlign w:val="center"/>
          </w:tcPr>
          <w:p>
            <w:pPr>
              <w:pStyle w:val="40"/>
              <w:ind w:left="100" w:right="100"/>
              <w:jc w:val="both"/>
            </w:pPr>
            <w:r>
              <w:rPr>
                <w:rFonts w:hint="eastAsia"/>
              </w:rPr>
              <w:t>托育机构未定期检验维修消防设施，未至少每年开展一次全面检测，未确保消防设施完好有效，存在遮挡、损坏、挪用消防设施器材的情况。</w:t>
            </w:r>
          </w:p>
        </w:tc>
        <w:tc>
          <w:tcPr>
            <w:tcW w:w="1217" w:type="pct"/>
            <w:vAlign w:val="center"/>
          </w:tcPr>
          <w:p>
            <w:pPr>
              <w:pStyle w:val="40"/>
              <w:ind w:left="100" w:right="100"/>
              <w:jc w:val="both"/>
            </w:pPr>
            <w:r>
              <w:rPr>
                <w:rFonts w:hint="eastAsia"/>
              </w:rPr>
              <w:t xml:space="preserve">《托育机构消防安全指南（试行）》（十五） </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安全管理类</w:t>
            </w:r>
          </w:p>
        </w:tc>
        <w:tc>
          <w:tcPr>
            <w:tcW w:w="2128" w:type="pct"/>
            <w:vAlign w:val="center"/>
          </w:tcPr>
          <w:p>
            <w:pPr>
              <w:pStyle w:val="40"/>
              <w:ind w:left="100" w:right="100"/>
              <w:jc w:val="both"/>
            </w:pPr>
            <w:r>
              <w:rPr>
                <w:rFonts w:hint="eastAsia"/>
              </w:rPr>
              <w:t>托育机构未与所在建筑的消防控制室、志愿消防队或微型消防站建立联勤联动机制，建立可靠的应急通讯联络方式，并每年未开展联合消防演练。</w:t>
            </w:r>
          </w:p>
        </w:tc>
        <w:tc>
          <w:tcPr>
            <w:tcW w:w="1217" w:type="pct"/>
            <w:vAlign w:val="center"/>
          </w:tcPr>
          <w:p>
            <w:pPr>
              <w:pStyle w:val="40"/>
              <w:ind w:left="100" w:right="100"/>
              <w:jc w:val="both"/>
            </w:pPr>
            <w:r>
              <w:rPr>
                <w:rFonts w:hint="eastAsia"/>
              </w:rPr>
              <w:t>《托育机构消防安全指南（试行）》（三十三）</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设备设施类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未建立全方位二十四小时视频安防监控体系，监控录像资料保存期少于90日。</w:t>
            </w:r>
          </w:p>
        </w:tc>
        <w:tc>
          <w:tcPr>
            <w:tcW w:w="1217" w:type="pct"/>
            <w:vAlign w:val="center"/>
          </w:tcPr>
          <w:p>
            <w:pPr>
              <w:pStyle w:val="40"/>
              <w:ind w:left="100" w:right="100"/>
              <w:jc w:val="both"/>
            </w:pPr>
            <w:r>
              <w:rPr>
                <w:rFonts w:hint="eastAsia"/>
              </w:rPr>
              <w:t>《托育机构管理规范（试行）》第三十二条</w:t>
            </w:r>
          </w:p>
          <w:p>
            <w:pPr>
              <w:pStyle w:val="40"/>
              <w:ind w:left="100" w:right="100"/>
              <w:jc w:val="both"/>
            </w:pPr>
            <w:r>
              <w:rPr>
                <w:rFonts w:hint="eastAsia"/>
              </w:rPr>
              <w:t>JGJ 39-2016《托儿所、幼儿园建筑设计规范》第6.3.7条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未设置入侵报警系统和电子巡查系统。</w:t>
            </w:r>
          </w:p>
        </w:tc>
        <w:tc>
          <w:tcPr>
            <w:tcW w:w="1217" w:type="pct"/>
            <w:vAlign w:val="center"/>
          </w:tcPr>
          <w:p>
            <w:pPr>
              <w:pStyle w:val="40"/>
              <w:ind w:left="100" w:right="100"/>
              <w:jc w:val="both"/>
            </w:pPr>
            <w:r>
              <w:rPr>
                <w:rFonts w:hint="eastAsia"/>
              </w:rPr>
              <w:t>JGJ 39-2016《托儿所、幼儿园建筑设计规范》第6.3.7条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未设置电话系统、广播系统等快速传达信息的系统。</w:t>
            </w:r>
          </w:p>
        </w:tc>
        <w:tc>
          <w:tcPr>
            <w:tcW w:w="1217" w:type="pct"/>
            <w:vAlign w:val="center"/>
          </w:tcPr>
          <w:p>
            <w:pPr>
              <w:pStyle w:val="40"/>
              <w:ind w:left="100" w:right="100"/>
              <w:jc w:val="both"/>
            </w:pPr>
            <w:r>
              <w:rPr>
                <w:rFonts w:hint="eastAsia"/>
              </w:rPr>
              <w:t>JGJ 39-2016《托儿所、幼儿园建筑设计规范》第6.3.7条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设备设施类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建筑出入口及室外活动场地范围内未采取防止物体坠落措施。</w:t>
            </w:r>
          </w:p>
        </w:tc>
        <w:tc>
          <w:tcPr>
            <w:tcW w:w="1217" w:type="pct"/>
            <w:vAlign w:val="center"/>
          </w:tcPr>
          <w:p>
            <w:pPr>
              <w:pStyle w:val="40"/>
              <w:ind w:left="100" w:right="100"/>
              <w:jc w:val="both"/>
            </w:pPr>
            <w:r>
              <w:rPr>
                <w:rFonts w:hint="eastAsia"/>
              </w:rPr>
              <w:t>JGJ 39-2016《托儿所、幼儿园建筑设计规范》第3.2.2条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托儿所周围未设置防止幼儿穿过和攀爬的围护设施。</w:t>
            </w:r>
          </w:p>
        </w:tc>
        <w:tc>
          <w:tcPr>
            <w:tcW w:w="1217" w:type="pct"/>
            <w:vAlign w:val="center"/>
          </w:tcPr>
          <w:p>
            <w:pPr>
              <w:pStyle w:val="40"/>
              <w:ind w:left="100" w:right="100"/>
              <w:jc w:val="both"/>
            </w:pPr>
            <w:r>
              <w:rPr>
                <w:rFonts w:hint="eastAsia"/>
              </w:rPr>
              <w:t>JGJ 39-2016《托儿所、幼儿园建筑设计规范》第3.2.6条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活动室、多功能活动室的窗台面距地面高于0.6m。</w:t>
            </w:r>
          </w:p>
        </w:tc>
        <w:tc>
          <w:tcPr>
            <w:tcW w:w="1217" w:type="pct"/>
            <w:vAlign w:val="center"/>
          </w:tcPr>
          <w:p>
            <w:pPr>
              <w:pStyle w:val="40"/>
              <w:ind w:left="100" w:right="100"/>
              <w:jc w:val="both"/>
            </w:pPr>
            <w:r>
              <w:rPr>
                <w:rFonts w:hint="eastAsia"/>
              </w:rPr>
              <w:t>JGJ 39-2016《托儿所、幼儿园建筑设计规范》第4.1.5条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窗台面距楼地面高度低于0.9m时，未采取防护措施。</w:t>
            </w:r>
          </w:p>
        </w:tc>
        <w:tc>
          <w:tcPr>
            <w:tcW w:w="1217" w:type="pct"/>
            <w:vAlign w:val="center"/>
          </w:tcPr>
          <w:p>
            <w:pPr>
              <w:pStyle w:val="40"/>
              <w:ind w:left="100" w:right="100"/>
              <w:jc w:val="both"/>
            </w:pPr>
            <w:r>
              <w:rPr>
                <w:rFonts w:hint="eastAsia"/>
              </w:rPr>
              <w:t>JGJ 39-2016《托儿所、幼儿园建筑设计规范》第4.1.5条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窗户距离楼地面的高度小于或等于1.8m的部分，设置内旋窗和内平开窗扇。</w:t>
            </w:r>
          </w:p>
        </w:tc>
        <w:tc>
          <w:tcPr>
            <w:tcW w:w="1217" w:type="pct"/>
            <w:vAlign w:val="center"/>
          </w:tcPr>
          <w:p>
            <w:pPr>
              <w:pStyle w:val="40"/>
              <w:ind w:left="100" w:right="100"/>
              <w:jc w:val="both"/>
            </w:pPr>
            <w:r>
              <w:rPr>
                <w:rFonts w:hint="eastAsia"/>
              </w:rPr>
              <w:t>JGJ 39-2016《托儿所、幼儿园建筑设计规范》第4.1.5条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幼儿出入的门距离地面0.6m处未设置幼儿专用拉手。</w:t>
            </w:r>
          </w:p>
        </w:tc>
        <w:tc>
          <w:tcPr>
            <w:tcW w:w="1217" w:type="pct"/>
            <w:vAlign w:val="center"/>
          </w:tcPr>
          <w:p>
            <w:pPr>
              <w:pStyle w:val="40"/>
              <w:ind w:left="100" w:right="100"/>
              <w:jc w:val="both"/>
            </w:pPr>
            <w:r>
              <w:rPr>
                <w:rFonts w:hint="eastAsia"/>
              </w:rPr>
              <w:t>JGJ 39-2016《托儿所、幼儿园建筑设计规范》第4.1.8条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幼儿出入的棱角未采取防磕碰防滑。</w:t>
            </w:r>
          </w:p>
        </w:tc>
        <w:tc>
          <w:tcPr>
            <w:tcW w:w="1217" w:type="pct"/>
            <w:vAlign w:val="center"/>
          </w:tcPr>
          <w:p>
            <w:pPr>
              <w:pStyle w:val="40"/>
              <w:ind w:left="100" w:right="100"/>
              <w:jc w:val="both"/>
            </w:pPr>
            <w:r>
              <w:rPr>
                <w:rFonts w:hint="eastAsia"/>
              </w:rPr>
              <w:t>JGJ 39-2016《托儿所、幼儿园建筑设计规范》第4.1.8条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平开门距离楼面地面1.2m以下未设置防止夹手设施。</w:t>
            </w:r>
          </w:p>
        </w:tc>
        <w:tc>
          <w:tcPr>
            <w:tcW w:w="1217" w:type="pct"/>
            <w:vAlign w:val="center"/>
          </w:tcPr>
          <w:p>
            <w:pPr>
              <w:pStyle w:val="40"/>
              <w:ind w:left="100" w:right="100"/>
              <w:jc w:val="both"/>
            </w:pPr>
            <w:r>
              <w:rPr>
                <w:rFonts w:hint="eastAsia"/>
              </w:rPr>
              <w:t>JGJ 39-2016《托儿所、幼儿园建筑设计规范》第4.1.8条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幼儿出入的门上未设观察窗。</w:t>
            </w:r>
          </w:p>
        </w:tc>
        <w:tc>
          <w:tcPr>
            <w:tcW w:w="1217" w:type="pct"/>
            <w:vAlign w:val="center"/>
          </w:tcPr>
          <w:p>
            <w:pPr>
              <w:pStyle w:val="40"/>
              <w:ind w:left="100" w:right="100"/>
              <w:jc w:val="both"/>
            </w:pPr>
            <w:r>
              <w:rPr>
                <w:rFonts w:hint="eastAsia"/>
              </w:rPr>
              <w:t>JGJ 39-2016《托儿所、幼儿园建筑设计规范》第4.1.8条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外廊、室内回廊、内天井、阳台、上人屋面、平台、看台及室外楼梯等临空处应未设置防护栏杆，栏杆未以坚固、耐久的材料制作。防护栏杆的高度应从可踏部位顶面起算，且净高小于1.30m。防护栏杆未采用防止幼儿攀登和穿过的构造，当采用垂直杆件做栏杆时，其杆件净距离大于0.09m。</w:t>
            </w:r>
          </w:p>
        </w:tc>
        <w:tc>
          <w:tcPr>
            <w:tcW w:w="1217" w:type="pct"/>
            <w:vAlign w:val="center"/>
          </w:tcPr>
          <w:p>
            <w:pPr>
              <w:pStyle w:val="40"/>
              <w:ind w:left="100" w:right="100"/>
              <w:jc w:val="both"/>
            </w:pPr>
            <w:r>
              <w:rPr>
                <w:rFonts w:hint="eastAsia"/>
              </w:rPr>
              <w:t>JGJ 39-2016《托儿所、幼儿园建筑设计规范》第4.1.9条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楼梯0.6m处未设置幼儿扶手。</w:t>
            </w:r>
          </w:p>
        </w:tc>
        <w:tc>
          <w:tcPr>
            <w:tcW w:w="1217" w:type="pct"/>
            <w:vAlign w:val="center"/>
          </w:tcPr>
          <w:p>
            <w:pPr>
              <w:pStyle w:val="40"/>
              <w:ind w:left="100" w:right="100"/>
              <w:jc w:val="both"/>
            </w:pPr>
            <w:r>
              <w:rPr>
                <w:rFonts w:hint="eastAsia"/>
              </w:rPr>
              <w:t>JGJ 39-2016《托儿所、幼儿园建筑设计规范》第4.1.11条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设备设施类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楼梯踏步面未采取防滑措施及警示标识。</w:t>
            </w:r>
          </w:p>
        </w:tc>
        <w:tc>
          <w:tcPr>
            <w:tcW w:w="1217" w:type="pct"/>
            <w:vAlign w:val="center"/>
          </w:tcPr>
          <w:p>
            <w:pPr>
              <w:pStyle w:val="40"/>
              <w:ind w:left="100" w:right="100"/>
              <w:jc w:val="both"/>
            </w:pPr>
            <w:r>
              <w:rPr>
                <w:rFonts w:hint="eastAsia"/>
              </w:rPr>
              <w:t>JGJ 39-2016《托儿所、幼儿园建筑设计规范》第4.1.11条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幼儿使用的房间地面未采取防滑措施。</w:t>
            </w:r>
          </w:p>
        </w:tc>
        <w:tc>
          <w:tcPr>
            <w:tcW w:w="1217" w:type="pct"/>
            <w:vAlign w:val="center"/>
          </w:tcPr>
          <w:p>
            <w:pPr>
              <w:pStyle w:val="40"/>
              <w:ind w:left="100" w:right="100"/>
              <w:jc w:val="both"/>
            </w:pPr>
            <w:r>
              <w:rPr>
                <w:rFonts w:hint="eastAsia"/>
              </w:rPr>
              <w:t>JGJ 39-2016《托儿所、幼儿园建筑设计规范》第4.3.7条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开水炉未设置在专用房间、未设置防止幼儿接触的保护措施。</w:t>
            </w:r>
          </w:p>
        </w:tc>
        <w:tc>
          <w:tcPr>
            <w:tcW w:w="1217" w:type="pct"/>
            <w:vAlign w:val="center"/>
          </w:tcPr>
          <w:p>
            <w:pPr>
              <w:pStyle w:val="40"/>
              <w:ind w:left="100" w:right="100"/>
              <w:jc w:val="both"/>
            </w:pPr>
            <w:r>
              <w:rPr>
                <w:rFonts w:hint="eastAsia"/>
              </w:rPr>
              <w:t>JGJ 39-2016《托儿所、幼儿园建筑设计规范》第6.1.11条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散热器未安装。</w:t>
            </w:r>
          </w:p>
        </w:tc>
        <w:tc>
          <w:tcPr>
            <w:tcW w:w="1217" w:type="pct"/>
            <w:vAlign w:val="center"/>
          </w:tcPr>
          <w:p>
            <w:pPr>
              <w:pStyle w:val="40"/>
              <w:ind w:left="100" w:right="100"/>
              <w:jc w:val="both"/>
            </w:pPr>
            <w:r>
              <w:rPr>
                <w:rFonts w:hint="eastAsia"/>
              </w:rPr>
              <w:t>JGJ 39-2016《托儿所、幼儿园建筑设计规范》第6.2.5条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安全设施类</w:t>
            </w:r>
          </w:p>
        </w:tc>
        <w:tc>
          <w:tcPr>
            <w:tcW w:w="2128" w:type="pct"/>
            <w:vAlign w:val="center"/>
          </w:tcPr>
          <w:p>
            <w:pPr>
              <w:pStyle w:val="40"/>
              <w:ind w:left="100" w:right="100"/>
              <w:jc w:val="both"/>
            </w:pPr>
            <w:r>
              <w:rPr>
                <w:rFonts w:hint="eastAsia"/>
              </w:rPr>
              <w:t>电采暖未安装可靠的安全防护措施。</w:t>
            </w:r>
          </w:p>
        </w:tc>
        <w:tc>
          <w:tcPr>
            <w:tcW w:w="1217" w:type="pct"/>
            <w:vAlign w:val="center"/>
          </w:tcPr>
          <w:p>
            <w:pPr>
              <w:pStyle w:val="40"/>
              <w:ind w:left="100" w:right="100"/>
              <w:jc w:val="both"/>
            </w:pPr>
            <w:r>
              <w:rPr>
                <w:rFonts w:hint="eastAsia"/>
              </w:rPr>
              <w:t>JGJ 39-2016《托儿所、幼儿园建筑设计规范》第6.2.6条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插座设置未达1.8m的安全高度、未采用安全型插座。</w:t>
            </w:r>
          </w:p>
        </w:tc>
        <w:tc>
          <w:tcPr>
            <w:tcW w:w="1217" w:type="pct"/>
            <w:vAlign w:val="center"/>
          </w:tcPr>
          <w:p>
            <w:pPr>
              <w:pStyle w:val="40"/>
              <w:ind w:left="100" w:right="100"/>
              <w:jc w:val="both"/>
            </w:pPr>
            <w:r>
              <w:rPr>
                <w:rFonts w:hint="eastAsia"/>
              </w:rPr>
              <w:t>JGJ 39-2016《托儿所、幼儿园建筑设计规范》第6.3.5条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kern w:val="0"/>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接地系统、电气设备的外露可导电部分和智能化系统的接地应符合《建筑电气与智能化通用规范》等规范的要求。</w:t>
            </w:r>
          </w:p>
        </w:tc>
        <w:tc>
          <w:tcPr>
            <w:tcW w:w="1217" w:type="pct"/>
            <w:vAlign w:val="center"/>
          </w:tcPr>
          <w:p>
            <w:pPr>
              <w:pStyle w:val="40"/>
              <w:ind w:left="100" w:right="100"/>
              <w:jc w:val="both"/>
            </w:pPr>
            <w:r>
              <w:rPr>
                <w:rFonts w:hint="eastAsia"/>
              </w:rPr>
              <w:t>GB 55024-2022 《建筑电气与智能化通用规范》第7.2部分</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配电箱（柜）应张贴醒目的安全警告标志和编号、标识，且应符合下列要求：</w:t>
            </w:r>
          </w:p>
          <w:p>
            <w:pPr>
              <w:pStyle w:val="40"/>
              <w:ind w:left="100" w:right="100"/>
              <w:jc w:val="both"/>
            </w:pPr>
            <w:r>
              <w:rPr>
                <w:rFonts w:hint="eastAsia"/>
              </w:rPr>
              <w:t>a）配电箱应标识所控对象的名称、编号等，且与实际相符合；</w:t>
            </w:r>
          </w:p>
          <w:p>
            <w:pPr>
              <w:pStyle w:val="40"/>
              <w:ind w:left="100" w:right="100"/>
              <w:jc w:val="both"/>
            </w:pPr>
            <w:r>
              <w:rPr>
                <w:rFonts w:hint="eastAsia"/>
              </w:rPr>
              <w:t>b）应有电气控制线路图，标明进出线路、电气装置的型号、规格、保护电气装置整定值等；</w:t>
            </w:r>
          </w:p>
          <w:p>
            <w:pPr>
              <w:pStyle w:val="40"/>
              <w:ind w:left="100" w:right="100"/>
              <w:jc w:val="both"/>
            </w:pPr>
            <w:r>
              <w:rPr>
                <w:rFonts w:hint="eastAsia"/>
              </w:rPr>
              <w:t>c）对于多路控制的配电箱（柜），在控制位置上标明所控制的电气设备的名称，且用途标识应齐全清晰。</w:t>
            </w:r>
          </w:p>
        </w:tc>
        <w:tc>
          <w:tcPr>
            <w:tcW w:w="1217" w:type="pct"/>
            <w:vAlign w:val="center"/>
          </w:tcPr>
          <w:p>
            <w:pPr>
              <w:pStyle w:val="40"/>
              <w:ind w:left="100" w:right="100"/>
              <w:jc w:val="both"/>
            </w:pPr>
            <w:r>
              <w:rPr>
                <w:rFonts w:hint="eastAsia"/>
              </w:rPr>
              <w:t>GB 2894-2008《安全标志及其使用导则》第4.2.3条</w:t>
            </w:r>
          </w:p>
          <w:p>
            <w:pPr>
              <w:pStyle w:val="40"/>
              <w:ind w:left="100" w:right="100"/>
              <w:jc w:val="both"/>
            </w:pPr>
            <w:r>
              <w:rPr>
                <w:rFonts w:hint="eastAsia"/>
              </w:rPr>
              <w:t>GB 50303-2015《建筑电气工程施工质量验收规范》第5.2.10条2款</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配电箱（柜）的箱门应完好无损，装有电器的箱门与箱体PE线应进行可靠跨接。</w:t>
            </w:r>
          </w:p>
        </w:tc>
        <w:tc>
          <w:tcPr>
            <w:tcW w:w="1217" w:type="pct"/>
            <w:vAlign w:val="center"/>
          </w:tcPr>
          <w:p>
            <w:pPr>
              <w:pStyle w:val="40"/>
              <w:ind w:left="100" w:right="100"/>
              <w:jc w:val="both"/>
            </w:pPr>
            <w:r>
              <w:rPr>
                <w:rFonts w:hint="eastAsia"/>
              </w:rPr>
              <w:t>GB 50303-2015《建筑电气工程施工质量验收规范》第5.2.10条4款、第5.1.1条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配电箱（柜）的安装应符合下列要求：</w:t>
            </w:r>
          </w:p>
          <w:p>
            <w:pPr>
              <w:pStyle w:val="40"/>
              <w:ind w:left="100" w:right="100"/>
              <w:jc w:val="both"/>
            </w:pPr>
            <w:r>
              <w:rPr>
                <w:rFonts w:hint="eastAsia"/>
              </w:rPr>
              <w:t>a）固定式配电箱与地面的垂直距离应为1.4 m ～ 1.6 m；</w:t>
            </w:r>
          </w:p>
          <w:p>
            <w:pPr>
              <w:pStyle w:val="40"/>
              <w:ind w:left="100" w:right="100"/>
              <w:jc w:val="both"/>
            </w:pPr>
            <w:r>
              <w:rPr>
                <w:rFonts w:hint="eastAsia"/>
              </w:rPr>
              <w:t xml:space="preserve">b）配电箱（柜）前方1.2 m范围内应无任何妨碍操作与维修的物品，如因工艺布置、设备安装确有困难时可减至0.8 m，但不应影响箱门开启和操作； </w:t>
            </w:r>
          </w:p>
          <w:p>
            <w:pPr>
              <w:pStyle w:val="40"/>
              <w:ind w:left="100" w:right="100"/>
              <w:jc w:val="both"/>
            </w:pPr>
            <w:r>
              <w:rPr>
                <w:rFonts w:hint="eastAsia"/>
              </w:rPr>
              <w:t xml:space="preserve">c）配电箱（柜）周边0.3m内不应有可燃物，箱（柜）体内和下方不应搁置和堆放可燃物； </w:t>
            </w:r>
          </w:p>
          <w:p>
            <w:pPr>
              <w:pStyle w:val="40"/>
              <w:ind w:left="100" w:right="100"/>
              <w:jc w:val="both"/>
            </w:pPr>
            <w:r>
              <w:rPr>
                <w:rFonts w:hint="eastAsia"/>
              </w:rPr>
              <w:t>d）箱（柜）内应安装防止操作时触电的隔绝板（二次板），防止带电部位裸露在外；</w:t>
            </w:r>
          </w:p>
          <w:p>
            <w:pPr>
              <w:pStyle w:val="40"/>
              <w:ind w:left="100" w:right="100"/>
              <w:jc w:val="both"/>
            </w:pPr>
            <w:r>
              <w:rPr>
                <w:rFonts w:hint="eastAsia"/>
              </w:rPr>
              <w:t>e）落地式配电箱（柜）的底部应抬高，高出地面的高度室内不应低于50 mm，室外不应低于200 mm，其底座周围应采取封闭措施，并应能防止鼠、蛇类等小动物进入箱（柜）内。</w:t>
            </w:r>
          </w:p>
        </w:tc>
        <w:tc>
          <w:tcPr>
            <w:tcW w:w="1217" w:type="pct"/>
            <w:vAlign w:val="center"/>
          </w:tcPr>
          <w:p>
            <w:pPr>
              <w:pStyle w:val="40"/>
              <w:ind w:left="100" w:right="100"/>
              <w:jc w:val="both"/>
            </w:pPr>
            <w:r>
              <w:rPr>
                <w:rFonts w:hint="eastAsia"/>
              </w:rPr>
              <w:t>GB/T 13869-2008《用电安全导则》第6.5条</w:t>
            </w:r>
          </w:p>
          <w:p>
            <w:pPr>
              <w:pStyle w:val="40"/>
              <w:ind w:left="100" w:right="100"/>
              <w:jc w:val="both"/>
            </w:pPr>
            <w:r>
              <w:rPr>
                <w:rFonts w:hint="eastAsia"/>
              </w:rPr>
              <w:t>GB 50054-2011《低压配电设计规范》第4.2.5条注5、第4.2.1条</w:t>
            </w:r>
          </w:p>
          <w:p>
            <w:pPr>
              <w:pStyle w:val="40"/>
              <w:ind w:left="100" w:right="100"/>
              <w:jc w:val="both"/>
            </w:pPr>
            <w:r>
              <w:rPr>
                <w:rFonts w:hint="eastAsia"/>
              </w:rPr>
              <w:t>DB11/065-2010《电气防火检测技术规范》第5.5.2.7c）条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配电箱（柜）内导线的安装和敷设应符合下列要求：</w:t>
            </w:r>
          </w:p>
          <w:p>
            <w:pPr>
              <w:pStyle w:val="40"/>
              <w:ind w:left="100" w:right="100"/>
              <w:jc w:val="both"/>
            </w:pPr>
            <w:r>
              <w:rPr>
                <w:rFonts w:hint="eastAsia"/>
              </w:rPr>
              <w:t xml:space="preserve">a）进出导线应套管或用橡胶圈进行防护，不应与金属尖锐端口直接接触； </w:t>
            </w:r>
          </w:p>
          <w:p>
            <w:pPr>
              <w:pStyle w:val="40"/>
              <w:ind w:left="100" w:right="100"/>
              <w:jc w:val="both"/>
            </w:pPr>
            <w:r>
              <w:rPr>
                <w:rFonts w:hint="eastAsia"/>
              </w:rPr>
              <w:t>b）导线不应卡在电气箱柜的金属外壳上，致使盖板无法盖上；</w:t>
            </w:r>
          </w:p>
          <w:p>
            <w:pPr>
              <w:pStyle w:val="40"/>
              <w:ind w:left="100" w:right="100"/>
              <w:jc w:val="both"/>
            </w:pPr>
            <w:r>
              <w:rPr>
                <w:rFonts w:hint="eastAsia"/>
              </w:rPr>
              <w:t>c）导线应成束固定在箱内，不应贴近具有不同电位和容易发热损坏绝缘层的带电部件，或贴近、穿越带有尖角的裸露带电部件边缘；</w:t>
            </w:r>
          </w:p>
          <w:p>
            <w:pPr>
              <w:pStyle w:val="40"/>
              <w:ind w:left="100" w:right="100"/>
              <w:jc w:val="both"/>
            </w:pPr>
            <w:r>
              <w:rPr>
                <w:rFonts w:hint="eastAsia"/>
              </w:rPr>
              <w:t xml:space="preserve">d）箱内导线的颜色应符合要求，任何情况下颜色标记不应混用和互相代用： </w:t>
            </w:r>
          </w:p>
          <w:p>
            <w:pPr>
              <w:pStyle w:val="40"/>
              <w:ind w:left="100" w:right="100"/>
              <w:jc w:val="both"/>
            </w:pPr>
            <w:r>
              <w:rPr>
                <w:rFonts w:hint="eastAsia"/>
              </w:rPr>
              <w:t>1）相线L1、L2、L3的绝缘层颜色依次为黄、绿、红色；</w:t>
            </w:r>
          </w:p>
          <w:p>
            <w:pPr>
              <w:pStyle w:val="40"/>
              <w:ind w:left="100" w:right="100"/>
              <w:jc w:val="both"/>
            </w:pPr>
            <w:r>
              <w:rPr>
                <w:rFonts w:hint="eastAsia"/>
              </w:rPr>
              <w:t>2）N线的绝缘层颜色为淡蓝色；</w:t>
            </w:r>
          </w:p>
          <w:p>
            <w:pPr>
              <w:pStyle w:val="40"/>
              <w:ind w:left="100" w:right="100"/>
              <w:jc w:val="both"/>
            </w:pPr>
            <w:r>
              <w:rPr>
                <w:rFonts w:hint="eastAsia"/>
              </w:rPr>
              <w:t>3）PE线的绝缘层颜色为绿/黄双色。</w:t>
            </w:r>
          </w:p>
        </w:tc>
        <w:tc>
          <w:tcPr>
            <w:tcW w:w="1217" w:type="pct"/>
            <w:vAlign w:val="center"/>
          </w:tcPr>
          <w:p>
            <w:pPr>
              <w:pStyle w:val="40"/>
              <w:ind w:left="100" w:right="100"/>
              <w:jc w:val="both"/>
            </w:pPr>
            <w:r>
              <w:rPr>
                <w:rFonts w:hint="eastAsia"/>
              </w:rPr>
              <w:t>GB 50617-2010《建筑电气照明装置施工与验收规范》第6.0.3条3款</w:t>
            </w:r>
          </w:p>
          <w:p>
            <w:pPr>
              <w:pStyle w:val="40"/>
              <w:ind w:left="100" w:right="100"/>
              <w:jc w:val="both"/>
            </w:pPr>
            <w:r>
              <w:rPr>
                <w:rFonts w:hint="eastAsia"/>
              </w:rPr>
              <w:t>GB 50575-2010《1kV及以下配线工程施工与验收规范》第5.1.1条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配电箱（柜）内N线和PE线的安装应符合下列要求：</w:t>
            </w:r>
          </w:p>
          <w:p>
            <w:pPr>
              <w:pStyle w:val="40"/>
              <w:ind w:left="100" w:right="100"/>
              <w:jc w:val="both"/>
            </w:pPr>
            <w:r>
              <w:rPr>
                <w:rFonts w:hint="eastAsia"/>
              </w:rPr>
              <w:t>a）配电箱（柜）内应安装专用的N线端子排和PE线端子排，N线端子排应与金属电器安装板绝缘；PE线端子排应与金属电器安装板做电气连接；</w:t>
            </w:r>
          </w:p>
          <w:p>
            <w:pPr>
              <w:pStyle w:val="40"/>
              <w:ind w:left="100" w:right="100"/>
              <w:jc w:val="both"/>
            </w:pPr>
            <w:r>
              <w:rPr>
                <w:rFonts w:hint="eastAsia"/>
              </w:rPr>
              <w:t>b）PE线应采用焊接、压接、螺栓连接或其他可靠方法连接，严禁缠绕或钩挂。</w:t>
            </w:r>
          </w:p>
        </w:tc>
        <w:tc>
          <w:tcPr>
            <w:tcW w:w="1217" w:type="pct"/>
            <w:vAlign w:val="center"/>
          </w:tcPr>
          <w:p>
            <w:pPr>
              <w:pStyle w:val="40"/>
              <w:ind w:left="100" w:right="100"/>
              <w:jc w:val="both"/>
            </w:pPr>
            <w:r>
              <w:rPr>
                <w:rFonts w:hint="eastAsia"/>
              </w:rPr>
              <w:t>GB 50303-2015《建筑电气工程施工质量验收规范》第5.1.12条3款</w:t>
            </w:r>
          </w:p>
          <w:p>
            <w:pPr>
              <w:pStyle w:val="40"/>
              <w:ind w:left="100" w:right="100"/>
              <w:jc w:val="both"/>
            </w:pPr>
            <w:r>
              <w:rPr>
                <w:rFonts w:hint="eastAsia"/>
              </w:rPr>
              <w:t>GB/T 13869-2008《用电安全导则》第6.13条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配电箱（柜）内安装的电气装置，应完好无损且动作正常可靠。</w:t>
            </w:r>
          </w:p>
        </w:tc>
        <w:tc>
          <w:tcPr>
            <w:tcW w:w="1217" w:type="pct"/>
            <w:vAlign w:val="center"/>
          </w:tcPr>
          <w:p>
            <w:pPr>
              <w:pStyle w:val="40"/>
              <w:ind w:left="100" w:right="100"/>
              <w:jc w:val="both"/>
            </w:pPr>
            <w:r>
              <w:rPr>
                <w:rFonts w:hint="eastAsia"/>
              </w:rPr>
              <w:t>GB 50720-2011《建设工程施工现场消防安全技术规范》第6.3.2条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室外安装的非防护型的电气设备应有防雨、雪等侵入的措施。</w:t>
            </w:r>
          </w:p>
        </w:tc>
        <w:tc>
          <w:tcPr>
            <w:tcW w:w="1217" w:type="pct"/>
            <w:vAlign w:val="center"/>
          </w:tcPr>
          <w:p>
            <w:pPr>
              <w:pStyle w:val="40"/>
              <w:ind w:left="100" w:right="100"/>
              <w:jc w:val="both"/>
            </w:pPr>
            <w:r>
              <w:rPr>
                <w:rFonts w:hint="eastAsia"/>
              </w:rPr>
              <w:t>JGJ 46-2005《施工现场临时用电安全技术规范》第8.1.9条、第8.1.10条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电气设施类</w:t>
            </w:r>
          </w:p>
        </w:tc>
        <w:tc>
          <w:tcPr>
            <w:tcW w:w="2128" w:type="pct"/>
            <w:vAlign w:val="center"/>
          </w:tcPr>
          <w:p>
            <w:pPr>
              <w:pStyle w:val="40"/>
              <w:ind w:left="100" w:right="100"/>
              <w:jc w:val="both"/>
            </w:pPr>
            <w:r>
              <w:rPr>
                <w:rFonts w:hint="eastAsia"/>
              </w:rPr>
              <w:t>剩余电流动作保护装置的安装应符合下列要求：</w:t>
            </w:r>
          </w:p>
          <w:p>
            <w:pPr>
              <w:pStyle w:val="40"/>
              <w:ind w:left="100" w:right="100"/>
              <w:jc w:val="both"/>
            </w:pPr>
            <w:r>
              <w:rPr>
                <w:rFonts w:hint="eastAsia"/>
              </w:rPr>
              <w:t>1 除壁挂式空调电源插座外的其他电源插座或插座回路应安装剩余电流动作保护装置；</w:t>
            </w:r>
          </w:p>
          <w:p>
            <w:pPr>
              <w:pStyle w:val="40"/>
              <w:ind w:left="100" w:right="100"/>
              <w:jc w:val="both"/>
            </w:pPr>
            <w:r>
              <w:rPr>
                <w:rFonts w:hint="eastAsia"/>
              </w:rPr>
              <w:t>2 移动电器、家用电器等设备优先选用额定剩余动作电流不大于30 mA无延时的剩余电流保护装置；</w:t>
            </w:r>
          </w:p>
          <w:p>
            <w:pPr>
              <w:pStyle w:val="40"/>
              <w:ind w:left="100" w:right="100"/>
              <w:jc w:val="both"/>
            </w:pPr>
            <w:r>
              <w:rPr>
                <w:rFonts w:hint="eastAsia"/>
              </w:rPr>
              <w:t>3 安装在游泳池、浴室等特定区域的电气设备应选用额定剩余动作电流为10 mA无延时的剩余电流保护装置。</w:t>
            </w:r>
          </w:p>
          <w:p>
            <w:pPr>
              <w:pStyle w:val="40"/>
              <w:ind w:left="100" w:right="100"/>
              <w:jc w:val="both"/>
            </w:pPr>
            <w:r>
              <w:rPr>
                <w:rFonts w:hint="eastAsia"/>
              </w:rPr>
              <w:t>4 剩余电流保护装置投入运行后，应每月按动按钮1次，检查其动作特性是否正常。</w:t>
            </w:r>
          </w:p>
        </w:tc>
        <w:tc>
          <w:tcPr>
            <w:tcW w:w="1217" w:type="pct"/>
            <w:vAlign w:val="center"/>
          </w:tcPr>
          <w:p>
            <w:pPr>
              <w:pStyle w:val="40"/>
              <w:ind w:left="100" w:right="100"/>
              <w:jc w:val="both"/>
            </w:pPr>
            <w:r>
              <w:rPr>
                <w:rFonts w:hint="eastAsia"/>
              </w:rPr>
              <w:t>GB 13955-2005《剩余电流动作保护装置安装和运行》第4 .5.1条、第5.7.1条、第5.8.2条、第5.8.3条、第7.3条、第7.2条</w:t>
            </w:r>
          </w:p>
          <w:p>
            <w:pPr>
              <w:pStyle w:val="40"/>
              <w:ind w:left="100" w:right="100"/>
              <w:jc w:val="both"/>
            </w:pPr>
            <w:r>
              <w:rPr>
                <w:rFonts w:hint="eastAsia"/>
              </w:rPr>
              <w:t>DB11/065《电气防火检测技术规范》第5.5.2.6条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灭火器数量不满足每50平方米配置1具5kg以上ABC类干粉灭火器或2具6L水基型灭火器，且每个设置点不少于2具的要求。</w:t>
            </w:r>
          </w:p>
        </w:tc>
        <w:tc>
          <w:tcPr>
            <w:tcW w:w="1217" w:type="pct"/>
            <w:vAlign w:val="center"/>
          </w:tcPr>
          <w:p>
            <w:pPr>
              <w:pStyle w:val="40"/>
              <w:ind w:left="100" w:right="100"/>
              <w:jc w:val="both"/>
            </w:pPr>
            <w:r>
              <w:rPr>
                <w:rFonts w:hint="eastAsia"/>
              </w:rPr>
              <w:t>JGJ 39-2016《托儿所、幼儿园建筑设计规范》第6.1.10条</w:t>
            </w:r>
          </w:p>
          <w:p>
            <w:pPr>
              <w:pStyle w:val="40"/>
              <w:ind w:left="100" w:right="100"/>
              <w:jc w:val="both"/>
            </w:pPr>
            <w:r>
              <w:rPr>
                <w:rFonts w:hint="eastAsia"/>
              </w:rPr>
              <w:t>《托育机构消防安全指南（试行）》（六）</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存在消防设施被遮挡等管理不当行为。</w:t>
            </w:r>
          </w:p>
        </w:tc>
        <w:tc>
          <w:tcPr>
            <w:tcW w:w="1217" w:type="pct"/>
            <w:vAlign w:val="center"/>
          </w:tcPr>
          <w:p>
            <w:pPr>
              <w:pStyle w:val="40"/>
              <w:ind w:left="100" w:right="100"/>
              <w:jc w:val="both"/>
            </w:pPr>
            <w:r>
              <w:rPr>
                <w:rFonts w:hint="eastAsia"/>
              </w:rPr>
              <w:t>JGJ 39-2016《托儿所、幼儿园建筑设计规范》第6.1.10条</w:t>
            </w:r>
          </w:p>
          <w:p>
            <w:pPr>
              <w:pStyle w:val="40"/>
              <w:ind w:left="100" w:right="100"/>
              <w:jc w:val="both"/>
            </w:pPr>
            <w:r>
              <w:rPr>
                <w:rFonts w:hint="eastAsia"/>
              </w:rPr>
              <w:t>GB 50140-2005《建筑灭火器配置设计规范》第6.1条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设备设施类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消火栓灭火设施位置易碰撞、消火栓暗箱未进行安装设置。</w:t>
            </w:r>
          </w:p>
        </w:tc>
        <w:tc>
          <w:tcPr>
            <w:tcW w:w="1217" w:type="pct"/>
            <w:vAlign w:val="center"/>
          </w:tcPr>
          <w:p>
            <w:pPr>
              <w:pStyle w:val="40"/>
              <w:ind w:left="100" w:right="100"/>
              <w:jc w:val="both"/>
            </w:pPr>
            <w:r>
              <w:rPr>
                <w:rFonts w:hint="eastAsia"/>
              </w:rPr>
              <w:t>JGJ 39-2016《托儿所、幼儿园建筑设计规范》第6.1.10条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单独配置的灭火器箱妨碍通行。</w:t>
            </w:r>
          </w:p>
        </w:tc>
        <w:tc>
          <w:tcPr>
            <w:tcW w:w="1217" w:type="pct"/>
            <w:vAlign w:val="center"/>
          </w:tcPr>
          <w:p>
            <w:pPr>
              <w:pStyle w:val="40"/>
              <w:ind w:left="100" w:right="100"/>
              <w:jc w:val="both"/>
            </w:pPr>
            <w:r>
              <w:rPr>
                <w:rFonts w:hint="eastAsia"/>
              </w:rPr>
              <w:t>JGJ 39-2016《托儿所、幼儿园建筑设计规范》第6.1.10条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应急照明灯设计未符合国家现行标准要求：</w:t>
            </w:r>
          </w:p>
          <w:p>
            <w:pPr>
              <w:pStyle w:val="40"/>
              <w:ind w:left="100" w:right="100"/>
              <w:jc w:val="both"/>
            </w:pPr>
            <w:r>
              <w:rPr>
                <w:rFonts w:hint="eastAsia"/>
              </w:rPr>
              <w:t>1.安装在地面的灯具主电源应采用安全电压；</w:t>
            </w:r>
          </w:p>
          <w:p>
            <w:pPr>
              <w:pStyle w:val="40"/>
              <w:ind w:left="100" w:right="100"/>
              <w:jc w:val="both"/>
            </w:pPr>
            <w:r>
              <w:rPr>
                <w:rFonts w:hint="eastAsia"/>
              </w:rPr>
              <w:t>2.系统的应急工作时间不应小于90min，且不小于灯具本身标称的应急工作时间。</w:t>
            </w:r>
          </w:p>
        </w:tc>
        <w:tc>
          <w:tcPr>
            <w:tcW w:w="1217" w:type="pct"/>
            <w:vAlign w:val="center"/>
          </w:tcPr>
          <w:p>
            <w:pPr>
              <w:pStyle w:val="40"/>
              <w:ind w:left="100" w:right="100"/>
              <w:jc w:val="both"/>
            </w:pPr>
            <w:r>
              <w:rPr>
                <w:rFonts w:hint="eastAsia"/>
              </w:rPr>
              <w:t>JGJ 39-2016《托儿所、幼儿园建筑设计规范》第6.3.9条</w:t>
            </w:r>
          </w:p>
          <w:p>
            <w:pPr>
              <w:pStyle w:val="40"/>
              <w:ind w:left="100" w:right="100"/>
              <w:jc w:val="both"/>
            </w:pPr>
            <w:r>
              <w:rPr>
                <w:rFonts w:hint="eastAsia"/>
              </w:rPr>
              <w:t>GB 17945-2010《消防应急照明和疏散指示系统》第6.2.1、6.3.1条（6.3.1.1-6.1.3.4）</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设备设施类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火灾自动报警系统设计未符合国家现行标准。</w:t>
            </w:r>
          </w:p>
        </w:tc>
        <w:tc>
          <w:tcPr>
            <w:tcW w:w="1217" w:type="pct"/>
            <w:vAlign w:val="center"/>
          </w:tcPr>
          <w:p>
            <w:pPr>
              <w:pStyle w:val="40"/>
              <w:ind w:left="100" w:right="100"/>
              <w:jc w:val="both"/>
            </w:pPr>
            <w:r>
              <w:rPr>
                <w:rFonts w:hint="eastAsia"/>
              </w:rPr>
              <w:t>JGJ 39-2016《托儿所、幼儿园建筑设计规范》第6.3.9条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防雷与接地设计未符合国家现行标准。</w:t>
            </w:r>
          </w:p>
        </w:tc>
        <w:tc>
          <w:tcPr>
            <w:tcW w:w="1217" w:type="pct"/>
            <w:vAlign w:val="center"/>
          </w:tcPr>
          <w:p>
            <w:pPr>
              <w:pStyle w:val="40"/>
              <w:ind w:left="100" w:right="100"/>
              <w:jc w:val="both"/>
            </w:pPr>
            <w:r>
              <w:rPr>
                <w:rFonts w:hint="eastAsia"/>
              </w:rPr>
              <w:t>JGJ 39-2016《托儿所、幼儿园建筑设计规范》第6.3.9条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大中型托育机构报警系统（可不安装声光报警装置）未按标准设置自动喷水灭火系统和火灾自动；其他托育机构未安装具有联网报警功能的独立式火灾探测报警器和喷淋设施。</w:t>
            </w:r>
          </w:p>
        </w:tc>
        <w:tc>
          <w:tcPr>
            <w:tcW w:w="1217" w:type="pct"/>
            <w:vAlign w:val="center"/>
          </w:tcPr>
          <w:p>
            <w:pPr>
              <w:pStyle w:val="40"/>
              <w:ind w:left="100" w:right="100"/>
              <w:jc w:val="both"/>
            </w:pPr>
            <w:r>
              <w:rPr>
                <w:rFonts w:hint="eastAsia"/>
              </w:rPr>
              <w:t>《托育机构消防安全指南（试行）》（六）</w:t>
            </w:r>
          </w:p>
          <w:p>
            <w:pPr>
              <w:pStyle w:val="40"/>
              <w:ind w:left="100" w:right="100"/>
              <w:jc w:val="both"/>
            </w:pPr>
            <w:r>
              <w:rPr>
                <w:rFonts w:hint="eastAsia"/>
              </w:rPr>
              <w:t xml:space="preserve">JGJ 39-2016《托儿所、幼儿园建筑设计规范》 </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建筑面积50㎡以上的房间、建筑长度大于20m的疏散走道，未具备自然排烟条件或未设置机械排烟设施。</w:t>
            </w:r>
          </w:p>
        </w:tc>
        <w:tc>
          <w:tcPr>
            <w:tcW w:w="1217" w:type="pct"/>
            <w:vAlign w:val="center"/>
          </w:tcPr>
          <w:p>
            <w:pPr>
              <w:pStyle w:val="40"/>
              <w:ind w:left="100" w:right="100"/>
              <w:jc w:val="both"/>
            </w:pPr>
            <w:r>
              <w:rPr>
                <w:rFonts w:hint="eastAsia"/>
              </w:rPr>
              <w:t>《托育机构消防安全指南（试行）》（六）</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消防设施类</w:t>
            </w:r>
          </w:p>
        </w:tc>
        <w:tc>
          <w:tcPr>
            <w:tcW w:w="2128" w:type="pct"/>
            <w:vAlign w:val="center"/>
          </w:tcPr>
          <w:p>
            <w:pPr>
              <w:pStyle w:val="40"/>
              <w:ind w:left="100" w:right="100"/>
              <w:jc w:val="both"/>
            </w:pPr>
            <w:r>
              <w:rPr>
                <w:rFonts w:hint="eastAsia"/>
              </w:rPr>
              <w:t>使用燃气的厨房未配备可燃气体浓度报警装置、燃气紧急切断装置以及灭火器、灭火毯等灭火器材，并与其他区域采取防火隔墙和防火门等有效的防火分隔措施。</w:t>
            </w:r>
          </w:p>
        </w:tc>
        <w:tc>
          <w:tcPr>
            <w:tcW w:w="1217" w:type="pct"/>
            <w:vAlign w:val="center"/>
          </w:tcPr>
          <w:p>
            <w:pPr>
              <w:pStyle w:val="40"/>
              <w:ind w:left="100" w:right="100"/>
              <w:jc w:val="both"/>
            </w:pPr>
            <w:r>
              <w:rPr>
                <w:rFonts w:hint="eastAsia"/>
              </w:rPr>
              <w:t>《托育机构消防安全指南（试行）》（七）《安全生产法》第三十六条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游戏设施类</w:t>
            </w:r>
          </w:p>
        </w:tc>
        <w:tc>
          <w:tcPr>
            <w:tcW w:w="2128" w:type="pct"/>
            <w:vAlign w:val="center"/>
          </w:tcPr>
          <w:p>
            <w:pPr>
              <w:pStyle w:val="40"/>
              <w:ind w:left="100" w:right="100"/>
              <w:jc w:val="both"/>
            </w:pPr>
            <w:r>
              <w:rPr>
                <w:rFonts w:hint="eastAsia"/>
              </w:rPr>
              <w:t>戏水池深度超过0.3m。</w:t>
            </w:r>
          </w:p>
        </w:tc>
        <w:tc>
          <w:tcPr>
            <w:tcW w:w="1217" w:type="pct"/>
            <w:vAlign w:val="center"/>
          </w:tcPr>
          <w:p>
            <w:pPr>
              <w:pStyle w:val="40"/>
              <w:ind w:left="100" w:right="100"/>
              <w:jc w:val="both"/>
            </w:pPr>
            <w:r>
              <w:rPr>
                <w:rFonts w:hint="eastAsia"/>
              </w:rPr>
              <w:t>JGJ 39-2016《托儿所、幼儿园建筑设计规范》第3.2.3条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游戏设施类</w:t>
            </w:r>
          </w:p>
        </w:tc>
        <w:tc>
          <w:tcPr>
            <w:tcW w:w="2128" w:type="pct"/>
            <w:vAlign w:val="center"/>
          </w:tcPr>
          <w:p>
            <w:pPr>
              <w:pStyle w:val="40"/>
              <w:ind w:left="100" w:right="100"/>
              <w:jc w:val="both"/>
            </w:pPr>
            <w:r>
              <w:rPr>
                <w:rFonts w:hint="eastAsia"/>
              </w:rPr>
              <w:t>游戏器具下未铺设软质铺装。</w:t>
            </w:r>
          </w:p>
        </w:tc>
        <w:tc>
          <w:tcPr>
            <w:tcW w:w="1217" w:type="pct"/>
            <w:vAlign w:val="center"/>
          </w:tcPr>
          <w:p>
            <w:pPr>
              <w:pStyle w:val="40"/>
              <w:ind w:left="100" w:right="100"/>
              <w:jc w:val="both"/>
            </w:pPr>
            <w:r>
              <w:rPr>
                <w:rFonts w:hint="eastAsia"/>
              </w:rPr>
              <w:t>JGJ 39-2016《托儿所、幼儿园建筑设计规范》第3.2.3条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生活设施类</w:t>
            </w:r>
          </w:p>
        </w:tc>
        <w:tc>
          <w:tcPr>
            <w:tcW w:w="2128" w:type="pct"/>
            <w:vAlign w:val="center"/>
          </w:tcPr>
          <w:p>
            <w:pPr>
              <w:pStyle w:val="40"/>
              <w:ind w:left="100" w:right="100"/>
              <w:jc w:val="both"/>
            </w:pPr>
            <w:r>
              <w:rPr>
                <w:rFonts w:hint="eastAsia"/>
              </w:rPr>
              <w:t>睡眠区婴幼儿未设置单层床。</w:t>
            </w:r>
          </w:p>
        </w:tc>
        <w:tc>
          <w:tcPr>
            <w:tcW w:w="1217" w:type="pct"/>
            <w:vAlign w:val="center"/>
          </w:tcPr>
          <w:p>
            <w:pPr>
              <w:pStyle w:val="40"/>
              <w:ind w:left="100" w:right="100"/>
              <w:jc w:val="both"/>
            </w:pPr>
            <w:r>
              <w:rPr>
                <w:rFonts w:hint="eastAsia"/>
              </w:rPr>
              <w:t>JGJ 39-2016《托儿所、幼儿园建筑设计规范》第4.2.5条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生活设施类</w:t>
            </w:r>
          </w:p>
        </w:tc>
        <w:tc>
          <w:tcPr>
            <w:tcW w:w="2128" w:type="pct"/>
            <w:vAlign w:val="center"/>
          </w:tcPr>
          <w:p>
            <w:pPr>
              <w:pStyle w:val="40"/>
              <w:ind w:left="100" w:right="100"/>
              <w:jc w:val="both"/>
            </w:pPr>
            <w:r>
              <w:rPr>
                <w:rFonts w:hint="eastAsia"/>
              </w:rPr>
              <w:t>紫外线杀菌灯的控制装置未单独设置，并未采取防误开措施。</w:t>
            </w:r>
          </w:p>
        </w:tc>
        <w:tc>
          <w:tcPr>
            <w:tcW w:w="1217" w:type="pct"/>
            <w:vAlign w:val="center"/>
          </w:tcPr>
          <w:p>
            <w:pPr>
              <w:pStyle w:val="40"/>
              <w:ind w:left="100" w:right="100"/>
              <w:jc w:val="both"/>
            </w:pPr>
            <w:r>
              <w:rPr>
                <w:rFonts w:hint="eastAsia"/>
              </w:rPr>
              <w:t>JGJ 39-2016《托儿所、幼儿园建筑设计规范》第6.3.3条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设备设施类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生活设施类</w:t>
            </w:r>
          </w:p>
        </w:tc>
        <w:tc>
          <w:tcPr>
            <w:tcW w:w="2128" w:type="pct"/>
            <w:vAlign w:val="center"/>
          </w:tcPr>
          <w:p>
            <w:pPr>
              <w:pStyle w:val="40"/>
              <w:ind w:left="100" w:right="100"/>
              <w:jc w:val="both"/>
            </w:pPr>
            <w:r>
              <w:rPr>
                <w:rFonts w:hint="eastAsia"/>
              </w:rPr>
              <w:t>设在高层建筑内的托育机构厨房使用瓶装液化气，或每季度未清洗排油烟罩、油烟管道。</w:t>
            </w:r>
          </w:p>
        </w:tc>
        <w:tc>
          <w:tcPr>
            <w:tcW w:w="1217" w:type="pct"/>
            <w:vAlign w:val="center"/>
          </w:tcPr>
          <w:p>
            <w:pPr>
              <w:pStyle w:val="40"/>
              <w:ind w:left="100" w:right="100"/>
              <w:jc w:val="both"/>
            </w:pPr>
            <w:r>
              <w:rPr>
                <w:rFonts w:hint="eastAsia"/>
              </w:rPr>
              <w:t>《托育机构消防安全指南（试行）》（十七）</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生活设施类</w:t>
            </w:r>
          </w:p>
        </w:tc>
        <w:tc>
          <w:tcPr>
            <w:tcW w:w="2128" w:type="pct"/>
            <w:vAlign w:val="center"/>
          </w:tcPr>
          <w:p>
            <w:pPr>
              <w:pStyle w:val="40"/>
              <w:ind w:left="100" w:right="100"/>
              <w:jc w:val="both"/>
            </w:pPr>
            <w:r>
              <w:rPr>
                <w:rFonts w:hint="eastAsia"/>
              </w:rPr>
              <w:t>大功率电热取暖器、暖风机、对流式电暖器、电热膜等取暖设备的配电回路，未设置与线路安全载流量匹配的短路、过载保护装置。</w:t>
            </w:r>
          </w:p>
        </w:tc>
        <w:tc>
          <w:tcPr>
            <w:tcW w:w="1217" w:type="pct"/>
            <w:vAlign w:val="center"/>
          </w:tcPr>
          <w:p>
            <w:pPr>
              <w:pStyle w:val="40"/>
              <w:ind w:left="100" w:right="100"/>
              <w:jc w:val="both"/>
            </w:pPr>
            <w:r>
              <w:rPr>
                <w:rFonts w:hint="eastAsia"/>
              </w:rPr>
              <w:t>《托育机构消防安全指南（试行）》（二十）</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生活设施类</w:t>
            </w:r>
          </w:p>
        </w:tc>
        <w:tc>
          <w:tcPr>
            <w:tcW w:w="2128" w:type="pct"/>
            <w:vAlign w:val="center"/>
          </w:tcPr>
          <w:p>
            <w:pPr>
              <w:pStyle w:val="40"/>
              <w:ind w:left="100" w:right="100"/>
              <w:jc w:val="both"/>
            </w:pPr>
            <w:r>
              <w:rPr>
                <w:rFonts w:hint="eastAsia"/>
              </w:rPr>
              <w:t>电动自行车、电动平衡车及其蓄电池在托育机构的托育场所、楼梯间、走道、安全出口违规停放、充电；具有蓄电功能的儿童游乐设施，在托育工作期间充电。</w:t>
            </w:r>
          </w:p>
        </w:tc>
        <w:tc>
          <w:tcPr>
            <w:tcW w:w="1217" w:type="pct"/>
            <w:vAlign w:val="center"/>
          </w:tcPr>
          <w:p>
            <w:pPr>
              <w:pStyle w:val="40"/>
              <w:ind w:left="100" w:right="100"/>
              <w:jc w:val="both"/>
            </w:pPr>
            <w:r>
              <w:rPr>
                <w:rFonts w:hint="eastAsia"/>
              </w:rPr>
              <w:t>《托育机构消防安全指南（试行）》（二十二）</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生活设施类</w:t>
            </w:r>
          </w:p>
        </w:tc>
        <w:tc>
          <w:tcPr>
            <w:tcW w:w="2128" w:type="pct"/>
            <w:vAlign w:val="center"/>
          </w:tcPr>
          <w:p>
            <w:pPr>
              <w:pStyle w:val="40"/>
              <w:ind w:left="100" w:right="100"/>
              <w:jc w:val="both"/>
            </w:pPr>
            <w:r>
              <w:rPr>
                <w:rFonts w:hint="eastAsia"/>
              </w:rPr>
              <w:t>托育机构大量采用易燃可燃物挂件、塑料仿真树木、海洋球、氢气球等各类装饰造型物。</w:t>
            </w:r>
          </w:p>
        </w:tc>
        <w:tc>
          <w:tcPr>
            <w:tcW w:w="1217" w:type="pct"/>
            <w:vAlign w:val="center"/>
          </w:tcPr>
          <w:p>
            <w:pPr>
              <w:pStyle w:val="40"/>
              <w:ind w:left="100" w:right="100"/>
              <w:jc w:val="both"/>
            </w:pPr>
            <w:r>
              <w:rPr>
                <w:rFonts w:hint="eastAsia"/>
              </w:rPr>
              <w:t>《托育机构消防安全指南（试行）》（二十四）</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生活设施类</w:t>
            </w:r>
          </w:p>
        </w:tc>
        <w:tc>
          <w:tcPr>
            <w:tcW w:w="2128" w:type="pct"/>
            <w:vAlign w:val="center"/>
          </w:tcPr>
          <w:p>
            <w:pPr>
              <w:pStyle w:val="40"/>
              <w:ind w:left="100" w:right="100"/>
              <w:jc w:val="both"/>
            </w:pPr>
            <w:r>
              <w:rPr>
                <w:rFonts w:hint="eastAsia"/>
              </w:rPr>
              <w:t>除日常用量的消毒酒精、空气清新剂外，托育机构还存放汽油、烟花爆竹等易燃易爆危险品。</w:t>
            </w:r>
          </w:p>
        </w:tc>
        <w:tc>
          <w:tcPr>
            <w:tcW w:w="1217" w:type="pct"/>
            <w:vAlign w:val="center"/>
          </w:tcPr>
          <w:p>
            <w:pPr>
              <w:pStyle w:val="40"/>
              <w:ind w:left="100" w:right="100"/>
              <w:jc w:val="both"/>
            </w:pPr>
            <w:r>
              <w:rPr>
                <w:rFonts w:hint="eastAsia"/>
              </w:rPr>
              <w:t>《托育机构消防安全指南（试行）》（二十五）</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生活设施类</w:t>
            </w:r>
          </w:p>
        </w:tc>
        <w:tc>
          <w:tcPr>
            <w:tcW w:w="2128" w:type="pct"/>
            <w:vAlign w:val="center"/>
          </w:tcPr>
          <w:p>
            <w:pPr>
              <w:pStyle w:val="40"/>
              <w:ind w:left="100" w:right="100"/>
              <w:jc w:val="both"/>
            </w:pPr>
            <w:r>
              <w:rPr>
                <w:rFonts w:hint="eastAsia"/>
              </w:rPr>
              <w:t>未定期清理废弃的易燃可燃杂物。</w:t>
            </w:r>
          </w:p>
        </w:tc>
        <w:tc>
          <w:tcPr>
            <w:tcW w:w="1217" w:type="pct"/>
            <w:vAlign w:val="center"/>
          </w:tcPr>
          <w:p>
            <w:pPr>
              <w:pStyle w:val="40"/>
              <w:ind w:left="100" w:right="100"/>
              <w:jc w:val="both"/>
            </w:pPr>
            <w:r>
              <w:rPr>
                <w:rFonts w:hint="eastAsia"/>
              </w:rPr>
              <w:t>《托育机构消防安全指南（试行）》（二十六）</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建筑设备类</w:t>
            </w:r>
          </w:p>
        </w:tc>
        <w:tc>
          <w:tcPr>
            <w:tcW w:w="2128" w:type="pct"/>
            <w:vAlign w:val="center"/>
          </w:tcPr>
          <w:p>
            <w:pPr>
              <w:pStyle w:val="40"/>
              <w:ind w:left="100" w:right="100"/>
              <w:jc w:val="both"/>
            </w:pPr>
            <w:r>
              <w:rPr>
                <w:rFonts w:hint="eastAsia"/>
              </w:rPr>
              <w:t>房间换气次数与人员所需最小新风量少于标准要求。</w:t>
            </w:r>
          </w:p>
        </w:tc>
        <w:tc>
          <w:tcPr>
            <w:tcW w:w="1217" w:type="pct"/>
            <w:vAlign w:val="center"/>
          </w:tcPr>
          <w:p>
            <w:pPr>
              <w:pStyle w:val="40"/>
              <w:ind w:left="100" w:right="100"/>
              <w:jc w:val="both"/>
            </w:pPr>
            <w:r>
              <w:rPr>
                <w:rFonts w:hint="eastAsia"/>
              </w:rPr>
              <w:t>JGJ 39-2016《托儿所、幼儿园建筑设计规范》第6.2.11条（见附页1）</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建筑设备类</w:t>
            </w:r>
          </w:p>
        </w:tc>
        <w:tc>
          <w:tcPr>
            <w:tcW w:w="2128" w:type="pct"/>
            <w:vAlign w:val="center"/>
          </w:tcPr>
          <w:p>
            <w:pPr>
              <w:pStyle w:val="40"/>
              <w:ind w:left="100" w:right="100"/>
              <w:jc w:val="both"/>
            </w:pPr>
            <w:r>
              <w:rPr>
                <w:rFonts w:hint="eastAsia"/>
              </w:rPr>
              <w:t>幼儿活动场所的配电箱、控制箱等电气装置底部低于1.8m。</w:t>
            </w:r>
          </w:p>
        </w:tc>
        <w:tc>
          <w:tcPr>
            <w:tcW w:w="1217" w:type="pct"/>
            <w:vAlign w:val="center"/>
          </w:tcPr>
          <w:p>
            <w:pPr>
              <w:pStyle w:val="40"/>
              <w:ind w:left="100" w:right="100"/>
              <w:jc w:val="both"/>
            </w:pPr>
            <w:r>
              <w:rPr>
                <w:rFonts w:hint="eastAsia"/>
              </w:rPr>
              <w:t>JGJ 39-2016《托儿所、幼儿园建筑设计规范》第6.3.6条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建筑设备类</w:t>
            </w:r>
          </w:p>
        </w:tc>
        <w:tc>
          <w:tcPr>
            <w:tcW w:w="2128" w:type="pct"/>
            <w:vAlign w:val="center"/>
          </w:tcPr>
          <w:p>
            <w:pPr>
              <w:pStyle w:val="40"/>
              <w:ind w:left="100" w:right="100"/>
              <w:jc w:val="both"/>
            </w:pPr>
            <w:r>
              <w:rPr>
                <w:rFonts w:hint="eastAsia"/>
              </w:rPr>
              <w:t>电气线路、燃气管路的设计、敷设，聘用未具备电气设计施工资质、燃气设计施工资质的机构或人员实施，未采用合格的电气设备、电气线路和燃气灶具、阀门、管线。</w:t>
            </w:r>
          </w:p>
        </w:tc>
        <w:tc>
          <w:tcPr>
            <w:tcW w:w="1217" w:type="pct"/>
            <w:vAlign w:val="center"/>
          </w:tcPr>
          <w:p>
            <w:pPr>
              <w:pStyle w:val="40"/>
              <w:ind w:left="100" w:right="100"/>
              <w:jc w:val="both"/>
            </w:pPr>
            <w:r>
              <w:rPr>
                <w:rFonts w:hint="eastAsia"/>
              </w:rPr>
              <w:t>《托育机构消防安全指南（试行）》（十）</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建筑设备类</w:t>
            </w:r>
          </w:p>
        </w:tc>
        <w:tc>
          <w:tcPr>
            <w:tcW w:w="2128" w:type="pct"/>
            <w:vAlign w:val="center"/>
          </w:tcPr>
          <w:p>
            <w:pPr>
              <w:pStyle w:val="40"/>
              <w:ind w:left="100" w:right="100"/>
              <w:jc w:val="both"/>
            </w:pPr>
            <w:r>
              <w:rPr>
                <w:rFonts w:hint="eastAsia"/>
              </w:rPr>
              <w:t>电气线路未穿管保护；电气线路接头未采用接线端子连接；采用铰接等方式连接；采用延长线插座串接方式取电。</w:t>
            </w:r>
          </w:p>
        </w:tc>
        <w:tc>
          <w:tcPr>
            <w:tcW w:w="1217" w:type="pct"/>
            <w:vAlign w:val="center"/>
          </w:tcPr>
          <w:p>
            <w:pPr>
              <w:pStyle w:val="40"/>
              <w:ind w:left="100" w:right="100"/>
              <w:jc w:val="both"/>
            </w:pPr>
            <w:r>
              <w:rPr>
                <w:rFonts w:hint="eastAsia"/>
              </w:rPr>
              <w:t>《托育机构消防安全指南（试行）》（十八）</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建筑设备类</w:t>
            </w:r>
          </w:p>
        </w:tc>
        <w:tc>
          <w:tcPr>
            <w:tcW w:w="2128" w:type="pct"/>
            <w:vAlign w:val="center"/>
          </w:tcPr>
          <w:p>
            <w:pPr>
              <w:pStyle w:val="40"/>
              <w:ind w:left="100" w:right="100"/>
              <w:jc w:val="both"/>
            </w:pPr>
            <w:r>
              <w:rPr>
                <w:rFonts w:hint="eastAsia"/>
              </w:rPr>
              <w:t>私拉乱接电线；将电气线路、插座、电气设备直接敷设在易燃可燃材料制作的儿童游乐设施、室内装饰物等内部及表面。</w:t>
            </w:r>
          </w:p>
        </w:tc>
        <w:tc>
          <w:tcPr>
            <w:tcW w:w="1217" w:type="pct"/>
            <w:vAlign w:val="center"/>
          </w:tcPr>
          <w:p>
            <w:pPr>
              <w:pStyle w:val="40"/>
              <w:ind w:left="100" w:right="100"/>
              <w:jc w:val="both"/>
            </w:pPr>
            <w:r>
              <w:rPr>
                <w:rFonts w:hint="eastAsia"/>
              </w:rPr>
              <w:t>《托育机构消防安全指南（试行）》（十九）</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人员类</w:t>
            </w:r>
          </w:p>
        </w:tc>
        <w:tc>
          <w:tcPr>
            <w:tcW w:w="437" w:type="pct"/>
            <w:vAlign w:val="center"/>
          </w:tcPr>
          <w:p>
            <w:pPr>
              <w:adjustRightInd w:val="0"/>
              <w:snapToGrid w:val="0"/>
              <w:spacing w:line="240" w:lineRule="auto"/>
              <w:ind w:left="100" w:right="100"/>
              <w:jc w:val="center"/>
              <w:rPr>
                <w:rFonts w:ascii="宋体" w:hAnsi="宋体"/>
                <w:strike/>
                <w:kern w:val="0"/>
                <w:szCs w:val="20"/>
              </w:rPr>
            </w:pPr>
            <w:r>
              <w:rPr>
                <w:rFonts w:hint="eastAsia" w:ascii="宋体" w:hAnsi="宋体"/>
                <w:kern w:val="0"/>
                <w:szCs w:val="20"/>
              </w:rPr>
              <w:t>教育培训类</w:t>
            </w:r>
          </w:p>
        </w:tc>
        <w:tc>
          <w:tcPr>
            <w:tcW w:w="2128" w:type="pct"/>
            <w:vAlign w:val="center"/>
          </w:tcPr>
          <w:p>
            <w:pPr>
              <w:pStyle w:val="40"/>
              <w:ind w:left="100" w:right="100"/>
              <w:jc w:val="both"/>
            </w:pPr>
            <w:r>
              <w:rPr>
                <w:rFonts w:hint="eastAsia"/>
              </w:rPr>
              <w:t>未定期对工作人员进行安全教育和突发事件应急处理能力培训。</w:t>
            </w:r>
          </w:p>
        </w:tc>
        <w:tc>
          <w:tcPr>
            <w:tcW w:w="1217" w:type="pct"/>
            <w:vAlign w:val="center"/>
          </w:tcPr>
          <w:p>
            <w:pPr>
              <w:pStyle w:val="40"/>
              <w:ind w:left="100" w:right="100"/>
              <w:jc w:val="both"/>
            </w:pPr>
            <w:r>
              <w:rPr>
                <w:rFonts w:hint="eastAsia"/>
              </w:rPr>
              <w:t>《托育机构管理规范（试行）》第三十一、三十四条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教育培训类</w:t>
            </w:r>
          </w:p>
        </w:tc>
        <w:tc>
          <w:tcPr>
            <w:tcW w:w="2128" w:type="pct"/>
            <w:vAlign w:val="center"/>
          </w:tcPr>
          <w:p>
            <w:pPr>
              <w:pStyle w:val="40"/>
              <w:ind w:left="100" w:right="100"/>
              <w:jc w:val="both"/>
            </w:pPr>
            <w:r>
              <w:rPr>
                <w:rFonts w:hint="eastAsia"/>
              </w:rPr>
              <w:t>从业人员未掌握简易防毒面具和室内消火栓、消防软管卷盘、灭火器、灭火毯的操作使用方法；未知晓“119”火警报警方法程序；未具备初起火灾扑救和组织应急疏散逃生的能力。</w:t>
            </w:r>
          </w:p>
        </w:tc>
        <w:tc>
          <w:tcPr>
            <w:tcW w:w="1217" w:type="pct"/>
            <w:vAlign w:val="center"/>
          </w:tcPr>
          <w:p>
            <w:pPr>
              <w:pStyle w:val="40"/>
              <w:ind w:left="100" w:right="100"/>
              <w:jc w:val="both"/>
            </w:pPr>
            <w:r>
              <w:rPr>
                <w:rFonts w:hint="eastAsia"/>
              </w:rPr>
              <w:t>《托育机构消防安全指南（试行）》（三十四）</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资格资质类</w:t>
            </w:r>
          </w:p>
        </w:tc>
        <w:tc>
          <w:tcPr>
            <w:tcW w:w="2128" w:type="pct"/>
            <w:vAlign w:val="center"/>
          </w:tcPr>
          <w:p>
            <w:pPr>
              <w:pStyle w:val="40"/>
              <w:ind w:left="100" w:right="100"/>
              <w:jc w:val="both"/>
            </w:pPr>
            <w:r>
              <w:rPr>
                <w:rFonts w:hint="eastAsia"/>
              </w:rPr>
              <w:t>保安人员未获得《保安员证》。</w:t>
            </w:r>
          </w:p>
        </w:tc>
        <w:tc>
          <w:tcPr>
            <w:tcW w:w="1217" w:type="pct"/>
            <w:vAlign w:val="center"/>
          </w:tcPr>
          <w:p>
            <w:pPr>
              <w:pStyle w:val="40"/>
              <w:ind w:left="100" w:right="100"/>
              <w:jc w:val="both"/>
            </w:pPr>
            <w:r>
              <w:rPr>
                <w:rFonts w:hint="eastAsia"/>
              </w:rPr>
              <w:t>《托育机构设置标准（试行）》第十八条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strike/>
                <w:kern w:val="0"/>
                <w:szCs w:val="20"/>
              </w:rPr>
            </w:pPr>
            <w:r>
              <w:rPr>
                <w:rFonts w:hint="eastAsia" w:ascii="宋体" w:hAnsi="宋体"/>
                <w:kern w:val="0"/>
                <w:szCs w:val="20"/>
              </w:rPr>
              <w:t>资格资质类</w:t>
            </w:r>
          </w:p>
        </w:tc>
        <w:tc>
          <w:tcPr>
            <w:tcW w:w="2128" w:type="pct"/>
            <w:vAlign w:val="center"/>
          </w:tcPr>
          <w:p>
            <w:pPr>
              <w:pStyle w:val="40"/>
              <w:ind w:left="100" w:right="100"/>
              <w:jc w:val="both"/>
            </w:pPr>
            <w:r>
              <w:rPr>
                <w:rFonts w:hint="eastAsia"/>
              </w:rPr>
              <w:t>派驻的保安公司未获得《保安服务许可证》。</w:t>
            </w:r>
          </w:p>
        </w:tc>
        <w:tc>
          <w:tcPr>
            <w:tcW w:w="1217" w:type="pct"/>
            <w:vAlign w:val="center"/>
          </w:tcPr>
          <w:p>
            <w:pPr>
              <w:pStyle w:val="40"/>
              <w:ind w:left="100" w:right="100"/>
              <w:jc w:val="both"/>
            </w:pPr>
            <w:r>
              <w:rPr>
                <w:rFonts w:hint="eastAsia"/>
              </w:rPr>
              <w:t>《托育机构设置标准（试行）》第十八条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人员类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人员配备类</w:t>
            </w:r>
          </w:p>
        </w:tc>
        <w:tc>
          <w:tcPr>
            <w:tcW w:w="2128" w:type="pct"/>
            <w:vAlign w:val="center"/>
          </w:tcPr>
          <w:p>
            <w:pPr>
              <w:pStyle w:val="40"/>
              <w:ind w:left="100" w:right="100"/>
              <w:jc w:val="both"/>
            </w:pPr>
            <w:r>
              <w:rPr>
                <w:rFonts w:hint="eastAsia"/>
              </w:rPr>
              <w:t>独立设置的托育机构少于1名保安人员在岗。</w:t>
            </w:r>
          </w:p>
        </w:tc>
        <w:tc>
          <w:tcPr>
            <w:tcW w:w="1217" w:type="pct"/>
            <w:vAlign w:val="center"/>
          </w:tcPr>
          <w:p>
            <w:pPr>
              <w:pStyle w:val="40"/>
              <w:ind w:left="100" w:right="100"/>
              <w:jc w:val="both"/>
            </w:pPr>
            <w:r>
              <w:rPr>
                <w:rFonts w:hint="eastAsia"/>
              </w:rPr>
              <w:t>《托育机构设置标准（试行）》第二十二条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人员配备类</w:t>
            </w:r>
          </w:p>
        </w:tc>
        <w:tc>
          <w:tcPr>
            <w:tcW w:w="2128" w:type="pct"/>
            <w:vAlign w:val="center"/>
          </w:tcPr>
          <w:p>
            <w:pPr>
              <w:pStyle w:val="40"/>
              <w:ind w:left="100" w:right="100"/>
              <w:jc w:val="both"/>
            </w:pPr>
            <w:r>
              <w:rPr>
                <w:rFonts w:hint="eastAsia"/>
              </w:rPr>
              <w:t>婴幼儿休息期间，托育机构未明确2名以上人员专门负责值班看护，未确保发生火灾事故时能够快速处置、及时疏散。</w:t>
            </w:r>
          </w:p>
        </w:tc>
        <w:tc>
          <w:tcPr>
            <w:tcW w:w="1217" w:type="pct"/>
            <w:vAlign w:val="center"/>
          </w:tcPr>
          <w:p>
            <w:pPr>
              <w:pStyle w:val="40"/>
              <w:ind w:left="100" w:right="100"/>
              <w:jc w:val="both"/>
            </w:pPr>
            <w:r>
              <w:rPr>
                <w:rFonts w:hint="eastAsia"/>
              </w:rPr>
              <w:t>《托育机构消防安全指南（试行）》（三十五）</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人员行为类</w:t>
            </w:r>
          </w:p>
        </w:tc>
        <w:tc>
          <w:tcPr>
            <w:tcW w:w="2128" w:type="pct"/>
            <w:vAlign w:val="center"/>
          </w:tcPr>
          <w:p>
            <w:pPr>
              <w:pStyle w:val="40"/>
              <w:ind w:left="100" w:right="100"/>
              <w:jc w:val="both"/>
            </w:pPr>
            <w:r>
              <w:rPr>
                <w:rFonts w:hint="eastAsia"/>
              </w:rPr>
              <w:t>人员在托育机构内使用蜡烛、蚊香、火炉、吸烟等明火，未设置明显的禁止标志。</w:t>
            </w:r>
          </w:p>
        </w:tc>
        <w:tc>
          <w:tcPr>
            <w:tcW w:w="1217" w:type="pct"/>
            <w:vAlign w:val="center"/>
          </w:tcPr>
          <w:p>
            <w:pPr>
              <w:pStyle w:val="40"/>
              <w:ind w:left="100" w:right="100"/>
              <w:jc w:val="both"/>
            </w:pPr>
            <w:r>
              <w:rPr>
                <w:rFonts w:hint="eastAsia"/>
              </w:rPr>
              <w:t>《托育机构消防安全指南（试行）》（十六）</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场所环境类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室外活动场地地面不平整、不防滑、有障碍、有尖锐凸出物、地质硬。</w:t>
            </w:r>
          </w:p>
        </w:tc>
        <w:tc>
          <w:tcPr>
            <w:tcW w:w="1217" w:type="pct"/>
            <w:vAlign w:val="center"/>
          </w:tcPr>
          <w:p>
            <w:pPr>
              <w:pStyle w:val="40"/>
              <w:ind w:left="100" w:right="100"/>
              <w:jc w:val="both"/>
            </w:pPr>
            <w:r>
              <w:rPr>
                <w:rFonts w:hint="eastAsia"/>
              </w:rPr>
              <w:t>JGJ 39-2016《托儿所、幼儿园建筑设计规范》第3.2.3条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幼儿出入的玻璃门未采用安全玻璃。</w:t>
            </w:r>
          </w:p>
        </w:tc>
        <w:tc>
          <w:tcPr>
            <w:tcW w:w="1217" w:type="pct"/>
            <w:vAlign w:val="center"/>
          </w:tcPr>
          <w:p>
            <w:pPr>
              <w:pStyle w:val="40"/>
              <w:ind w:left="100" w:right="100"/>
              <w:jc w:val="both"/>
            </w:pPr>
            <w:r>
              <w:rPr>
                <w:rFonts w:hint="eastAsia"/>
              </w:rPr>
              <w:t>JGJ 39-2016《托儿所、幼儿园建筑设计规范》第4.1.8条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幼儿进出的门下设门槛。</w:t>
            </w:r>
          </w:p>
        </w:tc>
        <w:tc>
          <w:tcPr>
            <w:tcW w:w="1217" w:type="pct"/>
            <w:vAlign w:val="center"/>
          </w:tcPr>
          <w:p>
            <w:pPr>
              <w:pStyle w:val="40"/>
              <w:ind w:left="100" w:right="100"/>
              <w:jc w:val="both"/>
            </w:pPr>
            <w:r>
              <w:rPr>
                <w:rFonts w:hint="eastAsia"/>
              </w:rPr>
              <w:t>JGJ 39-2016《托儿所、幼儿园建筑设计规范》第4.1.8条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幼儿进出的门设置为旋转门、弹簧门、推拉门。</w:t>
            </w:r>
          </w:p>
        </w:tc>
        <w:tc>
          <w:tcPr>
            <w:tcW w:w="1217" w:type="pct"/>
            <w:vAlign w:val="center"/>
          </w:tcPr>
          <w:p>
            <w:pPr>
              <w:pStyle w:val="40"/>
              <w:ind w:left="100" w:right="100"/>
              <w:jc w:val="both"/>
            </w:pPr>
            <w:r>
              <w:rPr>
                <w:rFonts w:hint="eastAsia"/>
              </w:rPr>
              <w:t>JGJ 39-2016《托儿所、幼儿园建筑设计规范》第4.1.8条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供幼儿使用的楼梯踏步高度大于0.13m。</w:t>
            </w:r>
          </w:p>
        </w:tc>
        <w:tc>
          <w:tcPr>
            <w:tcW w:w="1217" w:type="pct"/>
            <w:vAlign w:val="center"/>
          </w:tcPr>
          <w:p>
            <w:pPr>
              <w:pStyle w:val="40"/>
              <w:ind w:left="100" w:right="100"/>
              <w:jc w:val="both"/>
            </w:pPr>
            <w:r>
              <w:rPr>
                <w:rFonts w:hint="eastAsia"/>
              </w:rPr>
              <w:t>JGJ 39-2016《托儿所、幼儿园建筑设计规范》第4.1.11 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幼儿使用的楼梯，当楼梯井净宽度大于0.11m时，未采取防止幼儿攀滑措施。</w:t>
            </w:r>
          </w:p>
        </w:tc>
        <w:tc>
          <w:tcPr>
            <w:tcW w:w="1217" w:type="pct"/>
            <w:vAlign w:val="center"/>
          </w:tcPr>
          <w:p>
            <w:pPr>
              <w:pStyle w:val="40"/>
              <w:ind w:left="100" w:right="100"/>
              <w:jc w:val="both"/>
            </w:pPr>
            <w:r>
              <w:rPr>
                <w:rFonts w:hint="eastAsia"/>
              </w:rPr>
              <w:t>JGJ 39-2016《托儿所、幼儿园建筑设计规范》第4.1.12条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场所环境类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楼梯栏杆未采取不易攀爬的构造。</w:t>
            </w:r>
          </w:p>
        </w:tc>
        <w:tc>
          <w:tcPr>
            <w:tcW w:w="1217" w:type="pct"/>
            <w:vAlign w:val="center"/>
          </w:tcPr>
          <w:p>
            <w:pPr>
              <w:pStyle w:val="40"/>
              <w:ind w:left="100" w:right="100"/>
              <w:jc w:val="both"/>
            </w:pPr>
            <w:r>
              <w:rPr>
                <w:rFonts w:hint="eastAsia"/>
              </w:rPr>
              <w:t>JGJ 39-2016《托儿所、幼儿园建筑设计规范》第4.1.12条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当采用垂直杆件做栏杆时，其杆件净距大于0.09m。</w:t>
            </w:r>
          </w:p>
        </w:tc>
        <w:tc>
          <w:tcPr>
            <w:tcW w:w="1217" w:type="pct"/>
            <w:vAlign w:val="center"/>
          </w:tcPr>
          <w:p>
            <w:pPr>
              <w:pStyle w:val="40"/>
              <w:ind w:left="100" w:right="100"/>
              <w:jc w:val="both"/>
            </w:pPr>
            <w:r>
              <w:rPr>
                <w:rFonts w:hint="eastAsia"/>
              </w:rPr>
              <w:t>JGJ 39-2016《托儿所、幼儿园建筑设计规范》第4.1.12条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墙面、墙角、窗台、暖气罩、窗口竖边等阳角处未做成圆角。</w:t>
            </w:r>
          </w:p>
        </w:tc>
        <w:tc>
          <w:tcPr>
            <w:tcW w:w="1217" w:type="pct"/>
            <w:vAlign w:val="center"/>
          </w:tcPr>
          <w:p>
            <w:pPr>
              <w:pStyle w:val="40"/>
              <w:ind w:left="100" w:right="100"/>
              <w:jc w:val="both"/>
            </w:pPr>
            <w:r>
              <w:rPr>
                <w:rFonts w:hint="eastAsia"/>
              </w:rPr>
              <w:t>JGJ 39-2016《托儿所、幼儿园建筑设计规范》第4.1.10条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走廊宽度未符合要求。</w:t>
            </w:r>
          </w:p>
        </w:tc>
        <w:tc>
          <w:tcPr>
            <w:tcW w:w="1217" w:type="pct"/>
            <w:vAlign w:val="center"/>
          </w:tcPr>
          <w:p>
            <w:pPr>
              <w:pStyle w:val="40"/>
              <w:ind w:left="100" w:right="100"/>
              <w:jc w:val="both"/>
            </w:pPr>
            <w:r>
              <w:rPr>
                <w:rFonts w:hint="eastAsia"/>
              </w:rPr>
              <w:t>JGJ 39-2016《托儿所、幼儿园建筑设计规范》第4.1.14条（见附页2）</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厕所、盥洗室、淋浴室地面设有台阶。</w:t>
            </w:r>
          </w:p>
        </w:tc>
        <w:tc>
          <w:tcPr>
            <w:tcW w:w="1217" w:type="pct"/>
            <w:vAlign w:val="center"/>
          </w:tcPr>
          <w:p>
            <w:pPr>
              <w:pStyle w:val="40"/>
              <w:ind w:left="100" w:right="100"/>
              <w:jc w:val="both"/>
            </w:pPr>
            <w:r>
              <w:rPr>
                <w:rFonts w:hint="eastAsia"/>
              </w:rPr>
              <w:t>JGJ 39-2016《托儿所、幼儿园建筑设计规范》第4.3.14条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合建的托儿所采用耐火极限低于2.00h的防火隔墙和1.00h的楼板与其他场所或部位分隔。</w:t>
            </w:r>
          </w:p>
        </w:tc>
        <w:tc>
          <w:tcPr>
            <w:tcW w:w="1217" w:type="pct"/>
            <w:vAlign w:val="center"/>
          </w:tcPr>
          <w:p>
            <w:pPr>
              <w:pStyle w:val="40"/>
              <w:ind w:left="100" w:right="100"/>
              <w:jc w:val="both"/>
            </w:pPr>
            <w:r>
              <w:rPr>
                <w:rFonts w:hint="eastAsia"/>
              </w:rPr>
              <w:t>GB 50016-2014《建筑设计防火规范》第6.2.2条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采用防火等级低于乙级的门、窗。</w:t>
            </w:r>
          </w:p>
        </w:tc>
        <w:tc>
          <w:tcPr>
            <w:tcW w:w="1217" w:type="pct"/>
            <w:vAlign w:val="center"/>
          </w:tcPr>
          <w:p>
            <w:pPr>
              <w:pStyle w:val="40"/>
              <w:ind w:left="100" w:right="100"/>
              <w:jc w:val="both"/>
            </w:pPr>
            <w:r>
              <w:rPr>
                <w:rFonts w:hint="eastAsia"/>
              </w:rPr>
              <w:t>GB 50016-2014《建筑设计防火规范》第6.2.2条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四个班以上的托育机构建筑未独立设置。</w:t>
            </w:r>
          </w:p>
        </w:tc>
        <w:tc>
          <w:tcPr>
            <w:tcW w:w="1217" w:type="pct"/>
            <w:vAlign w:val="center"/>
          </w:tcPr>
          <w:p>
            <w:pPr>
              <w:pStyle w:val="40"/>
              <w:ind w:left="100" w:right="100"/>
              <w:jc w:val="both"/>
            </w:pPr>
            <w:r>
              <w:rPr>
                <w:rFonts w:hint="eastAsia"/>
              </w:rPr>
              <w:t>JGJ 39-2016《托儿所、幼儿园建筑设计规范》第3.2.2条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Align w:val="center"/>
          </w:tcPr>
          <w:p>
            <w:pPr>
              <w:adjustRightInd w:val="0"/>
              <w:snapToGrid w:val="0"/>
              <w:spacing w:line="240" w:lineRule="auto"/>
              <w:ind w:left="100" w:right="100"/>
              <w:jc w:val="center"/>
              <w:rPr>
                <w:rFonts w:ascii="宋体" w:hAnsi="宋体"/>
                <w:kern w:val="0"/>
                <w:szCs w:val="20"/>
              </w:rPr>
            </w:pPr>
          </w:p>
        </w:tc>
        <w:tc>
          <w:tcPr>
            <w:tcW w:w="437" w:type="pct"/>
            <w:vAlign w:val="center"/>
          </w:tcPr>
          <w:p>
            <w:pPr>
              <w:adjustRightInd w:val="0"/>
              <w:snapToGrid w:val="0"/>
              <w:spacing w:line="240" w:lineRule="auto"/>
              <w:ind w:left="100" w:right="100"/>
              <w:jc w:val="center"/>
              <w:rPr>
                <w:rFonts w:ascii="宋体" w:hAnsi="宋体"/>
                <w:strike/>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设置在独立的建筑内的托儿所儿童用房，不符合下列规定：</w:t>
            </w:r>
          </w:p>
          <w:p>
            <w:pPr>
              <w:pStyle w:val="40"/>
              <w:ind w:left="100" w:right="100"/>
              <w:jc w:val="both"/>
            </w:pPr>
            <w:r>
              <w:rPr>
                <w:rFonts w:hint="eastAsia"/>
              </w:rPr>
              <w:t>采用一、二级耐火等级的建筑时，不应超过3层；采用三级耐火等级的建筑时，不应超过2层；采用四级耐火等级的建筑时，应为单层。</w:t>
            </w:r>
          </w:p>
        </w:tc>
        <w:tc>
          <w:tcPr>
            <w:tcW w:w="1217" w:type="pct"/>
            <w:vAlign w:val="center"/>
          </w:tcPr>
          <w:p>
            <w:pPr>
              <w:pStyle w:val="40"/>
              <w:ind w:left="100" w:right="100"/>
              <w:jc w:val="both"/>
            </w:pPr>
            <w:r>
              <w:rPr>
                <w:rFonts w:hint="eastAsia"/>
              </w:rPr>
              <w:t>GB 50016-2014《建筑设计防火规范》第5.4.4条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Align w:val="center"/>
          </w:tcPr>
          <w:p>
            <w:pPr>
              <w:adjustRightInd w:val="0"/>
              <w:snapToGrid w:val="0"/>
              <w:spacing w:line="240" w:lineRule="auto"/>
              <w:ind w:left="100" w:right="100"/>
              <w:jc w:val="center"/>
              <w:rPr>
                <w:rFonts w:ascii="宋体" w:hAnsi="宋体"/>
                <w:kern w:val="0"/>
                <w:szCs w:val="20"/>
              </w:rPr>
            </w:pPr>
          </w:p>
        </w:tc>
        <w:tc>
          <w:tcPr>
            <w:tcW w:w="437" w:type="pct"/>
            <w:vAlign w:val="center"/>
          </w:tcPr>
          <w:p>
            <w:pPr>
              <w:adjustRightInd w:val="0"/>
              <w:snapToGrid w:val="0"/>
              <w:spacing w:line="240" w:lineRule="auto"/>
              <w:ind w:left="100" w:right="100"/>
              <w:jc w:val="center"/>
              <w:rPr>
                <w:rFonts w:ascii="宋体" w:hAnsi="宋体"/>
                <w:strike/>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三个班及以下的托育机构与居住、养老、教育、办公功能以外的建筑合建。</w:t>
            </w:r>
          </w:p>
        </w:tc>
        <w:tc>
          <w:tcPr>
            <w:tcW w:w="1217" w:type="pct"/>
            <w:vAlign w:val="center"/>
          </w:tcPr>
          <w:p>
            <w:pPr>
              <w:pStyle w:val="40"/>
              <w:ind w:left="100" w:right="100"/>
              <w:jc w:val="both"/>
            </w:pPr>
            <w:r>
              <w:rPr>
                <w:rFonts w:hint="eastAsia"/>
              </w:rPr>
              <w:t>JGJ 39-2016《托儿所、幼儿园建筑设计规范》第3.2.2条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Align w:val="center"/>
          </w:tcPr>
          <w:p>
            <w:pPr>
              <w:adjustRightInd w:val="0"/>
              <w:snapToGrid w:val="0"/>
              <w:spacing w:line="240" w:lineRule="auto"/>
              <w:ind w:left="100" w:right="100"/>
              <w:jc w:val="center"/>
              <w:rPr>
                <w:rFonts w:ascii="宋体" w:hAnsi="宋体"/>
                <w:kern w:val="0"/>
                <w:szCs w:val="20"/>
              </w:rPr>
            </w:pPr>
          </w:p>
        </w:tc>
        <w:tc>
          <w:tcPr>
            <w:tcW w:w="437" w:type="pct"/>
            <w:vAlign w:val="center"/>
          </w:tcPr>
          <w:p>
            <w:pPr>
              <w:adjustRightInd w:val="0"/>
              <w:snapToGrid w:val="0"/>
              <w:spacing w:line="240" w:lineRule="auto"/>
              <w:ind w:left="100" w:right="100"/>
              <w:jc w:val="center"/>
              <w:rPr>
                <w:rFonts w:ascii="宋体" w:hAnsi="宋体"/>
                <w:strike/>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托育机构确需与居住、养老、教育、办公建筑合建时，未经有关部门验收合格，或不符合抗震、防火等安全方面的规定；</w:t>
            </w:r>
          </w:p>
        </w:tc>
        <w:tc>
          <w:tcPr>
            <w:tcW w:w="1217" w:type="pct"/>
            <w:vAlign w:val="center"/>
          </w:tcPr>
          <w:p>
            <w:pPr>
              <w:pStyle w:val="40"/>
              <w:ind w:left="100" w:right="100"/>
              <w:jc w:val="both"/>
            </w:pPr>
            <w:r>
              <w:rPr>
                <w:rFonts w:hint="eastAsia"/>
              </w:rPr>
              <w:t>GB 50016-2014《建筑设计防火规范》第5.4.4条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Align w:val="center"/>
          </w:tcPr>
          <w:p>
            <w:pPr>
              <w:adjustRightInd w:val="0"/>
              <w:snapToGrid w:val="0"/>
              <w:spacing w:line="240" w:lineRule="auto"/>
              <w:ind w:left="100" w:right="100"/>
              <w:jc w:val="center"/>
              <w:rPr>
                <w:rFonts w:ascii="宋体" w:hAnsi="宋体"/>
                <w:kern w:val="0"/>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托育机构设置在“三合一”场所（住宿与生产、储存、经营合用场所）和彩钢板建筑内，与生产、储存、经营易燃易爆危险品场所设置在同一建筑物内。</w:t>
            </w:r>
          </w:p>
        </w:tc>
        <w:tc>
          <w:tcPr>
            <w:tcW w:w="1217" w:type="pct"/>
            <w:vAlign w:val="center"/>
          </w:tcPr>
          <w:p>
            <w:pPr>
              <w:pStyle w:val="40"/>
              <w:ind w:left="100" w:right="100"/>
              <w:jc w:val="both"/>
            </w:pPr>
            <w:r>
              <w:rPr>
                <w:rFonts w:hint="eastAsia"/>
              </w:rPr>
              <w:t>《托育机构消防安全指南（试行）》（二）</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Align w:val="center"/>
          </w:tcPr>
          <w:p>
            <w:pPr>
              <w:adjustRightInd w:val="0"/>
              <w:snapToGrid w:val="0"/>
              <w:spacing w:line="240" w:lineRule="auto"/>
              <w:ind w:left="100" w:right="100"/>
              <w:jc w:val="center"/>
              <w:rPr>
                <w:rFonts w:ascii="宋体" w:hAnsi="宋体"/>
                <w:kern w:val="0"/>
                <w:szCs w:val="20"/>
              </w:rPr>
            </w:pPr>
          </w:p>
        </w:tc>
        <w:tc>
          <w:tcPr>
            <w:tcW w:w="437" w:type="pct"/>
            <w:vAlign w:val="center"/>
          </w:tcPr>
          <w:p>
            <w:pPr>
              <w:adjustRightInd w:val="0"/>
              <w:snapToGrid w:val="0"/>
              <w:spacing w:line="240" w:lineRule="auto"/>
              <w:ind w:left="0" w:leftChars="0" w:right="100"/>
              <w:jc w:val="center"/>
              <w:rPr>
                <w:rFonts w:ascii="宋体" w:hAnsi="宋体"/>
                <w:kern w:val="0"/>
                <w:szCs w:val="20"/>
              </w:rPr>
            </w:pPr>
            <w:r>
              <w:rPr>
                <w:rFonts w:hint="eastAsia" w:ascii="宋体" w:hAnsi="宋体"/>
                <w:kern w:val="0"/>
                <w:szCs w:val="20"/>
              </w:rPr>
              <w:t>建（构）筑物类</w:t>
            </w:r>
          </w:p>
        </w:tc>
        <w:tc>
          <w:tcPr>
            <w:tcW w:w="2128" w:type="pct"/>
            <w:vAlign w:val="center"/>
          </w:tcPr>
          <w:p>
            <w:pPr>
              <w:pStyle w:val="40"/>
              <w:ind w:left="100" w:right="100"/>
              <w:jc w:val="both"/>
            </w:pPr>
            <w:r>
              <w:rPr>
                <w:rFonts w:hint="eastAsia"/>
              </w:rPr>
              <w:t>托育机构确需设置在其他民用建筑内时，不符合下列规定：</w:t>
            </w:r>
          </w:p>
          <w:p>
            <w:pPr>
              <w:pStyle w:val="40"/>
              <w:ind w:left="100" w:right="100"/>
              <w:jc w:val="both"/>
            </w:pPr>
            <w:r>
              <w:rPr>
                <w:rFonts w:hint="eastAsia"/>
              </w:rPr>
              <w:t>1 设置在一、二级耐火等级的建筑内时，应布置在首层、二层或三层；</w:t>
            </w:r>
          </w:p>
          <w:p>
            <w:pPr>
              <w:pStyle w:val="40"/>
              <w:ind w:left="100" w:right="100"/>
              <w:jc w:val="both"/>
            </w:pPr>
            <w:r>
              <w:rPr>
                <w:rFonts w:hint="eastAsia"/>
              </w:rPr>
              <w:t>2 设置在三级耐火等级的建筑内时，应布置在首层或二层；</w:t>
            </w:r>
          </w:p>
          <w:p>
            <w:pPr>
              <w:pStyle w:val="40"/>
              <w:ind w:left="100" w:right="100"/>
              <w:jc w:val="both"/>
            </w:pPr>
            <w:r>
              <w:rPr>
                <w:rFonts w:hint="eastAsia"/>
              </w:rPr>
              <w:t>3 设置在四级耐火等级的建筑内时，应布置在首层。</w:t>
            </w:r>
          </w:p>
        </w:tc>
        <w:tc>
          <w:tcPr>
            <w:tcW w:w="1217" w:type="pct"/>
            <w:vAlign w:val="center"/>
          </w:tcPr>
          <w:p>
            <w:pPr>
              <w:pStyle w:val="40"/>
              <w:ind w:left="100" w:right="100"/>
              <w:jc w:val="both"/>
            </w:pPr>
            <w:r>
              <w:rPr>
                <w:rFonts w:hint="eastAsia"/>
              </w:rPr>
              <w:t>GB 50016-2014《建筑设计防火规范》第5.4.4条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Align w:val="center"/>
          </w:tcPr>
          <w:p>
            <w:pPr>
              <w:adjustRightInd w:val="0"/>
              <w:snapToGrid w:val="0"/>
              <w:spacing w:line="240" w:lineRule="auto"/>
              <w:ind w:left="100" w:right="100"/>
              <w:jc w:val="center"/>
              <w:rPr>
                <w:rFonts w:ascii="宋体" w:hAnsi="宋体"/>
                <w:kern w:val="0"/>
                <w:szCs w:val="20"/>
              </w:rPr>
            </w:pPr>
          </w:p>
        </w:tc>
        <w:tc>
          <w:tcPr>
            <w:tcW w:w="437" w:type="pct"/>
            <w:vAlign w:val="center"/>
          </w:tcPr>
          <w:p>
            <w:pPr>
              <w:adjustRightInd w:val="0"/>
              <w:snapToGrid w:val="0"/>
              <w:spacing w:line="240" w:lineRule="auto"/>
              <w:ind w:left="100" w:right="100"/>
              <w:jc w:val="center"/>
              <w:rPr>
                <w:rFonts w:ascii="宋体" w:hAnsi="宋体"/>
                <w:strike/>
                <w:kern w:val="0"/>
                <w:szCs w:val="20"/>
              </w:rPr>
            </w:pPr>
            <w:r>
              <w:rPr>
                <w:rFonts w:hint="eastAsia" w:ascii="宋体" w:hAnsi="宋体"/>
                <w:kern w:val="0"/>
                <w:szCs w:val="20"/>
              </w:rPr>
              <w:t>功能用房分布类</w:t>
            </w:r>
          </w:p>
        </w:tc>
        <w:tc>
          <w:tcPr>
            <w:tcW w:w="2128" w:type="pct"/>
            <w:vAlign w:val="center"/>
          </w:tcPr>
          <w:p>
            <w:pPr>
              <w:pStyle w:val="40"/>
              <w:ind w:left="100" w:right="100"/>
              <w:jc w:val="both"/>
            </w:pPr>
            <w:r>
              <w:rPr>
                <w:rFonts w:hint="eastAsia"/>
              </w:rPr>
              <w:t>托育机构生活用房，不符合下列规定：</w:t>
            </w:r>
          </w:p>
          <w:p>
            <w:pPr>
              <w:pStyle w:val="40"/>
              <w:ind w:left="100" w:right="100"/>
              <w:jc w:val="both"/>
            </w:pPr>
            <w:r>
              <w:rPr>
                <w:rFonts w:hint="eastAsia"/>
              </w:rPr>
              <w:t>1. 生活用房不应设置在地下室或半地下室；</w:t>
            </w:r>
          </w:p>
          <w:p>
            <w:pPr>
              <w:pStyle w:val="40"/>
              <w:ind w:left="100" w:right="100"/>
              <w:jc w:val="both"/>
            </w:pPr>
            <w:r>
              <w:rPr>
                <w:rFonts w:hint="eastAsia"/>
              </w:rPr>
              <w:t>2. 生活用房应布置在首层。当布置在首层确有困难时，可将托大班以外的生活用房布置在二层，其人数不应超过60人，并应符合有关防火安全疏散的规定。</w:t>
            </w:r>
          </w:p>
        </w:tc>
        <w:tc>
          <w:tcPr>
            <w:tcW w:w="1217" w:type="pct"/>
            <w:vAlign w:val="center"/>
          </w:tcPr>
          <w:p>
            <w:pPr>
              <w:pStyle w:val="40"/>
              <w:ind w:left="100" w:right="100"/>
              <w:jc w:val="both"/>
            </w:pPr>
            <w:r>
              <w:rPr>
                <w:rFonts w:hint="eastAsia"/>
              </w:rPr>
              <w:t>JGJ 39-2016《托儿所、幼儿园建筑设计规范》第4.1.3 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场所环境类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合建的托育机构未设有独立的疏散楼梯和安全出口。</w:t>
            </w:r>
          </w:p>
        </w:tc>
        <w:tc>
          <w:tcPr>
            <w:tcW w:w="1217" w:type="pct"/>
            <w:vAlign w:val="center"/>
          </w:tcPr>
          <w:p>
            <w:pPr>
              <w:pStyle w:val="40"/>
              <w:ind w:left="100" w:right="100"/>
              <w:jc w:val="both"/>
            </w:pPr>
            <w:r>
              <w:rPr>
                <w:rFonts w:hint="eastAsia"/>
              </w:rPr>
              <w:t>JGJ 39-2016《托儿所、幼儿园建筑设计规范》第3.2.2条</w:t>
            </w:r>
          </w:p>
          <w:p>
            <w:pPr>
              <w:pStyle w:val="40"/>
              <w:ind w:left="100" w:right="100"/>
              <w:jc w:val="both"/>
            </w:pPr>
            <w:r>
              <w:rPr>
                <w:rFonts w:hint="eastAsia"/>
              </w:rPr>
              <w:t>GB 50016-2014《建筑设计防火规范》第5.4.4条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合建的托育机构未在出入口设置人员安全集散和车辆停靠的空间。</w:t>
            </w:r>
          </w:p>
        </w:tc>
        <w:tc>
          <w:tcPr>
            <w:tcW w:w="1217" w:type="pct"/>
            <w:vAlign w:val="center"/>
          </w:tcPr>
          <w:p>
            <w:pPr>
              <w:pStyle w:val="40"/>
              <w:ind w:left="100" w:right="100"/>
              <w:jc w:val="both"/>
            </w:pPr>
            <w:r>
              <w:rPr>
                <w:rFonts w:hint="eastAsia"/>
              </w:rPr>
              <w:t>JGJ 39-2016《托儿所、幼儿园建筑设计规范》第3.2.2条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合建的托育机构没有独立的室外活动场地、未采取隔离措施。</w:t>
            </w:r>
          </w:p>
        </w:tc>
        <w:tc>
          <w:tcPr>
            <w:tcW w:w="1217" w:type="pct"/>
            <w:vAlign w:val="center"/>
          </w:tcPr>
          <w:p>
            <w:pPr>
              <w:pStyle w:val="40"/>
              <w:ind w:left="100" w:right="100"/>
              <w:jc w:val="both"/>
            </w:pPr>
            <w:r>
              <w:rPr>
                <w:rFonts w:hint="eastAsia"/>
              </w:rPr>
              <w:t>JGJ 39-2016《托儿所、幼儿园建筑设计规范》第3.2.2条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大门出入口设置在城市干道一侧。</w:t>
            </w:r>
          </w:p>
        </w:tc>
        <w:tc>
          <w:tcPr>
            <w:tcW w:w="1217" w:type="pct"/>
            <w:vAlign w:val="center"/>
          </w:tcPr>
          <w:p>
            <w:pPr>
              <w:pStyle w:val="40"/>
              <w:ind w:left="100" w:right="100"/>
              <w:jc w:val="both"/>
            </w:pPr>
            <w:r>
              <w:rPr>
                <w:rFonts w:hint="eastAsia"/>
              </w:rPr>
              <w:t>JGJ 39-2016《托儿所、幼儿园建筑设计规范》第3.2.7条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在首层的楼梯间、疏散门未直通室外。</w:t>
            </w:r>
          </w:p>
        </w:tc>
        <w:tc>
          <w:tcPr>
            <w:tcW w:w="1217" w:type="pct"/>
            <w:vAlign w:val="center"/>
          </w:tcPr>
          <w:p>
            <w:pPr>
              <w:pStyle w:val="40"/>
              <w:ind w:left="100" w:right="100"/>
              <w:jc w:val="both"/>
            </w:pPr>
            <w:r>
              <w:rPr>
                <w:rFonts w:hint="eastAsia"/>
              </w:rPr>
              <w:t>JGJ 39-2016《托儿所、幼儿园建筑设计规范》第4.1.11条、 GB 50016-2014《建筑设计防火规范》第8.1.6条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安全疏散走道设有台阶。</w:t>
            </w:r>
          </w:p>
        </w:tc>
        <w:tc>
          <w:tcPr>
            <w:tcW w:w="1217" w:type="pct"/>
            <w:vAlign w:val="center"/>
          </w:tcPr>
          <w:p>
            <w:pPr>
              <w:pStyle w:val="40"/>
              <w:ind w:left="100" w:right="100"/>
              <w:jc w:val="both"/>
            </w:pPr>
            <w:r>
              <w:rPr>
                <w:rFonts w:hint="eastAsia"/>
              </w:rPr>
              <w:t>JGJ 39-2016《托儿所、幼儿园建筑设计规范》第4.1.13条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restar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场所环境类</w:t>
            </w: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疏散通道的墙面距地面2m以下安置有突出物。</w:t>
            </w:r>
          </w:p>
        </w:tc>
        <w:tc>
          <w:tcPr>
            <w:tcW w:w="1217" w:type="pct"/>
            <w:vAlign w:val="center"/>
          </w:tcPr>
          <w:p>
            <w:pPr>
              <w:pStyle w:val="40"/>
              <w:ind w:left="100" w:right="100"/>
              <w:jc w:val="both"/>
            </w:pPr>
            <w:r>
              <w:rPr>
                <w:rFonts w:hint="eastAsia"/>
              </w:rPr>
              <w:t>JGJ 39-2016《托儿所、幼儿园建筑设计规范》第4.1.13条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每个防火分区或一个防火分区的每个楼层少于2个。</w:t>
            </w:r>
          </w:p>
        </w:tc>
        <w:tc>
          <w:tcPr>
            <w:tcW w:w="1217" w:type="pct"/>
            <w:vAlign w:val="center"/>
          </w:tcPr>
          <w:p>
            <w:pPr>
              <w:pStyle w:val="40"/>
              <w:ind w:left="100" w:right="100"/>
              <w:jc w:val="both"/>
            </w:pPr>
            <w:r>
              <w:rPr>
                <w:rFonts w:hint="eastAsia"/>
              </w:rPr>
              <w:t>GB 50016-2014《建筑设计防火规范》第5.5.8条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直通疏散走道的房间疏散门距离安全出口的直线距离过大。</w:t>
            </w:r>
          </w:p>
        </w:tc>
        <w:tc>
          <w:tcPr>
            <w:tcW w:w="1217" w:type="pct"/>
            <w:vAlign w:val="center"/>
          </w:tcPr>
          <w:p>
            <w:pPr>
              <w:pStyle w:val="40"/>
              <w:ind w:left="100" w:right="100"/>
              <w:jc w:val="both"/>
            </w:pPr>
            <w:r>
              <w:rPr>
                <w:rFonts w:hint="eastAsia"/>
              </w:rPr>
              <w:t>GB 50016-2014《建筑设计防火规范》第5.5.17（见附页3）</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2128" w:type="pct"/>
            <w:vAlign w:val="center"/>
          </w:tcPr>
          <w:p>
            <w:pPr>
              <w:pStyle w:val="40"/>
              <w:ind w:left="100" w:right="100"/>
              <w:jc w:val="both"/>
            </w:pPr>
            <w:r>
              <w:rPr>
                <w:rFonts w:hint="eastAsia"/>
              </w:rPr>
              <w:t>疏散楼梯间及通道堆放杂物等。</w:t>
            </w:r>
          </w:p>
        </w:tc>
        <w:tc>
          <w:tcPr>
            <w:tcW w:w="1217" w:type="pct"/>
            <w:vAlign w:val="center"/>
          </w:tcPr>
          <w:p>
            <w:pPr>
              <w:pStyle w:val="40"/>
              <w:ind w:left="100" w:right="100"/>
              <w:jc w:val="both"/>
            </w:pPr>
            <w:r>
              <w:rPr>
                <w:rFonts w:hint="eastAsia"/>
              </w:rPr>
              <w:t>GB 50016-2014《建筑设计防火规范》第6.4.1条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周边环境类</w:t>
            </w:r>
          </w:p>
        </w:tc>
        <w:tc>
          <w:tcPr>
            <w:tcW w:w="2128" w:type="pct"/>
            <w:vAlign w:val="center"/>
          </w:tcPr>
          <w:p>
            <w:pPr>
              <w:pStyle w:val="40"/>
              <w:ind w:left="100" w:right="100"/>
              <w:jc w:val="both"/>
            </w:pPr>
            <w:r>
              <w:rPr>
                <w:rFonts w:hint="eastAsia"/>
              </w:rPr>
              <w:t>托育机构建设在易发生自然地质灾害的地方。</w:t>
            </w:r>
          </w:p>
        </w:tc>
        <w:tc>
          <w:tcPr>
            <w:tcW w:w="1217" w:type="pct"/>
            <w:vAlign w:val="center"/>
          </w:tcPr>
          <w:p>
            <w:pPr>
              <w:pStyle w:val="40"/>
              <w:ind w:left="100" w:right="100"/>
              <w:jc w:val="both"/>
            </w:pPr>
            <w:r>
              <w:rPr>
                <w:rFonts w:hint="eastAsia"/>
              </w:rPr>
              <w:t>JGJ 39-2016《托儿所、幼儿园建筑设计规范》第3.1.2条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周边环境类</w:t>
            </w:r>
          </w:p>
        </w:tc>
        <w:tc>
          <w:tcPr>
            <w:tcW w:w="2128" w:type="pct"/>
            <w:vAlign w:val="center"/>
          </w:tcPr>
          <w:p>
            <w:pPr>
              <w:pStyle w:val="40"/>
              <w:ind w:left="100" w:right="100"/>
              <w:jc w:val="both"/>
            </w:pPr>
            <w:r>
              <w:rPr>
                <w:rFonts w:hint="eastAsia"/>
              </w:rPr>
              <w:t>托育机构与危险建筑物的安全距离不达标。</w:t>
            </w:r>
          </w:p>
        </w:tc>
        <w:tc>
          <w:tcPr>
            <w:tcW w:w="1217" w:type="pct"/>
            <w:vAlign w:val="center"/>
          </w:tcPr>
          <w:p>
            <w:pPr>
              <w:pStyle w:val="40"/>
              <w:ind w:left="100" w:right="100"/>
              <w:jc w:val="both"/>
            </w:pPr>
            <w:r>
              <w:rPr>
                <w:rFonts w:hint="eastAsia"/>
              </w:rPr>
              <w:t>JGJ 39-2016《托儿所、幼儿园建筑设计规范》第3.1.2条（见附页4）</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周边环境类</w:t>
            </w:r>
          </w:p>
        </w:tc>
        <w:tc>
          <w:tcPr>
            <w:tcW w:w="2128" w:type="pct"/>
            <w:vAlign w:val="center"/>
          </w:tcPr>
          <w:p>
            <w:pPr>
              <w:pStyle w:val="40"/>
              <w:ind w:left="100" w:right="100"/>
              <w:jc w:val="both"/>
            </w:pPr>
            <w:r>
              <w:rPr>
                <w:rFonts w:hint="eastAsia"/>
              </w:rPr>
              <w:t>托育机构与人流密集场所毗邻。</w:t>
            </w:r>
          </w:p>
        </w:tc>
        <w:tc>
          <w:tcPr>
            <w:tcW w:w="1217" w:type="pct"/>
            <w:vAlign w:val="center"/>
          </w:tcPr>
          <w:p>
            <w:pPr>
              <w:pStyle w:val="40"/>
              <w:ind w:left="100" w:right="100"/>
              <w:jc w:val="both"/>
            </w:pPr>
            <w:r>
              <w:rPr>
                <w:rFonts w:hint="eastAsia"/>
              </w:rPr>
              <w:t>JGJ 39-2016《托儿所、幼儿园建筑设计规范》第3.1.2条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周边环境类</w:t>
            </w:r>
          </w:p>
        </w:tc>
        <w:tc>
          <w:tcPr>
            <w:tcW w:w="2128" w:type="pct"/>
            <w:vAlign w:val="center"/>
          </w:tcPr>
          <w:p>
            <w:pPr>
              <w:pStyle w:val="40"/>
              <w:ind w:left="100" w:right="100"/>
              <w:jc w:val="both"/>
            </w:pPr>
            <w:r>
              <w:rPr>
                <w:rFonts w:hint="eastAsia"/>
              </w:rPr>
              <w:t>托育机构院内设有高压输电线、有燃气、输油管道主干道穿过。</w:t>
            </w:r>
          </w:p>
        </w:tc>
        <w:tc>
          <w:tcPr>
            <w:tcW w:w="1217" w:type="pct"/>
            <w:vAlign w:val="center"/>
          </w:tcPr>
          <w:p>
            <w:pPr>
              <w:pStyle w:val="40"/>
              <w:ind w:left="100" w:right="100"/>
              <w:jc w:val="both"/>
            </w:pPr>
            <w:r>
              <w:rPr>
                <w:rFonts w:hint="eastAsia"/>
              </w:rPr>
              <w:t>JGJ 39-2016《托儿所、幼儿园建筑设计规范》第3.1.2条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院内环境类</w:t>
            </w:r>
          </w:p>
        </w:tc>
        <w:tc>
          <w:tcPr>
            <w:tcW w:w="2128" w:type="pct"/>
            <w:vAlign w:val="center"/>
          </w:tcPr>
          <w:p>
            <w:pPr>
              <w:pStyle w:val="40"/>
              <w:ind w:left="100" w:right="100"/>
              <w:jc w:val="both"/>
            </w:pPr>
            <w:r>
              <w:rPr>
                <w:rFonts w:hint="eastAsia"/>
              </w:rPr>
              <w:t>绿地内种植有毒、带刺等植物。</w:t>
            </w:r>
          </w:p>
        </w:tc>
        <w:tc>
          <w:tcPr>
            <w:tcW w:w="1217" w:type="pct"/>
            <w:vAlign w:val="center"/>
          </w:tcPr>
          <w:p>
            <w:pPr>
              <w:pStyle w:val="40"/>
              <w:ind w:left="100" w:right="100"/>
              <w:jc w:val="both"/>
            </w:pPr>
            <w:r>
              <w:rPr>
                <w:rFonts w:hint="eastAsia"/>
              </w:rPr>
              <w:t>JGJ 39-2016《托儿所、幼儿园建筑设计规范》第3.2.4条</w:t>
            </w:r>
          </w:p>
        </w:tc>
        <w:tc>
          <w:tcPr>
            <w:tcW w:w="335" w:type="pct"/>
            <w:vAlign w:val="center"/>
          </w:tcPr>
          <w:p>
            <w:pPr>
              <w:adjustRightInd w:val="0"/>
              <w:snapToGrid w:val="0"/>
              <w:spacing w:line="240" w:lineRule="auto"/>
              <w:ind w:left="100" w:right="100"/>
              <w:jc w:val="center"/>
              <w:rPr>
                <w:rFonts w:ascii="宋体" w:hAnsi="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bidi="mn-Mong-CN"/>
              </w:rPr>
            </w:pPr>
          </w:p>
        </w:tc>
        <w:tc>
          <w:tcPr>
            <w:tcW w:w="304" w:type="pct"/>
            <w:vMerge w:val="continue"/>
            <w:vAlign w:val="center"/>
          </w:tcPr>
          <w:p>
            <w:pPr>
              <w:adjustRightInd w:val="0"/>
              <w:snapToGrid w:val="0"/>
              <w:spacing w:line="240" w:lineRule="auto"/>
              <w:ind w:left="100" w:right="100"/>
              <w:jc w:val="both"/>
              <w:rPr>
                <w:rFonts w:ascii="宋体" w:hAnsi="宋体"/>
                <w:szCs w:val="20"/>
              </w:rPr>
            </w:pPr>
          </w:p>
        </w:tc>
        <w:tc>
          <w:tcPr>
            <w:tcW w:w="437" w:type="pct"/>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院内环境类</w:t>
            </w:r>
          </w:p>
        </w:tc>
        <w:tc>
          <w:tcPr>
            <w:tcW w:w="2128" w:type="pct"/>
            <w:vAlign w:val="center"/>
          </w:tcPr>
          <w:p>
            <w:pPr>
              <w:pStyle w:val="40"/>
              <w:ind w:left="100" w:right="100"/>
              <w:jc w:val="both"/>
            </w:pPr>
            <w:r>
              <w:rPr>
                <w:rFonts w:hint="eastAsia"/>
              </w:rPr>
              <w:t>托育机构所在位置未充分考虑消防车道。</w:t>
            </w:r>
          </w:p>
        </w:tc>
        <w:tc>
          <w:tcPr>
            <w:tcW w:w="1217" w:type="pct"/>
            <w:vAlign w:val="center"/>
          </w:tcPr>
          <w:p>
            <w:pPr>
              <w:pStyle w:val="40"/>
              <w:ind w:left="100" w:right="100"/>
              <w:jc w:val="both"/>
            </w:pPr>
            <w:r>
              <w:rPr>
                <w:rFonts w:hint="eastAsia"/>
              </w:rPr>
              <w:t>GB 50016-2014《建筑设计防火规范》第7.1.1条</w:t>
            </w:r>
          </w:p>
        </w:tc>
        <w:tc>
          <w:tcPr>
            <w:tcW w:w="335" w:type="pct"/>
            <w:vAlign w:val="center"/>
          </w:tcPr>
          <w:p>
            <w:pPr>
              <w:adjustRightInd w:val="0"/>
              <w:snapToGrid w:val="0"/>
              <w:spacing w:line="240" w:lineRule="auto"/>
              <w:ind w:left="100" w:right="100"/>
              <w:jc w:val="center"/>
              <w:rPr>
                <w:rFonts w:ascii="宋体" w:hAnsi="宋体"/>
                <w:kern w:val="0"/>
                <w:szCs w:val="20"/>
              </w:rPr>
            </w:pPr>
          </w:p>
        </w:tc>
      </w:tr>
    </w:tbl>
    <w:p>
      <w:pPr>
        <w:adjustRightInd w:val="0"/>
        <w:snapToGrid w:val="0"/>
        <w:ind w:left="100" w:right="100"/>
      </w:pPr>
      <w:r>
        <w:br w:type="page"/>
      </w:r>
    </w:p>
    <w:p>
      <w:pPr>
        <w:adjustRightInd w:val="0"/>
        <w:snapToGrid w:val="0"/>
        <w:ind w:left="100" w:right="100"/>
        <w:jc w:val="center"/>
        <w:rPr>
          <w:rFonts w:ascii="Times New Roman" w:hAnsi="Times New Roman"/>
          <w:b/>
          <w:bCs/>
          <w:sz w:val="28"/>
          <w:szCs w:val="28"/>
        </w:rPr>
      </w:pPr>
      <w:r>
        <w:rPr>
          <w:rFonts w:hint="eastAsia" w:ascii="Times New Roman" w:hAnsi="Times New Roman"/>
          <w:b/>
          <w:bCs/>
          <w:sz w:val="28"/>
          <w:szCs w:val="28"/>
        </w:rPr>
        <w:t>附表</w:t>
      </w:r>
      <w:r>
        <w:rPr>
          <w:rFonts w:ascii="Times New Roman" w:hAnsi="Times New Roman"/>
          <w:b/>
          <w:bCs/>
          <w:sz w:val="28"/>
          <w:szCs w:val="28"/>
        </w:rPr>
        <w:t xml:space="preserve">1 </w:t>
      </w:r>
      <w:r>
        <w:rPr>
          <w:rFonts w:hint="eastAsia" w:ascii="Times New Roman" w:hAnsi="Times New Roman"/>
          <w:b/>
          <w:bCs/>
          <w:sz w:val="28"/>
          <w:szCs w:val="28"/>
        </w:rPr>
        <w:t>托育机构生活用房换气次数与人员所需最小新风量</w:t>
      </w:r>
    </w:p>
    <w:p>
      <w:pPr>
        <w:adjustRightInd w:val="0"/>
        <w:snapToGrid w:val="0"/>
        <w:ind w:left="100" w:right="100"/>
        <w:jc w:val="center"/>
      </w:pPr>
      <w:r>
        <w:drawing>
          <wp:inline distT="0" distB="0" distL="0" distR="0">
            <wp:extent cx="4016375" cy="1851660"/>
            <wp:effectExtent l="0" t="0" r="3175" b="0"/>
            <wp:docPr id="16" name="图片 16" descr="3e2802ab8bed33d33e7baba5b5ec7a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3e2802ab8bed33d33e7baba5b5ec7ab"/>
                    <pic:cNvPicPr>
                      <a:picLocks noChangeAspect="true" noChangeArrowheads="true"/>
                    </pic:cNvPicPr>
                  </pic:nvPicPr>
                  <pic:blipFill>
                    <a:blip r:embed="rId14">
                      <a:extLst>
                        <a:ext uri="{28A0092B-C50C-407E-A947-70E740481C1C}">
                          <a14:useLocalDpi xmlns:a14="http://schemas.microsoft.com/office/drawing/2010/main" val="false"/>
                        </a:ext>
                      </a:extLst>
                    </a:blip>
                    <a:srcRect t="7602" r="-21"/>
                    <a:stretch>
                      <a:fillRect/>
                    </a:stretch>
                  </pic:blipFill>
                  <pic:spPr>
                    <a:xfrm>
                      <a:off x="0" y="0"/>
                      <a:ext cx="4016375" cy="1851660"/>
                    </a:xfrm>
                    <a:prstGeom prst="rect">
                      <a:avLst/>
                    </a:prstGeom>
                    <a:noFill/>
                    <a:ln>
                      <a:noFill/>
                    </a:ln>
                  </pic:spPr>
                </pic:pic>
              </a:graphicData>
            </a:graphic>
          </wp:inline>
        </w:drawing>
      </w:r>
    </w:p>
    <w:p>
      <w:pPr>
        <w:adjustRightInd w:val="0"/>
        <w:snapToGrid w:val="0"/>
        <w:ind w:left="100" w:right="100"/>
        <w:jc w:val="center"/>
        <w:rPr>
          <w:rFonts w:ascii="Times New Roman" w:hAnsi="Times New Roman"/>
          <w:b/>
          <w:bCs/>
          <w:sz w:val="28"/>
          <w:szCs w:val="28"/>
        </w:rPr>
      </w:pPr>
      <w:r>
        <w:rPr>
          <w:rFonts w:hint="eastAsia" w:ascii="Times New Roman" w:hAnsi="Times New Roman"/>
          <w:b/>
          <w:bCs/>
          <w:sz w:val="28"/>
          <w:szCs w:val="28"/>
        </w:rPr>
        <w:t>附表</w:t>
      </w:r>
      <w:r>
        <w:rPr>
          <w:rFonts w:ascii="Times New Roman" w:hAnsi="Times New Roman"/>
          <w:b/>
          <w:bCs/>
          <w:sz w:val="28"/>
          <w:szCs w:val="28"/>
        </w:rPr>
        <w:t xml:space="preserve"> 2 </w:t>
      </w:r>
      <w:r>
        <w:rPr>
          <w:rFonts w:hint="eastAsia" w:ascii="Times New Roman" w:hAnsi="Times New Roman"/>
          <w:b/>
          <w:bCs/>
          <w:sz w:val="28"/>
          <w:szCs w:val="28"/>
        </w:rPr>
        <w:t>托育机构建筑走廊最小净宽度（</w:t>
      </w:r>
      <w:r>
        <w:rPr>
          <w:rFonts w:ascii="Times New Roman" w:hAnsi="Times New Roman"/>
          <w:b/>
          <w:bCs/>
          <w:sz w:val="28"/>
          <w:szCs w:val="28"/>
        </w:rPr>
        <w:t>m</w:t>
      </w:r>
      <w:r>
        <w:rPr>
          <w:rFonts w:hint="eastAsia" w:ascii="Times New Roman" w:hAnsi="Times New Roman"/>
          <w:b/>
          <w:bCs/>
          <w:sz w:val="28"/>
          <w:szCs w:val="28"/>
        </w:rPr>
        <w:t>）</w:t>
      </w:r>
    </w:p>
    <w:p>
      <w:pPr>
        <w:adjustRightInd w:val="0"/>
        <w:snapToGrid w:val="0"/>
        <w:ind w:left="100" w:right="100"/>
        <w:jc w:val="center"/>
      </w:pPr>
      <w:r>
        <w:drawing>
          <wp:inline distT="0" distB="0" distL="0" distR="0">
            <wp:extent cx="4131945" cy="995680"/>
            <wp:effectExtent l="0" t="0" r="1905" b="0"/>
            <wp:docPr id="15" name="图片 15" descr="f5b68bc5d82a5b2a8584ce9234330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f5b68bc5d82a5b2a8584ce923433050"/>
                    <pic:cNvPicPr>
                      <a:picLocks noChangeAspect="true" noChangeArrowheads="true"/>
                    </pic:cNvPicPr>
                  </pic:nvPicPr>
                  <pic:blipFill>
                    <a:blip r:embed="rId15">
                      <a:extLst>
                        <a:ext uri="{28A0092B-C50C-407E-A947-70E740481C1C}">
                          <a14:useLocalDpi xmlns:a14="http://schemas.microsoft.com/office/drawing/2010/main" val="false"/>
                        </a:ext>
                      </a:extLst>
                    </a:blip>
                    <a:srcRect l="2365" t="41338" r="764"/>
                    <a:stretch>
                      <a:fillRect/>
                    </a:stretch>
                  </pic:blipFill>
                  <pic:spPr>
                    <a:xfrm>
                      <a:off x="0" y="0"/>
                      <a:ext cx="4131945" cy="995680"/>
                    </a:xfrm>
                    <a:prstGeom prst="rect">
                      <a:avLst/>
                    </a:prstGeom>
                    <a:noFill/>
                    <a:ln>
                      <a:noFill/>
                    </a:ln>
                  </pic:spPr>
                </pic:pic>
              </a:graphicData>
            </a:graphic>
          </wp:inline>
        </w:drawing>
      </w:r>
    </w:p>
    <w:p>
      <w:pPr>
        <w:adjustRightInd w:val="0"/>
        <w:snapToGrid w:val="0"/>
        <w:ind w:left="100" w:right="100"/>
        <w:jc w:val="center"/>
        <w:rPr>
          <w:rFonts w:ascii="Times New Roman" w:hAnsi="Times New Roman"/>
          <w:b/>
          <w:bCs/>
          <w:sz w:val="28"/>
          <w:szCs w:val="28"/>
        </w:rPr>
      </w:pPr>
      <w:r>
        <w:rPr>
          <w:rFonts w:hint="eastAsia" w:ascii="Times New Roman" w:hAnsi="Times New Roman"/>
          <w:b/>
          <w:bCs/>
          <w:sz w:val="28"/>
          <w:szCs w:val="28"/>
        </w:rPr>
        <w:t>附表</w:t>
      </w:r>
      <w:r>
        <w:rPr>
          <w:rFonts w:ascii="Times New Roman" w:hAnsi="Times New Roman"/>
          <w:b/>
          <w:bCs/>
          <w:sz w:val="28"/>
          <w:szCs w:val="28"/>
        </w:rPr>
        <w:t xml:space="preserve"> 3 </w:t>
      </w:r>
      <w:r>
        <w:rPr>
          <w:rFonts w:hint="eastAsia" w:ascii="Times New Roman" w:hAnsi="Times New Roman"/>
          <w:b/>
          <w:bCs/>
          <w:sz w:val="28"/>
          <w:szCs w:val="28"/>
        </w:rPr>
        <w:t>托育机构直通疏散走道的房间疏散门至最近安全出口的直线距离（</w:t>
      </w:r>
      <w:r>
        <w:rPr>
          <w:rFonts w:ascii="Times New Roman" w:hAnsi="Times New Roman"/>
          <w:b/>
          <w:bCs/>
          <w:sz w:val="28"/>
          <w:szCs w:val="28"/>
        </w:rPr>
        <w:t>m</w:t>
      </w:r>
      <w:r>
        <w:rPr>
          <w:rFonts w:hint="eastAsia" w:ascii="Times New Roman" w:hAnsi="Times New Roman"/>
          <w:b/>
          <w:bCs/>
          <w:sz w:val="28"/>
          <w:szCs w:val="28"/>
        </w:rPr>
        <w:t>）</w:t>
      </w:r>
    </w:p>
    <w:p>
      <w:pPr>
        <w:adjustRightInd w:val="0"/>
        <w:snapToGrid w:val="0"/>
        <w:ind w:left="100" w:right="100"/>
        <w:jc w:val="center"/>
      </w:pPr>
      <w:r>
        <w:drawing>
          <wp:inline distT="0" distB="0" distL="0" distR="0">
            <wp:extent cx="3518535" cy="856615"/>
            <wp:effectExtent l="0" t="0" r="5715" b="635"/>
            <wp:docPr id="14" name="图片 14" descr="72feff807d556cf993831c4302792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72feff807d556cf993831c430279203"/>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t="6448" r="-24" b="59399"/>
                    <a:stretch>
                      <a:fillRect/>
                    </a:stretch>
                  </pic:blipFill>
                  <pic:spPr>
                    <a:xfrm>
                      <a:off x="0" y="0"/>
                      <a:ext cx="3518535" cy="856615"/>
                    </a:xfrm>
                    <a:prstGeom prst="rect">
                      <a:avLst/>
                    </a:prstGeom>
                    <a:noFill/>
                    <a:ln>
                      <a:noFill/>
                    </a:ln>
                  </pic:spPr>
                </pic:pic>
              </a:graphicData>
            </a:graphic>
          </wp:inline>
        </w:drawing>
      </w:r>
    </w:p>
    <w:p>
      <w:pPr>
        <w:adjustRightInd w:val="0"/>
        <w:snapToGrid w:val="0"/>
        <w:ind w:left="100" w:right="100"/>
        <w:jc w:val="center"/>
        <w:rPr>
          <w:rFonts w:ascii="Times New Roman" w:hAnsi="Times New Roman"/>
          <w:b/>
          <w:bCs/>
          <w:sz w:val="28"/>
          <w:szCs w:val="28"/>
        </w:rPr>
      </w:pPr>
      <w:r>
        <w:rPr>
          <w:rFonts w:hint="eastAsia" w:ascii="Times New Roman" w:hAnsi="Times New Roman"/>
          <w:b/>
          <w:bCs/>
          <w:sz w:val="28"/>
          <w:szCs w:val="28"/>
        </w:rPr>
        <w:t>附表</w:t>
      </w:r>
      <w:r>
        <w:rPr>
          <w:rFonts w:ascii="Times New Roman" w:hAnsi="Times New Roman"/>
          <w:b/>
          <w:bCs/>
          <w:sz w:val="28"/>
          <w:szCs w:val="28"/>
        </w:rPr>
        <w:t xml:space="preserve">4 </w:t>
      </w:r>
      <w:r>
        <w:rPr>
          <w:rFonts w:hint="eastAsia" w:ascii="Times New Roman" w:hAnsi="Times New Roman"/>
          <w:b/>
          <w:bCs/>
          <w:sz w:val="28"/>
          <w:szCs w:val="28"/>
        </w:rPr>
        <w:t>乙、丙、丁、戊类仓库与民用建筑的防火间距（</w:t>
      </w:r>
      <w:r>
        <w:rPr>
          <w:rFonts w:ascii="Times New Roman" w:hAnsi="Times New Roman"/>
          <w:b/>
          <w:bCs/>
          <w:sz w:val="28"/>
          <w:szCs w:val="28"/>
        </w:rPr>
        <w:t>m</w:t>
      </w:r>
      <w:r>
        <w:rPr>
          <w:rFonts w:hint="eastAsia" w:ascii="Times New Roman" w:hAnsi="Times New Roman"/>
          <w:b/>
          <w:bCs/>
          <w:sz w:val="28"/>
          <w:szCs w:val="28"/>
        </w:rPr>
        <w:t>）</w:t>
      </w:r>
    </w:p>
    <w:p>
      <w:pPr>
        <w:adjustRightInd w:val="0"/>
        <w:snapToGrid w:val="0"/>
        <w:ind w:left="100" w:right="100"/>
        <w:jc w:val="center"/>
      </w:pPr>
      <w:r>
        <w:drawing>
          <wp:inline distT="0" distB="0" distL="0" distR="0">
            <wp:extent cx="3183255" cy="2419350"/>
            <wp:effectExtent l="0" t="0" r="0" b="0"/>
            <wp:docPr id="13" name="图片 13" descr="55ecc0010258facd05a4a738a7a5e0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55ecc0010258facd05a4a738a7a5e0c"/>
                    <pic:cNvPicPr>
                      <a:picLocks noChangeAspect="true" noChangeArrowheads="true"/>
                    </pic:cNvPicPr>
                  </pic:nvPicPr>
                  <pic:blipFill>
                    <a:blip r:embed="rId17">
                      <a:extLst>
                        <a:ext uri="{28A0092B-C50C-407E-A947-70E740481C1C}">
                          <a14:useLocalDpi xmlns:a14="http://schemas.microsoft.com/office/drawing/2010/main" val="false"/>
                        </a:ext>
                      </a:extLst>
                    </a:blip>
                    <a:srcRect t="4147"/>
                    <a:stretch>
                      <a:fillRect/>
                    </a:stretch>
                  </pic:blipFill>
                  <pic:spPr>
                    <a:xfrm>
                      <a:off x="0" y="0"/>
                      <a:ext cx="3183255" cy="2419350"/>
                    </a:xfrm>
                    <a:prstGeom prst="rect">
                      <a:avLst/>
                    </a:prstGeom>
                    <a:noFill/>
                    <a:ln>
                      <a:noFill/>
                    </a:ln>
                  </pic:spPr>
                </pic:pic>
              </a:graphicData>
            </a:graphic>
          </wp:inline>
        </w:drawing>
      </w:r>
    </w:p>
    <w:p>
      <w:pPr>
        <w:adjustRightInd w:val="0"/>
        <w:snapToGrid w:val="0"/>
        <w:ind w:left="100" w:right="100"/>
      </w:pPr>
      <w:r>
        <w:br w:type="page"/>
      </w:r>
    </w:p>
    <w:p>
      <w:pPr>
        <w:pStyle w:val="3"/>
        <w:keepNext w:val="0"/>
        <w:keepLines w:val="0"/>
        <w:adjustRightInd w:val="0"/>
        <w:snapToGrid w:val="0"/>
        <w:spacing w:before="0" w:after="0"/>
        <w:ind w:left="100" w:right="100"/>
        <w:rPr>
          <w:rFonts w:ascii="宋体" w:hAnsi="宋体" w:cs="Mongolian Baiti"/>
          <w:b/>
          <w:bCs w:val="0"/>
          <w:sz w:val="24"/>
          <w:szCs w:val="24"/>
          <w:lang w:bidi="mn-Mong-CN"/>
        </w:rPr>
      </w:pPr>
      <w:bookmarkStart w:id="2" w:name="_Toc120634488"/>
      <w:r>
        <w:rPr>
          <w:rFonts w:hint="eastAsia" w:ascii="黑体" w:hAnsi="黑体" w:cs="黑体"/>
          <w:kern w:val="0"/>
          <w:sz w:val="32"/>
          <w:szCs w:val="32"/>
        </w:rPr>
        <w:t>（4）北京市疾控</w:t>
      </w:r>
      <w:r>
        <w:rPr>
          <w:rFonts w:hint="eastAsia" w:ascii="黑体" w:hAnsi="黑体" w:cs="黑体"/>
          <w:kern w:val="0"/>
          <w:sz w:val="32"/>
          <w:szCs w:val="32"/>
          <w:lang w:eastAsia="zh-CN"/>
        </w:rPr>
        <w:t>机构</w:t>
      </w:r>
      <w:r>
        <w:rPr>
          <w:rFonts w:hint="eastAsia" w:ascii="黑体" w:hAnsi="黑体" w:cs="黑体"/>
          <w:kern w:val="0"/>
          <w:sz w:val="32"/>
          <w:szCs w:val="32"/>
        </w:rPr>
        <w:t>生产安全事故隐患目录</w:t>
      </w:r>
      <w:bookmarkEnd w:id="2"/>
    </w:p>
    <w:tbl>
      <w:tblPr>
        <w:tblStyle w:val="13"/>
        <w:tblW w:w="141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720"/>
        <w:gridCol w:w="930"/>
        <w:gridCol w:w="6630"/>
        <w:gridCol w:w="3212"/>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blHeader/>
        </w:trPr>
        <w:tc>
          <w:tcPr>
            <w:tcW w:w="1650"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vAlign w:val="center"/>
          </w:tcPr>
          <w:p>
            <w:pPr>
              <w:pStyle w:val="24"/>
              <w:adjustRightInd w:val="0"/>
              <w:snapToGrid w:val="0"/>
              <w:spacing w:line="240" w:lineRule="auto"/>
              <w:ind w:left="0" w:leftChars="0" w:right="0" w:rightChars="0" w:firstLine="0" w:firstLineChars="0"/>
              <w:jc w:val="center"/>
              <w:rPr>
                <w:rFonts w:ascii="宋体" w:hAnsi="宋体"/>
                <w:bCs/>
                <w:sz w:val="24"/>
                <w:szCs w:val="24"/>
                <w:lang w:bidi="mn-Mong-CN"/>
              </w:rPr>
            </w:pPr>
            <w:r>
              <w:rPr>
                <w:rFonts w:hint="eastAsia" w:ascii="宋体" w:hAnsi="宋体"/>
                <w:bCs/>
                <w:sz w:val="24"/>
                <w:szCs w:val="24"/>
                <w:lang w:bidi="mn-Mong-CN"/>
              </w:rPr>
              <w:t>编号</w:t>
            </w:r>
          </w:p>
        </w:tc>
        <w:tc>
          <w:tcPr>
            <w:tcW w:w="1650" w:type="dxa"/>
            <w:gridSpan w:val="2"/>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val="zh-CN" w:bidi="mn-Mong-CN"/>
              </w:rPr>
            </w:pPr>
            <w:r>
              <w:rPr>
                <w:rFonts w:hint="eastAsia" w:ascii="宋体" w:hAnsi="宋体"/>
                <w:bCs/>
                <w:sz w:val="24"/>
                <w:szCs w:val="24"/>
                <w:lang w:val="zh-CN" w:bidi="mn-Mong-CN"/>
              </w:rPr>
              <w:t>隐患分类</w:t>
            </w:r>
          </w:p>
        </w:tc>
        <w:tc>
          <w:tcPr>
            <w:tcW w:w="6630"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val="zh-CN" w:bidi="mn-Mong-CN"/>
              </w:rPr>
            </w:pPr>
            <w:r>
              <w:rPr>
                <w:rFonts w:hint="eastAsia" w:ascii="宋体" w:hAnsi="宋体"/>
                <w:bCs/>
                <w:sz w:val="24"/>
                <w:szCs w:val="24"/>
                <w:lang w:val="zh-CN" w:bidi="mn-Mong-CN"/>
              </w:rPr>
              <w:t>隐患内容</w:t>
            </w:r>
          </w:p>
        </w:tc>
        <w:tc>
          <w:tcPr>
            <w:tcW w:w="3212"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pStyle w:val="40"/>
              <w:ind w:left="100" w:right="100"/>
              <w:jc w:val="center"/>
              <w:rPr>
                <w:bCs w:val="0"/>
                <w:sz w:val="24"/>
                <w:szCs w:val="24"/>
                <w:lang w:val="zh-CN" w:bidi="ar-SA"/>
              </w:rPr>
            </w:pPr>
            <w:r>
              <w:rPr>
                <w:rFonts w:hint="eastAsia"/>
                <w:bCs w:val="0"/>
                <w:sz w:val="24"/>
                <w:szCs w:val="24"/>
                <w:lang w:val="zh-CN" w:bidi="ar-SA"/>
              </w:rPr>
              <w:t>依    据</w:t>
            </w:r>
          </w:p>
        </w:tc>
        <w:tc>
          <w:tcPr>
            <w:tcW w:w="964" w:type="dxa"/>
            <w:vMerge w:val="restart"/>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val="zh-CN" w:bidi="mn-Mong-CN"/>
              </w:rPr>
            </w:pPr>
            <w:r>
              <w:rPr>
                <w:rFonts w:hint="eastAsia" w:ascii="宋体" w:hAnsi="宋体"/>
                <w:bCs/>
                <w:sz w:val="24"/>
                <w:szCs w:val="24"/>
                <w:lang w:val="zh-CN" w:bidi="mn-Mong-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trPr>
        <w:tc>
          <w:tcPr>
            <w:tcW w:w="1650" w:type="dxa"/>
            <w:vMerge w:val="continue"/>
            <w:tcBorders>
              <w:top w:val="single" w:color="auto" w:sz="4" w:space="0"/>
              <w:left w:val="single" w:color="auto" w:sz="4" w:space="0"/>
              <w:bottom w:val="single" w:color="auto" w:sz="4" w:space="0"/>
              <w:right w:val="single" w:color="auto" w:sz="4" w:space="0"/>
            </w:tcBorders>
            <w:vAlign w:val="center"/>
          </w:tcPr>
          <w:p>
            <w:pPr>
              <w:pStyle w:val="24"/>
              <w:numPr>
                <w:ilvl w:val="0"/>
                <w:numId w:val="5"/>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val="zh-CN" w:bidi="mn-Mong-CN"/>
              </w:rPr>
            </w:pPr>
            <w:r>
              <w:rPr>
                <w:rFonts w:hint="eastAsia" w:ascii="宋体" w:hAnsi="宋体"/>
                <w:bCs/>
                <w:sz w:val="24"/>
                <w:szCs w:val="24"/>
                <w:lang w:val="zh-CN" w:bidi="mn-Mong-CN"/>
              </w:rPr>
              <w:t>一类</w:t>
            </w:r>
          </w:p>
        </w:tc>
        <w:tc>
          <w:tcPr>
            <w:tcW w:w="930" w:type="dxa"/>
            <w:tcBorders>
              <w:top w:val="single" w:color="auto" w:sz="4" w:space="0"/>
              <w:left w:val="single" w:color="auto" w:sz="4" w:space="0"/>
              <w:bottom w:val="single" w:color="auto" w:sz="4" w:space="0"/>
              <w:right w:val="single" w:color="auto" w:sz="4" w:space="0"/>
            </w:tcBorders>
            <w:shd w:val="clear" w:color="auto" w:fill="B4C6E7" w:themeFill="accent5" w:themeFillTint="66"/>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val="zh-CN" w:bidi="mn-Mong-CN"/>
              </w:rPr>
            </w:pPr>
            <w:r>
              <w:rPr>
                <w:rFonts w:hint="eastAsia" w:ascii="宋体" w:hAnsi="宋体"/>
                <w:bCs/>
                <w:sz w:val="24"/>
                <w:szCs w:val="24"/>
                <w:lang w:val="zh-CN" w:bidi="mn-Mong-CN"/>
              </w:rPr>
              <w:t>二类</w:t>
            </w:r>
          </w:p>
        </w:tc>
        <w:tc>
          <w:tcPr>
            <w:tcW w:w="663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left="100" w:right="100"/>
              <w:rPr>
                <w:rFonts w:ascii="宋体" w:hAnsi="宋体"/>
                <w:bCs/>
                <w:szCs w:val="20"/>
                <w:lang w:val="zh-CN" w:bidi="mn-Mong-CN"/>
              </w:rPr>
            </w:pPr>
          </w:p>
        </w:tc>
        <w:tc>
          <w:tcPr>
            <w:tcW w:w="3212" w:type="dxa"/>
            <w:vMerge w:val="continue"/>
            <w:tcBorders>
              <w:top w:val="single" w:color="auto" w:sz="4" w:space="0"/>
              <w:left w:val="single" w:color="auto" w:sz="4" w:space="0"/>
              <w:bottom w:val="single" w:color="auto" w:sz="4" w:space="0"/>
              <w:right w:val="single" w:color="auto" w:sz="4" w:space="0"/>
            </w:tcBorders>
            <w:vAlign w:val="center"/>
          </w:tcPr>
          <w:p>
            <w:pPr>
              <w:pStyle w:val="40"/>
              <w:ind w:left="100" w:right="100"/>
              <w:jc w:val="center"/>
              <w:rPr>
                <w:bCs w:val="0"/>
                <w:sz w:val="18"/>
                <w:szCs w:val="18"/>
                <w:lang w:bidi="ar-SA"/>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黑体" w:hAnsi="黑体" w:eastAsia="黑体"/>
                <w:bCs/>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Chars="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szCs w:val="20"/>
                <w:lang w:bidi="mn-Mong-CN"/>
              </w:rPr>
              <w:t>基础资料类</w:t>
            </w:r>
          </w:p>
        </w:tc>
        <w:tc>
          <w:tcPr>
            <w:tcW w:w="9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机构及人员配备类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从业人员超过100人的，未设置安全生产管理机构或者配备专职安全生产管理人员；从业人员在100人以下的，未配备专职或者兼职的安全生产管理人员。</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 xml:space="preserve">《中华人民共和国安全生产法》第二十四条 </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责任制类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疾控中心未建立安全生产责任制，或安全生产责任制内容不完善或未定期审核、更新。</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《中华人民共和国安全生产法》第四条《北京市安全生产条例》第四条：</w:t>
            </w:r>
          </w:p>
          <w:p>
            <w:pPr>
              <w:pStyle w:val="40"/>
              <w:ind w:left="100" w:right="100"/>
              <w:rPr>
                <w:bCs w:val="0"/>
                <w:sz w:val="18"/>
                <w:szCs w:val="18"/>
                <w:lang w:bidi="ar-SA"/>
              </w:rPr>
            </w:pPr>
            <w:r>
              <w:rPr>
                <w:rFonts w:hint="eastAsia"/>
                <w:bCs w:val="0"/>
                <w:sz w:val="18"/>
                <w:szCs w:val="18"/>
                <w:lang w:bidi="ar-SA"/>
              </w:rPr>
              <w:t>a）主要负责人、安全生产管理人员、各岗位人员的安全生产职责；</w:t>
            </w:r>
          </w:p>
          <w:p>
            <w:pPr>
              <w:pStyle w:val="40"/>
              <w:ind w:left="100" w:right="100"/>
              <w:rPr>
                <w:bCs w:val="0"/>
                <w:sz w:val="18"/>
                <w:szCs w:val="18"/>
                <w:lang w:bidi="ar-SA"/>
              </w:rPr>
            </w:pPr>
            <w:r>
              <w:rPr>
                <w:rFonts w:hint="eastAsia"/>
                <w:bCs w:val="0"/>
                <w:sz w:val="18"/>
                <w:szCs w:val="18"/>
                <w:lang w:bidi="ar-SA"/>
              </w:rPr>
              <w:t>b）安全生产管理机构、各部门的安全生产职责；</w:t>
            </w:r>
          </w:p>
          <w:p>
            <w:pPr>
              <w:pStyle w:val="40"/>
              <w:ind w:left="100" w:right="100"/>
              <w:rPr>
                <w:bCs w:val="0"/>
                <w:sz w:val="18"/>
                <w:szCs w:val="18"/>
                <w:lang w:bidi="ar-SA"/>
              </w:rPr>
            </w:pPr>
            <w:r>
              <w:rPr>
                <w:rFonts w:hint="eastAsia"/>
                <w:bCs w:val="0"/>
                <w:sz w:val="18"/>
                <w:szCs w:val="18"/>
                <w:lang w:bidi="ar-SA"/>
              </w:rPr>
              <w:t>c）安全生产责任考核及奖惩。</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疾控中心未及时跟踪并获取适用于其生产经营活动的安全生产法律法规、标准规范，并未定期更新安全生产规章制度，使其符合现行法律法规、标准规范的要求。</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第2部分：安全生产通用要求》第3.1.2.2条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安全生产规章制度现行有效版本未经批准实施，未发放至相关岗位的从业人员。</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第2部分：安全生产通用要求》第3.1.2.3条。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危化品储存场所未由专人负责管理。储存场所内未张贴安全管理部门负责人、安全责任人、消防控制室等联系电话，并未保持电话畅通。</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《危险化学品安全管理条例》第二十四条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操作规程类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岗位安全操作规程要素不齐全。</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第2部分：安全生产通用要求》第3.1.3.2条。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岗位安全操作规程现行有效版本未发放至相关岗位的从业人员。</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第2部分：安全生产通用要求》第3.1.3.3条。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工艺、设备发生变化后未及时修订或更新岗位安全操作规程。</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第2部分：安全生产通用要求》第3.1.3.4条。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szCs w:val="20"/>
              </w:rPr>
              <w:t>安全生产教育培训</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未制订年度安全生产培训计划。</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《中华人民共和国安全生产法》第二十一条（三）</w:t>
            </w:r>
          </w:p>
          <w:p>
            <w:pPr>
              <w:pStyle w:val="40"/>
              <w:ind w:left="100" w:right="100"/>
              <w:rPr>
                <w:bCs w:val="0"/>
                <w:sz w:val="18"/>
                <w:szCs w:val="18"/>
                <w:lang w:bidi="ar-SA"/>
              </w:rPr>
            </w:pPr>
            <w:r>
              <w:rPr>
                <w:rFonts w:hint="eastAsia"/>
                <w:bCs w:val="0"/>
                <w:sz w:val="18"/>
                <w:szCs w:val="18"/>
                <w:lang w:bidi="ar-SA"/>
              </w:rPr>
              <w:t>《生产经营单位安全培训规定》第二十一条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未按照培训计划实施培训，培训内容未包括：</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对疾控中心主要负责人、职业卫生管理人员的职业卫生培训，应当包括下列主要内容：</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（一）职业卫生相关法律、法规、规章和国家职业卫生标准；</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（二）职业病危害预防和控制的基本知识；</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（三）职业卫生管理相关知识；</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（四）国家卫生健康委规定的其他内容。</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疾控中心应当对劳动者进行上岗前的职业卫生培训和在岗期间的定期职业卫生培训，普及职业卫生知识，督促劳动者遵守职业病防治的法律、法规、规章、国家职业卫生标准和操作规程。</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疾控中心应当对职业病危害严重的岗位的劳动者，进行专门的职业卫生培训，经培训合格后方可上岗作业。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因变更工艺、技术、设备、材料，或者岗位调整导致劳动者接触的职业病危害因素发生变化的，疾控中心应当重新对劳动者进行上岗前的职业卫生培训。</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《生产经营单位安全培训规定》第七条、第八条、第十四条、第十五条、第十六条</w:t>
            </w:r>
          </w:p>
          <w:p>
            <w:pPr>
              <w:pStyle w:val="40"/>
              <w:ind w:left="100" w:right="100"/>
              <w:rPr>
                <w:bCs w:val="0"/>
                <w:sz w:val="18"/>
                <w:szCs w:val="18"/>
                <w:lang w:bidi="ar-SA"/>
              </w:rPr>
            </w:pPr>
            <w:r>
              <w:rPr>
                <w:rFonts w:hint="eastAsia"/>
                <w:bCs w:val="0"/>
                <w:sz w:val="18"/>
                <w:szCs w:val="18"/>
                <w:lang w:bidi="ar-SA"/>
              </w:rPr>
              <w:t>《工作场所职业卫生管理规定》第九条、第十条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从事特种作业、特种设备作业的人员和消防控制室操作职业资格证书的值班人员未按照有关规定，未经安全培训、考核合格，取得相应资格，便上岗作业，并未按期参加复训和复审。</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 第三十条</w:t>
            </w:r>
          </w:p>
          <w:p>
            <w:pPr>
              <w:pStyle w:val="40"/>
              <w:ind w:left="100" w:right="100"/>
              <w:rPr>
                <w:bCs w:val="0"/>
                <w:sz w:val="18"/>
                <w:szCs w:val="18"/>
                <w:lang w:bidi="ar-SA"/>
              </w:rPr>
            </w:pPr>
            <w:r>
              <w:rPr>
                <w:rFonts w:hint="eastAsia"/>
                <w:bCs w:val="0"/>
                <w:sz w:val="18"/>
                <w:szCs w:val="18"/>
                <w:lang w:bidi="ar-SA"/>
              </w:rPr>
              <w:t>《中华人民共和国特种设备安全法》第十四条</w:t>
            </w:r>
          </w:p>
          <w:p>
            <w:pPr>
              <w:pStyle w:val="40"/>
              <w:ind w:left="100" w:right="100"/>
              <w:rPr>
                <w:bCs w:val="0"/>
                <w:sz w:val="18"/>
                <w:szCs w:val="18"/>
                <w:lang w:bidi="ar-SA"/>
              </w:rPr>
            </w:pPr>
            <w:r>
              <w:rPr>
                <w:rFonts w:hint="eastAsia"/>
                <w:bCs w:val="0"/>
                <w:sz w:val="18"/>
                <w:szCs w:val="18"/>
                <w:lang w:bidi="ar-SA"/>
              </w:rPr>
              <w:t>GB 25506-2010《消防控制室通用技术要求》第4.2.1条a）</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未对相关方作业人员（短期临时作业人员、实习学生、学习参观人员及其他外来人员）进行安全教育培训。</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《中华人民共和国安全生产法》第二十八条</w:t>
            </w:r>
          </w:p>
          <w:p>
            <w:pPr>
              <w:pStyle w:val="40"/>
              <w:ind w:left="100" w:right="100"/>
              <w:rPr>
                <w:bCs w:val="0"/>
                <w:sz w:val="18"/>
                <w:szCs w:val="18"/>
                <w:lang w:bidi="ar-SA"/>
              </w:rPr>
            </w:pPr>
            <w:r>
              <w:rPr>
                <w:rFonts w:hint="eastAsia"/>
                <w:bCs w:val="0"/>
                <w:sz w:val="18"/>
                <w:szCs w:val="18"/>
                <w:lang w:bidi="ar-SA"/>
              </w:rPr>
              <w:t>《生产经营单位安全培训规定》第四条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szCs w:val="20"/>
                <w:lang w:bidi="mn-Mong-CN"/>
              </w:rPr>
              <w:t>基础资料类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rPr>
            </w:pPr>
            <w:r>
              <w:rPr>
                <w:rFonts w:hint="eastAsia" w:ascii="Times New Roman" w:hAnsi="Times New Roman"/>
                <w:bCs/>
                <w:szCs w:val="20"/>
              </w:rPr>
              <w:t>安全生产教育培训</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对实验室人员的培训未符合下列标准：</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a）应对进入实验室的所有人员实施入门培训，确保他们清楚实验室安全规定、风险和程序，并确保他们经过适用的个体防护装备的使用和维护培训；</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注：包括相关法规知识。</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b）实验室制定的培训计划应包含安全培训内容，并与实验室当前和预期的工作相适应；</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c）实验室相关人员应经过危险物品和安全设备的使用和安全处理培训；</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d）实验室人员应经过应急程序的培训，包括确保所有员工和参观者安全撤离实验室；</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e）当使用在培员工时，应对其安排适当的监督；</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f）实验室应保留培训记录，并对培训有效性进行评价。</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第1部分总则第5.2.2.条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疾控中心未建立安全生产教育培训档案，或档案内不齐全。档案未包括培训记录表、培训签到表、培训试卷等有关书面材料和图片资料。</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《中华人民共和国安全生产法》第二十八条</w:t>
            </w:r>
          </w:p>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第2部分：安全生产通用要求》第3.1.5.8条。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szCs w:val="20"/>
                <w:lang w:bidi="mn-Mong-CN"/>
              </w:rPr>
              <w:t>基础资料类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记录档案类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疾控中心未建立事故隐患治理台账。</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第2部分：安全生产通用要求》第3.1.7.3.1条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建筑物或者场所未依法通过消防验收。</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《中华人民共和国消防法》第十三条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疾控中心未对灭火器配置、外观等按附录C的要求进行每月一次的定期检查，并未记录归档。</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50444-2008《建筑灭火器配置验收及检查规范》第5.2.1条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未对建筑消防设施每年至少进行1次全面检测，确保完好有效；不具备检测条件的未委托具备相应资质的检测机构进行检测，并保存检测记录。</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《中华人民共和国消防法》第十七条</w:t>
            </w:r>
          </w:p>
          <w:p>
            <w:pPr>
              <w:pStyle w:val="40"/>
              <w:ind w:left="100" w:right="100"/>
              <w:rPr>
                <w:bCs w:val="0"/>
                <w:sz w:val="18"/>
                <w:szCs w:val="18"/>
                <w:lang w:bidi="ar-SA"/>
              </w:rPr>
            </w:pPr>
            <w:r>
              <w:rPr>
                <w:rFonts w:hint="eastAsia"/>
                <w:bCs w:val="0"/>
                <w:sz w:val="18"/>
                <w:szCs w:val="18"/>
                <w:lang w:bidi="ar-SA"/>
              </w:rPr>
              <w:t>《北京市消防条例》第十三条</w:t>
            </w:r>
          </w:p>
          <w:p>
            <w:pPr>
              <w:pStyle w:val="40"/>
              <w:ind w:left="100" w:right="100"/>
              <w:rPr>
                <w:bCs w:val="0"/>
                <w:sz w:val="18"/>
                <w:szCs w:val="18"/>
                <w:lang w:bidi="ar-SA"/>
              </w:rPr>
            </w:pPr>
            <w:r>
              <w:rPr>
                <w:rFonts w:hint="eastAsia"/>
                <w:bCs w:val="0"/>
                <w:sz w:val="18"/>
                <w:szCs w:val="18"/>
                <w:lang w:bidi="ar-SA"/>
              </w:rPr>
              <w:t>《机关、团体、企业、事业单位消防安全管理规定》第二十五条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消防安全重点单位未每年对电气防火安全进行检测和开展每日防火巡查，确定巡查的人员、内容、部位和频次，并保存记录。</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《中华人民共和国消防法》第十七条</w:t>
            </w:r>
          </w:p>
          <w:p>
            <w:pPr>
              <w:pStyle w:val="40"/>
              <w:ind w:left="100" w:right="100"/>
              <w:rPr>
                <w:bCs w:val="0"/>
                <w:sz w:val="18"/>
                <w:szCs w:val="18"/>
                <w:lang w:bidi="ar-SA"/>
              </w:rPr>
            </w:pPr>
            <w:r>
              <w:rPr>
                <w:rFonts w:hint="eastAsia"/>
                <w:bCs w:val="0"/>
                <w:sz w:val="18"/>
                <w:szCs w:val="18"/>
                <w:lang w:bidi="ar-SA"/>
              </w:rPr>
              <w:t>《北京市消防条例》第十二、十三条</w:t>
            </w:r>
          </w:p>
          <w:p>
            <w:pPr>
              <w:pStyle w:val="40"/>
              <w:ind w:left="100" w:right="100"/>
              <w:rPr>
                <w:bCs w:val="0"/>
                <w:sz w:val="18"/>
                <w:szCs w:val="18"/>
                <w:lang w:bidi="ar-SA"/>
              </w:rPr>
            </w:pPr>
            <w:r>
              <w:rPr>
                <w:rFonts w:hint="eastAsia"/>
                <w:bCs w:val="0"/>
                <w:sz w:val="18"/>
                <w:szCs w:val="18"/>
                <w:lang w:bidi="ar-SA"/>
              </w:rPr>
              <w:t>《机关、团体、企业、事业单位消防安全管理规定》第二十五条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记录档案类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消防安全疏散标志管理和维护不符合规范要求，未确保完好有效。</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15630-1995《消防安全标志设置要求》第6.1条</w:t>
            </w:r>
          </w:p>
          <w:p>
            <w:pPr>
              <w:pStyle w:val="40"/>
              <w:ind w:left="100" w:right="100"/>
              <w:rPr>
                <w:bCs w:val="0"/>
                <w:sz w:val="18"/>
                <w:szCs w:val="18"/>
                <w:lang w:bidi="ar-SA"/>
              </w:rPr>
            </w:pPr>
            <w:r>
              <w:rPr>
                <w:rFonts w:hint="eastAsia"/>
                <w:bCs w:val="0"/>
                <w:sz w:val="18"/>
                <w:szCs w:val="18"/>
                <w:lang w:bidi="ar-SA"/>
              </w:rPr>
              <w:t>DB11/1024-2013《消防安全疏散标志设置标准》第5.1条</w:t>
            </w:r>
          </w:p>
          <w:p>
            <w:pPr>
              <w:pStyle w:val="40"/>
              <w:ind w:left="100" w:right="100"/>
              <w:rPr>
                <w:bCs w:val="0"/>
                <w:sz w:val="18"/>
                <w:szCs w:val="18"/>
                <w:lang w:bidi="ar-SA"/>
              </w:rPr>
            </w:pPr>
            <w:r>
              <w:rPr>
                <w:rFonts w:hint="eastAsia"/>
                <w:bCs w:val="0"/>
                <w:sz w:val="18"/>
                <w:szCs w:val="18"/>
                <w:lang w:bidi="ar-SA"/>
              </w:rPr>
              <w:t>《中华人民共和国消防法》第十六条第一款第二项</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szCs w:val="20"/>
                <w:lang w:bidi="mn-Mong-CN"/>
              </w:rPr>
              <w:t>基础资料类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记录档案类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每月未手动启动消防水泵运转1次，并未检查供电电源的情况；每周未模拟消防水泵自动控制的条件自动启动消防水泵运转1次，且未自动记录自动巡检情况；每月未检测记录。</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50974-2014《消防给水及消火栓系统技术规范》第14.0.4条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消防水泵房门未设置明显的标志，未标明“消防安全重点部位”及其消防安全责任人，未落实相应管理规定。并未符合下列规定：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根据实际需要配备相应的灭火器材、装备和个人防护器材；</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制定和完善事故应急处置操作程序；</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每日进行防火巡查，每月定期开展防火检查。</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WS 308-2019《医疗机构消防安全管理》第5.1.2条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消防水泵房及地下水池、消防系统全部机电设备未由专人负责监控，定期检查保养、维护，并保存记录。</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第2部分：安全生产通用要求》第3.7.13.5条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未建立危险化学品储存台账，在储存场所内未有温湿度记录和安全检查记录。危险化学品出入储存场所时，未检验物品数量、包装等情况。</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 755-2010《危险化学品仓库建设及储存安全规范》第4.5.3条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未对简单压力容器进行日常维护保养、定期自行检查，并记录存档。简单压力容器的安全阀未校验合格，压力表未检定合格，并未保持铅封完好。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21-2016《固定式压力容器安全技术监察规程》第7.1.11条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szCs w:val="20"/>
                <w:lang w:bidi="mn-Mong-CN"/>
              </w:rPr>
              <w:t>基础资料类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应急救援类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疾控中心未按要求编制应急救援预案、应急处置方案等或未及时、定期修订。</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bottom"/>
          </w:tcPr>
          <w:p>
            <w:pPr>
              <w:pStyle w:val="40"/>
              <w:ind w:left="100" w:right="100"/>
              <w:rPr>
                <w:bCs w:val="0"/>
                <w:sz w:val="18"/>
                <w:szCs w:val="18"/>
                <w:lang w:bidi="ar-SA"/>
              </w:rPr>
            </w:pPr>
            <w:r>
              <w:rPr>
                <w:rFonts w:hint="eastAsia"/>
                <w:bCs w:val="0"/>
                <w:sz w:val="18"/>
                <w:szCs w:val="18"/>
                <w:lang w:bidi="ar-SA"/>
              </w:rPr>
              <w:t>《生产安全事故应急条例》第五、六条</w:t>
            </w:r>
          </w:p>
          <w:p>
            <w:pPr>
              <w:pStyle w:val="40"/>
              <w:ind w:left="100" w:right="100"/>
              <w:rPr>
                <w:bCs w:val="0"/>
                <w:sz w:val="18"/>
                <w:szCs w:val="18"/>
                <w:lang w:bidi="ar-SA"/>
              </w:rPr>
            </w:pPr>
            <w:r>
              <w:rPr>
                <w:rFonts w:hint="eastAsia"/>
                <w:bCs w:val="0"/>
                <w:sz w:val="18"/>
                <w:szCs w:val="18"/>
                <w:lang w:bidi="ar-SA"/>
              </w:rPr>
              <w:t>《生产安全事故应急预案管理办法》第十三条到第十九条</w:t>
            </w:r>
          </w:p>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第2部分：安全生产通用要求》第3.1.6.2.2条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疾控中心未建立应急救援组织机构及专兼职应急救援队伍。</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《中华人民共和国安全生产法》第八十五条</w:t>
            </w:r>
          </w:p>
          <w:p>
            <w:pPr>
              <w:pStyle w:val="40"/>
              <w:ind w:left="100" w:right="100"/>
              <w:rPr>
                <w:bCs w:val="0"/>
                <w:sz w:val="18"/>
                <w:szCs w:val="18"/>
                <w:lang w:bidi="ar-SA"/>
              </w:rPr>
            </w:pPr>
            <w:r>
              <w:rPr>
                <w:rFonts w:hint="eastAsia"/>
                <w:bCs w:val="0"/>
                <w:sz w:val="18"/>
                <w:szCs w:val="18"/>
                <w:lang w:bidi="ar-SA"/>
              </w:rPr>
              <w:t>《生产安全事故应急条例》第十、十一条</w:t>
            </w:r>
          </w:p>
          <w:p>
            <w:pPr>
              <w:pStyle w:val="40"/>
              <w:ind w:left="100" w:right="100"/>
              <w:rPr>
                <w:bCs w:val="0"/>
                <w:sz w:val="18"/>
                <w:szCs w:val="18"/>
                <w:lang w:bidi="ar-SA"/>
              </w:rPr>
            </w:pPr>
            <w:r>
              <w:rPr>
                <w:rFonts w:hint="eastAsia"/>
                <w:bCs w:val="0"/>
                <w:sz w:val="18"/>
                <w:szCs w:val="18"/>
                <w:lang w:bidi="ar-SA"/>
              </w:rPr>
              <w:t>《北京市生产经营单位安全生产主体责任规定》第三十条、第三十一条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未根据实际需求，配备应急设施和装备，储备应急物资，指定专人负责管理，并未建立使用状况台账，定期检测和维护，使其处于良好状态。</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《中华人民共和国安全生产法》第八十二条</w:t>
            </w:r>
          </w:p>
          <w:p>
            <w:pPr>
              <w:pStyle w:val="40"/>
              <w:ind w:left="100" w:right="100"/>
              <w:rPr>
                <w:bCs w:val="0"/>
                <w:sz w:val="18"/>
                <w:szCs w:val="18"/>
                <w:lang w:bidi="ar-SA"/>
              </w:rPr>
            </w:pPr>
            <w:r>
              <w:rPr>
                <w:rFonts w:hint="eastAsia"/>
                <w:bCs w:val="0"/>
                <w:sz w:val="18"/>
                <w:szCs w:val="18"/>
                <w:lang w:bidi="ar-SA"/>
              </w:rPr>
              <w:t>《生产安全事故应急预案管理办法》第三十八条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szCs w:val="20"/>
                <w:lang w:bidi="mn-Mong-CN"/>
              </w:rPr>
              <w:t>基础资料类</w:t>
            </w:r>
          </w:p>
        </w:tc>
        <w:tc>
          <w:tcPr>
            <w:tcW w:w="9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应急救援类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疾控中心未按规定定期组织应急演练。</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《中华人民共和国安全生产法》第八十四条</w:t>
            </w:r>
          </w:p>
          <w:p>
            <w:pPr>
              <w:pStyle w:val="40"/>
              <w:ind w:left="100" w:right="100"/>
              <w:rPr>
                <w:bCs w:val="0"/>
                <w:sz w:val="18"/>
                <w:szCs w:val="18"/>
                <w:lang w:bidi="ar-SA"/>
              </w:rPr>
            </w:pPr>
            <w:r>
              <w:rPr>
                <w:rFonts w:hint="eastAsia"/>
                <w:bCs w:val="0"/>
                <w:sz w:val="18"/>
                <w:szCs w:val="18"/>
                <w:lang w:bidi="ar-SA"/>
              </w:rPr>
              <w:t>《生产安全事故应急条例》第六、八条</w:t>
            </w:r>
          </w:p>
          <w:p>
            <w:pPr>
              <w:pStyle w:val="40"/>
              <w:ind w:left="100" w:right="100"/>
              <w:rPr>
                <w:bCs w:val="0"/>
                <w:sz w:val="18"/>
                <w:szCs w:val="18"/>
                <w:lang w:bidi="ar-SA"/>
              </w:rPr>
            </w:pPr>
            <w:r>
              <w:rPr>
                <w:rFonts w:hint="eastAsia"/>
                <w:bCs w:val="0"/>
                <w:sz w:val="18"/>
                <w:szCs w:val="18"/>
                <w:lang w:bidi="ar-SA"/>
              </w:rPr>
              <w:t>《生产安全事故应急预案管理办法》第三十三、三十五、三十六条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相关方管理类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疾控中心未与相关方签订专门的安全生产管理协议或在承包合同、租赁合同中明确各自的安全生产管理职责。</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《中华人民共和国安全生产法》第四十八、四十九条</w:t>
            </w:r>
          </w:p>
          <w:p>
            <w:pPr>
              <w:pStyle w:val="40"/>
              <w:ind w:left="100" w:right="100"/>
              <w:rPr>
                <w:bCs w:val="0"/>
                <w:sz w:val="18"/>
                <w:szCs w:val="18"/>
                <w:lang w:bidi="ar-SA"/>
              </w:rPr>
            </w:pPr>
            <w:r>
              <w:rPr>
                <w:rFonts w:hint="eastAsia"/>
                <w:bCs w:val="0"/>
                <w:sz w:val="18"/>
                <w:szCs w:val="18"/>
                <w:lang w:bidi="ar-SA"/>
              </w:rPr>
              <w:t>《北京市生产经营单位安全生产主体责任规定》第二十七条</w:t>
            </w:r>
          </w:p>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第2部分：安全生产通用要求》第3.1.8条。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其他</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未将特种设备安全检验合格标志及相关牌照和证书固定在设备现场显著位置。</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《中华人民共和国特种设备安全法》 第四十条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szCs w:val="20"/>
                <w:lang w:bidi="mn-Mong-CN"/>
              </w:rPr>
              <w:t>基础资料类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其他</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变配电室的操作票的使用未符合下列要求：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a）操作票应使用统一的票面格式；</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b）操作票由操作人员填写，每张票填写一个操作任务；</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c）操作前应根据模拟图板（屏）或接线图核对所填写的操作项目，并经审核签名。</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 操作时应执行唱票和复诵，每操作完一步，应在操作项目前划“√”。操作执行结束，在最后一步下方加盖“已执行”章，章印不应掩压步骤项。作废操作票应在作废页“操作任务”栏内盖“作废”章，并在作废操作票首页“备注”栏内注明作废原因。</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 11/527-2021《配电室安全管理规范》第7.2.2条、第7.2.3条、第7.2.4、第7.2.5条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变配电室的巡视检查未符合下列要求：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a）有专人值班的变配电室每班未至少巡视检查1次；</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b）无专人值班的变配电室未根据电气运行环境、电气设备运行工况、负载等具体情况安排巡视检查，每周未至少1次。</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 11/527-2021《配电室安全管理规范》第7.3.1条、第7.3.2条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废弃危险化学品未存放在专门的储存场所，并指定专人负责管理；废弃危险化学品未交由有危险废物处置资质的单位进行处置。</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 11/1578-2018《医疗机构危险化学品安全管理规范》第9.1、9.4条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物料类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采购未具有经营许可资质单位的危险化学品。</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《危险化学品安全管理条例》第三十七条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危险化学品未储存在专用的储存场所内。</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《危险化学品安全管理条例》第二十四条</w:t>
            </w:r>
          </w:p>
          <w:p>
            <w:pPr>
              <w:pStyle w:val="40"/>
              <w:ind w:left="100" w:right="100"/>
              <w:rPr>
                <w:bCs w:val="0"/>
                <w:sz w:val="18"/>
                <w:szCs w:val="18"/>
                <w:lang w:bidi="ar-SA"/>
              </w:rPr>
            </w:pPr>
            <w:r>
              <w:rPr>
                <w:rFonts w:hint="eastAsia"/>
                <w:bCs w:val="0"/>
                <w:sz w:val="18"/>
                <w:szCs w:val="18"/>
                <w:lang w:bidi="ar-SA"/>
              </w:rPr>
              <w:t>DB 11/755-2010《危险化学品仓库建设及储存安全规范》第4.4.1条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未保留与储存、使用危险化学品种类相符的化学品安全标签和安全技术说明书。</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 11/755-2010《危险化学品仓库建设及储存安全规范》第4.5.2条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随意更换危险化学品的储存包装，包括内包装和外包装；在危险化学品储存场所内对危险化学品进行分装、改装。</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《危险化学品安全管理条例》第十七条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未按危险化学品的危险性质分区、分类、分柜（或分库）存放，禁忌类危险化学品混合存放。</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DB11/755-2010《危险化学品仓库建设及储存安全规范》第4.4.2条、第4.4.3条</w:t>
            </w:r>
          </w:p>
          <w:p>
            <w:pPr>
              <w:pStyle w:val="40"/>
              <w:ind w:left="100" w:right="100"/>
              <w:rPr>
                <w:bCs w:val="0"/>
                <w:sz w:val="18"/>
                <w:szCs w:val="18"/>
                <w:lang w:bidi="ar-SA"/>
              </w:rPr>
            </w:pPr>
            <w:r>
              <w:rPr>
                <w:rFonts w:hint="eastAsia"/>
                <w:bCs w:val="0"/>
                <w:sz w:val="18"/>
                <w:szCs w:val="18"/>
                <w:lang w:bidi="ar-SA"/>
              </w:rPr>
              <w:t>《危险化学品安全管理条例》第八十条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化学品安全信息的获取来源不可靠。</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注：SDS提供关于产品使用和总的危险信息。在实验室中需要对产品混合、反应、中间产物、最终产物以及可能引起风险的使用量等信息进行解释。</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27476.5-2014《检测实验室安全 第5部分 化学因素》第5.6.1.2条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物料类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实验室未在一定期限内保存所有化学品（尤其是危险化学品）的详细清单及相关记录和资料，并未定期更新。</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化学因素》第5.6.1.2条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危险化学品的数量未保持最小量，并未与其使用量和保存期限相对应。</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部分化学品在存储过程中易发生分解或发生化学反应，导致危险性增加。这类化学品未登记并妥善保管。</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盛放危险化学品的容器未密封，可能引起容器或包装泄漏致使危险化学品释放。</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化学试剂及其容器被阳光直射。</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在室温条件下不稳定的物质未保存在可维持在一定温度范围的设施中。当使用时，未提供可靠的安全措施。物质因温度变化而产生有害物的风险未被清晰地标注；</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挥发性、毒性物质未被存放在连续机械通风的通风橱柜内，远离着火源与热源</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不相容化学品存在于同一工作区域时，未采取预防措施防其不慎接触或混合。</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未对化学品包装进行严格检查以确保其完整性。泄漏或危险的包装未转移到安全处重新包装或处理。标签未重新加贴，不能清楚地辨别包装的内容物。</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物料类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打开包装、转移内容物、分配化学试剂或取样在存储危险化学物质的橱柜中或橱柜上操作。</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除橱柜具有针对上述目的的特别设计外，未启用合适的安全程序和安全防护装备的情况下进行上述操作。</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化学品的存储，包括废物，未将不相容的化学试剂分开保存，如凭借化学试剂柜防火或者采用空间隔离。不相容的液体未提供独立的溢出液收集区。</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化学品未按要求存放。</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放置在架子上的化学品未遵循以下要求：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 对置于工作台上的样品架，化学品存储高度建议不高于地面1.6 m;</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 样品架及其构造应便于化学品的存储，或者利于化学品的保护；</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 xml:space="preserve">注：不推荐刨花板或类似板材。因其受潮或遭遇化学物品时易损坏而产生危险。 </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 不应超过试剂架的最大允许存储量；</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 用于存储试剂的试剂架严禁横向移动。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为减少污染风险，液体样品未置于固体样品下方存放，且液体样品未存放尽可能地低，从而减少容器破裂和泄漏的危险。</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化学因素》第5.6.2.5条</w:t>
            </w:r>
          </w:p>
          <w:p>
            <w:pPr>
              <w:pStyle w:val="40"/>
              <w:ind w:left="100" w:right="100"/>
              <w:rPr>
                <w:bCs w:val="0"/>
                <w:sz w:val="18"/>
                <w:szCs w:val="18"/>
                <w:lang w:bidi="ar-SA"/>
              </w:rPr>
            </w:pPr>
            <w:r>
              <w:rPr>
                <w:rFonts w:hint="eastAsia"/>
                <w:bCs w:val="0"/>
                <w:sz w:val="18"/>
                <w:szCs w:val="18"/>
                <w:lang w:bidi="ar-SA"/>
              </w:rPr>
              <w:t>化学品可存放于开放的实验台架、化学品存储柜或存储间内。</w:t>
            </w:r>
          </w:p>
          <w:p>
            <w:pPr>
              <w:pStyle w:val="40"/>
              <w:ind w:left="100" w:right="100"/>
              <w:rPr>
                <w:bCs w:val="0"/>
                <w:sz w:val="18"/>
                <w:szCs w:val="18"/>
                <w:lang w:bidi="ar-SA"/>
              </w:rPr>
            </w:pP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实验室所有废物未按相关法律、法规及安全规程收集、标识、存放和处，（可参考GB 18597标准）。实验室未建立收集、储存和处理实验室化学废物的安全程序。</w:t>
            </w:r>
          </w:p>
          <w:p>
            <w:pPr>
              <w:adjustRightInd w:val="0"/>
              <w:snapToGrid w:val="0"/>
              <w:spacing w:line="240" w:lineRule="auto"/>
              <w:ind w:left="100" w:right="100"/>
              <w:rPr>
                <w:rFonts w:ascii="宋体" w:hAnsi="宋体"/>
                <w:bCs/>
                <w:szCs w:val="20"/>
                <w:lang w:bidi="mn-Mong-CN"/>
              </w:rPr>
            </w:pP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化学因素》第5.6.3.1条</w:t>
            </w:r>
          </w:p>
          <w:p>
            <w:pPr>
              <w:pStyle w:val="40"/>
              <w:ind w:left="100" w:right="100"/>
              <w:rPr>
                <w:bCs w:val="0"/>
                <w:sz w:val="18"/>
                <w:szCs w:val="18"/>
                <w:lang w:bidi="ar-SA"/>
              </w:rPr>
            </w:pPr>
            <w:r>
              <w:rPr>
                <w:rFonts w:hint="eastAsia"/>
                <w:bCs w:val="0"/>
                <w:sz w:val="18"/>
                <w:szCs w:val="18"/>
                <w:lang w:bidi="ar-SA"/>
              </w:rPr>
              <w:t>化学废物应使用合适的容器收集存储，该容器应根据废物类型明确标识。同时在使用前容器需进行净化去污处理。并且应考虑化学废物储存的兼容性，如有必要应分开存放。废物与那些因储存而变质的化学品在一起可能会使危险性增加，例如压力升高或爆炸。这类废物应加以识别并进行有效管理。</w:t>
            </w:r>
          </w:p>
          <w:p>
            <w:pPr>
              <w:pStyle w:val="40"/>
              <w:ind w:left="100" w:right="100"/>
              <w:rPr>
                <w:bCs w:val="0"/>
                <w:sz w:val="18"/>
                <w:szCs w:val="18"/>
                <w:lang w:bidi="ar-SA"/>
              </w:rPr>
            </w:pPr>
            <w:r>
              <w:rPr>
                <w:rFonts w:hint="eastAsia"/>
                <w:bCs w:val="0"/>
                <w:sz w:val="18"/>
                <w:szCs w:val="18"/>
                <w:lang w:bidi="ar-SA"/>
              </w:rPr>
              <w:t>化学废物可分成水溶液、有机溶剂、含重金属的溶液、不溶于水废物、氯化溶剂类、氧化物及普通实验室垃圾等，如有必要还可对特殊类型的混合物进行细分，例如氰化物、爆炸性材料或石棉。相互之间能发生反应的废物不应一起存放。易形成过氧化物的废物在离开实验室前要进行适当的评价和处理。</w:t>
            </w:r>
          </w:p>
          <w:p>
            <w:pPr>
              <w:pStyle w:val="40"/>
              <w:ind w:left="100" w:right="100"/>
              <w:rPr>
                <w:bCs w:val="0"/>
                <w:sz w:val="18"/>
                <w:szCs w:val="18"/>
                <w:lang w:bidi="ar-SA"/>
              </w:rPr>
            </w:pPr>
            <w:r>
              <w:rPr>
                <w:rFonts w:hint="eastAsia"/>
                <w:bCs w:val="0"/>
                <w:sz w:val="18"/>
                <w:szCs w:val="18"/>
                <w:lang w:bidi="ar-SA"/>
              </w:rPr>
              <w:t>存储化学废物的容器应置于通风良好且便于运送的区域。存放废物的区域应具有防烟、防火等设施，必要时增加防火隔离设施。</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物料类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各类实验室废物未进行适当的隔离，并未暂时收集和存放以便运输和处理。所有废物在离开实验室前，无适当的标签标识。</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化学因素》第5.6.3.3条：废物的标识语的指导原则可从相关政府机构获得。如果无明确要求，推荐的标识语应包含下列信息：</w:t>
            </w:r>
          </w:p>
          <w:p>
            <w:pPr>
              <w:pStyle w:val="40"/>
              <w:ind w:left="100" w:right="100"/>
              <w:rPr>
                <w:bCs w:val="0"/>
                <w:sz w:val="18"/>
                <w:szCs w:val="18"/>
                <w:lang w:bidi="ar-SA"/>
              </w:rPr>
            </w:pPr>
            <w:r>
              <w:rPr>
                <w:rFonts w:hint="eastAsia"/>
                <w:bCs w:val="0"/>
                <w:sz w:val="18"/>
                <w:szCs w:val="18"/>
                <w:lang w:bidi="ar-SA"/>
              </w:rPr>
              <w:t>— 物质名称或组成、单一废物列出运输名、UN号或CAS号；</w:t>
            </w:r>
          </w:p>
          <w:p>
            <w:pPr>
              <w:pStyle w:val="40"/>
              <w:ind w:left="100" w:right="100"/>
              <w:rPr>
                <w:bCs w:val="0"/>
                <w:sz w:val="18"/>
                <w:szCs w:val="18"/>
                <w:lang w:bidi="ar-SA"/>
              </w:rPr>
            </w:pPr>
            <w:r>
              <w:rPr>
                <w:rFonts w:hint="eastAsia"/>
                <w:bCs w:val="0"/>
                <w:sz w:val="18"/>
                <w:szCs w:val="18"/>
                <w:lang w:bidi="ar-SA"/>
              </w:rPr>
              <w:t>— 如有可能，对兼容性的混合废物列出主要组分及分子式；</w:t>
            </w:r>
          </w:p>
          <w:p>
            <w:pPr>
              <w:pStyle w:val="40"/>
              <w:ind w:left="100" w:right="100"/>
              <w:rPr>
                <w:bCs w:val="0"/>
                <w:sz w:val="18"/>
                <w:szCs w:val="18"/>
                <w:lang w:bidi="ar-SA"/>
              </w:rPr>
            </w:pPr>
            <w:r>
              <w:rPr>
                <w:rFonts w:hint="eastAsia"/>
                <w:bCs w:val="0"/>
                <w:sz w:val="18"/>
                <w:szCs w:val="18"/>
                <w:lang w:bidi="ar-SA"/>
              </w:rPr>
              <w:t>— 在合适的地方标识警示词语；</w:t>
            </w:r>
          </w:p>
          <w:p>
            <w:pPr>
              <w:pStyle w:val="40"/>
              <w:ind w:left="100" w:right="100"/>
              <w:rPr>
                <w:bCs w:val="0"/>
                <w:sz w:val="18"/>
                <w:szCs w:val="18"/>
                <w:lang w:bidi="ar-SA"/>
              </w:rPr>
            </w:pPr>
            <w:r>
              <w:rPr>
                <w:rFonts w:hint="eastAsia"/>
                <w:bCs w:val="0"/>
                <w:sz w:val="18"/>
                <w:szCs w:val="18"/>
                <w:lang w:bidi="ar-SA"/>
              </w:rPr>
              <w:t>— 如要求特殊程序来控制应急情况或对接触者有生命威胁，应在必要处提供额外的警示信息；</w:t>
            </w:r>
          </w:p>
          <w:p>
            <w:pPr>
              <w:pStyle w:val="40"/>
              <w:ind w:left="100" w:right="100"/>
              <w:rPr>
                <w:bCs w:val="0"/>
                <w:sz w:val="18"/>
                <w:szCs w:val="18"/>
                <w:lang w:bidi="ar-SA"/>
              </w:rPr>
            </w:pPr>
            <w:r>
              <w:rPr>
                <w:rFonts w:hint="eastAsia"/>
                <w:bCs w:val="0"/>
                <w:sz w:val="18"/>
                <w:szCs w:val="18"/>
                <w:lang w:bidi="ar-SA"/>
              </w:rPr>
              <w:t>— 对于混合废物，以上信息应基于主成分或构成主要风险的成分考虑。</w:t>
            </w:r>
          </w:p>
          <w:p>
            <w:pPr>
              <w:pStyle w:val="40"/>
              <w:ind w:left="100" w:right="100"/>
              <w:rPr>
                <w:bCs w:val="0"/>
                <w:sz w:val="18"/>
                <w:szCs w:val="18"/>
                <w:lang w:bidi="ar-SA"/>
              </w:rPr>
            </w:pPr>
            <w:r>
              <w:rPr>
                <w:rFonts w:hint="eastAsia"/>
                <w:bCs w:val="0"/>
                <w:sz w:val="18"/>
                <w:szCs w:val="18"/>
                <w:lang w:bidi="ar-SA"/>
              </w:rPr>
              <w:t>在容器被清洗除去废物或废物完成处置前，标签应紧紧地固定在容器上。标签应能抗降解，并且不应固定在容器开启处。标签上的字应经久耐用，字号和字体应便于辨识与使用。</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废物未实现最少化，并将难处理的废物直接排放到环境中。</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化学因素》第5.6.3.5条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化学废物未及时收集并从工作区域转移走，未按要求存放在指定的符合存储要求的安全区域并登录化学废物台账。</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化学因素》第5.6.3.5条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化学废物未交付有资质的化学废物处置公司处置。</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27476.5-2014《检测实验室安全 第5部分 化学因素》第5.6.3.5条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特种设备未办理使用登记，未按规定的周期进行检验。</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《中华人民共和国特种设备安全法》第三十三条、第四十条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对在用的特种设备未至少每月进行1次自行检查，未保存检查记录。</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《中华人民共和国特种设备安全法》第三十九条</w:t>
            </w:r>
          </w:p>
          <w:p>
            <w:pPr>
              <w:pStyle w:val="40"/>
              <w:ind w:left="100" w:right="100"/>
              <w:rPr>
                <w:bCs w:val="0"/>
                <w:sz w:val="18"/>
                <w:szCs w:val="18"/>
                <w:lang w:bidi="ar-SA"/>
              </w:rPr>
            </w:pPr>
            <w:r>
              <w:rPr>
                <w:rFonts w:hint="eastAsia"/>
                <w:bCs w:val="0"/>
                <w:sz w:val="18"/>
                <w:szCs w:val="18"/>
                <w:lang w:bidi="ar-SA"/>
              </w:rPr>
              <w:t>记录保存符合下列要求：</w:t>
            </w:r>
          </w:p>
          <w:p>
            <w:pPr>
              <w:pStyle w:val="40"/>
              <w:ind w:left="100" w:right="100"/>
              <w:rPr>
                <w:bCs w:val="0"/>
                <w:sz w:val="18"/>
                <w:szCs w:val="18"/>
                <w:lang w:bidi="ar-SA"/>
              </w:rPr>
            </w:pPr>
            <w:r>
              <w:rPr>
                <w:rFonts w:hint="eastAsia"/>
                <w:bCs w:val="0"/>
                <w:sz w:val="18"/>
                <w:szCs w:val="18"/>
                <w:lang w:bidi="ar-SA"/>
              </w:rPr>
              <w:t>a）压力容器、压力管道的运行记录未齐全；</w:t>
            </w:r>
          </w:p>
          <w:p>
            <w:pPr>
              <w:pStyle w:val="40"/>
              <w:ind w:left="100" w:right="100"/>
              <w:rPr>
                <w:bCs w:val="0"/>
                <w:sz w:val="18"/>
                <w:szCs w:val="18"/>
                <w:lang w:bidi="ar-SA"/>
              </w:rPr>
            </w:pPr>
            <w:r>
              <w:rPr>
                <w:rFonts w:hint="eastAsia"/>
                <w:bCs w:val="0"/>
                <w:sz w:val="18"/>
                <w:szCs w:val="18"/>
                <w:lang w:bidi="ar-SA"/>
              </w:rPr>
              <w:t>b）电梯日常维保单位的相关检查记录未齐全；</w:t>
            </w:r>
          </w:p>
          <w:p>
            <w:pPr>
              <w:pStyle w:val="40"/>
              <w:ind w:left="100" w:right="100"/>
              <w:rPr>
                <w:bCs w:val="0"/>
                <w:sz w:val="18"/>
                <w:szCs w:val="18"/>
                <w:lang w:bidi="ar-SA"/>
              </w:rPr>
            </w:pPr>
            <w:r>
              <w:rPr>
                <w:rFonts w:hint="eastAsia"/>
                <w:bCs w:val="0"/>
                <w:sz w:val="18"/>
                <w:szCs w:val="18"/>
                <w:lang w:bidi="ar-SA"/>
              </w:rPr>
              <w:t>c）场（厂）内专用机动车辆的日常点检、定期自检和日常维护保养等记录未齐全。</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特种设备的安全附件、安全保护装置未按要求定期校验检定、检修，并保存记录。</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《中华人民共和国特种设备安全法》第三十九条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设备设施的防护装置随意拆除、挪用或弃置不用；确因检维修拆除的，未采取临时安全措施，检维修完毕后未立即复原。</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33000-2016《企业安全生产标准化基本规范》第5.4.1.3条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储存瓶装气体实瓶时，存放空间温度超过60℃，且未采取喷淋等冷却措施。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23-2021《气瓶安全技术规程》第8.6.9条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空瓶与实瓶未分开放置，无明显标志。</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23-2021《气瓶安全技术规程》第8.6.9条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气瓶瓶阀、瓶帽、防震圈等安全附件不齐全、不完好，外观有明显机械损伤、变形及严重腐蚀。气瓶立放时未采取防止倾倒的措施或装置。</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第2部分：安全生产通用要求》第3.3.2.5.3条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毒性气体实瓶和瓶内气体相互接触能引起燃烧、爆炸、产生毒物的实瓶，未分室存放，并未在附近配备防毒用具和消防器材。储存易起聚合反应或者分解反应的瓶装气体时，未根据气体的性质控制存放空间的最高温度和规定储存期限。</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23-2021《气瓶安全技术规程》第8.6.9条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固定式压力容器的安全阀校验合格后未加装有铅封，并未保持铅封完好。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21-2016《固定式压力容器安全技术监察规程》第9.1.4.5条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气瓶未有清晰、完整，无变形与气瓶连结牢固的具有唯一性的气瓶追溯标识。</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1530-2018《危险化学品气瓶追溯技术规范》第4.6条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气瓶无制造标志和定期检验标志。</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23-2021《气瓶安全技术规程》第1.8.1条、第1.8.2条。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气瓶的颜色标志、字样和色环未符合GB/T 7144《气瓶颜色标志》的规定，且气瓶的字显著部位未标注办理使用登记的气瓶充装单位的名称或者简称。</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23-2021《气瓶安全技术规程》第1.8.1.3条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气瓶保护附件未符合下列要求：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(1）无缝气瓶出厂时，应当装配不影响瓶阀手轮正常使用的保护罩，并且不得装配螺纹式瓶帽；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(2）公称容积大于或者等于10L的钢质焊接气瓶（含溶解乙炔气瓶），应当装配不可拆卸的保护罩或者固定式瓶帽；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(3）气瓶保护罩或者固定式瓶帽应当具有良好的抗撞击性，不得用铸铁制造；公称容积小于或者等于5L的钢质无缝气瓶和公称容积小于或者等于15L的铝合金无缝气瓶的保护罩，可以用工程塑料制造；</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(4）不能靠瓶底竖立的气瓶，应当装配底座（采用固定支架或者集装框架的气瓶除外），使气瓶能够稳定竖立，并且有效防止气瓶底部锈蚀；</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(5)5L以上的无缝气瓶应当装配颈圈，并且在颈圈上设置适当的电子识读标志。</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23-2021《气瓶安全技术规程》第7.3条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气瓶的使用未遵循下列要求：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a）不应将盛装气体的气瓶置于人员密集或者靠近热源的场所使用（车用瓶除外），不应使用任何热源对气瓶进行加热；</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b）应购买粘贴充装产品合格标签的瓶装气体，不应购买超期未检气瓶或者报废气瓶盛装的气体；</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c）在可能造成气体回流的使用场合，设备上应配置防止倒灌的装置，如单向阀、止回阀、缓冲罐等；瓶内气体不应用尽，压缩气体、溶解乙炔气气瓶的剩余压力应不小于0.05 MPa；液化气体、低温液化气体以及低温液体气瓶应留有不少于0.5% ～ 1.0%规定充量的剩余气体。</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23-2021《气瓶安全技术规程》第8.6.9条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未将电梯安全使用说明、安全注意事项和警示标志置于易于为乘客注意的显著位置。</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《中华人民共和国特种设备安全法》第四十三条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未保证电梯轿内报警装置、对讲系统正常工作</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TSG T5002-2017《电梯维护保养规则》第六条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在安装会释放有害物质的仪器时，未综合考虑安全规定，未满足如仪器生产厂家的场地安装要求，并未确保上述仪器不会对人与环境产生危害。</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未对可能释放有害物质的仪器进行定期检查，未对其仪器周边环境进行有害物质监测。</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未对运行不正常或达到使用年限的设备应及时维修或报废，未对确需延长使用寿命的设备进行充分的安全评价。</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27476.5-2014《检测实验室安全 第5部分 化学因素》第5.4.3.2条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实验室有可预见的火灾或爆炸风险，未安装消防设备和自动火灾报警设备。</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实验室存在除火灾外的其他紧急情况下人员撤离的需求时，未考虑安装独立的对讲系统。</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实验室未配备下列应急设施：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a）紧急撤离警报系统，建筑物内所有地方都能听见，并在无法辨别声音警报的特殊环境，如背景噪声水平高，辅以视觉警报；</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b）远程信号系统，其将应急报警和任何自动监测或保护设备连接到监测场所。在远程信号系统不能实现的地方，应提供直接通信的替代方式；</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c）自动监测、火灾和人工报警系统的指示板，应安装在显眼的地方，用以指示已经运行的监测、火</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灾或人工报警器的位置。指示板应清晰、明显；</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d）任何自动、人工火灾或气体监测、保护或报警装置启动时，机械通风系统应抽排空气使得不形成循环。实验室排风系统和通风柜宜持续运行直到实验室管理人员手动将其关闭。</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实验室未提供适当的自动防故障装置或报警装置用于防烟与排烟。独立的储藏室未有一个专门的通风系统，且与其他储藏区域共用一个通风系统。</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总则》第5.3.5.1条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实验室中用于消防的防烟和排烟设施未符合GB 50016—2006第9章“防烟与排烟”的要求，其他用途的防烟和排烟设施未独立于消防用途的防烟和排烟设施。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总则》第5.3.5.2条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实验室未设置避免无授权人员进入的安防措施，如门禁系统。安防系统设计未优先考虑消防、应急要求。关于进入实验室的权限，也未考虑实验室活动的保安需求。</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总则》第5.3.8条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安全设备的配置和使用未符合以下原则：</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a）实验室应配备必要的安全设备，并确保实验室区域所有人员在需要时能够获得相关安全设备；</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b）安全设备应定期检查和维护，必要时更换；</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c）应规定和执行与实验室良好工作行为一致的实验室服装、饰品（如珠宝）、发型和鞋的要求；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d）应为实验室人员和参观者提供防护服和安全设备。对于参观者的要求可根据其活动和风险大</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小有所改变；</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e）应制定相关的安全设备采购、验收等文件，以确保实验室采购和使用的安全设备符合要求；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f）安全设备的安装、调试、使用和维护应由具备资格的人员进行；</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g）安全设备在使用前，人员应经过相关培训；</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h）应考虑设备维护人员的安全，安全措施应提前告知维护人员；</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i）用于紧急事故处理的设备，如没有得到授权，严禁用作其他用途</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总则》第5.4.1.1条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隔离状态下工作的员工无可提供的呼救方式，并在工作期间无适当的方式监视呼救。</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总则》第5.3.10条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消防设施和消防产品类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采用防爆柜、防腐柜等专柜储存易燃易爆、腐蚀性危险化学品的，专柜未放置于阴凉干燥通风处，专柜未有进风口和排风口，且不直通到室外，柜体未进行可靠接地。</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第2部分：安全生产通用要求》第3.8.5.2条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用气管道和用气设备的场所（含用餐场所、瓶组气化间、用气设备房间等），未设置可燃气体探测器，且可燃气体报警控制器未安装在有人值守的房间内，未定期检定校准。</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50028-2006《城镇燃气设计规范》第6.6.6条</w:t>
            </w:r>
          </w:p>
          <w:p>
            <w:pPr>
              <w:pStyle w:val="40"/>
              <w:ind w:left="100" w:right="100"/>
              <w:rPr>
                <w:bCs w:val="0"/>
                <w:sz w:val="18"/>
                <w:szCs w:val="18"/>
                <w:lang w:bidi="ar-SA"/>
              </w:rPr>
            </w:pPr>
            <w:r>
              <w:rPr>
                <w:rFonts w:hint="eastAsia"/>
                <w:bCs w:val="0"/>
                <w:sz w:val="18"/>
                <w:szCs w:val="18"/>
                <w:lang w:bidi="ar-SA"/>
              </w:rPr>
              <w:t>《安全生产法》第三十六条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消火栓的设置未符合下列要求：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a）下列建筑或场所未设置室内消火栓系统：</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1）高层公共建筑；</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2）体积大于5000 m3的单、多层医疗建筑。</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b）人员密集的公共建筑应设置消防软管卷盘或轻便消防水龙。</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50016-2014《建筑设计防火规范》第8.2.1条、第8.2.4条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消火栓的管理未符合下列要求：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a）室内消火栓箱不应上锁，箱内设备应齐全、完好；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b）栓箱应设置门锁或箱门关紧装置；设置门锁的栓箱，除箱门安装玻璃者以及能被击碎的透明材料外，均应设置箱门紧急开启的手动机构，应保证在没有钥匙的情况下开启灵活、可靠；</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c）物品的设置不应影响室内消火栓的正常使用；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d）室内消火栓水带外观应完整无损、无腐蚀、无污染现象，与接头未绑扎牢固；消防水喉接口绑扎组件应完整、无渗漏现象，与接头绑扎牢固；</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e）室外消火栓不应填埋、圈占，距室外消火栓、水泵接合器2 m范围内不应设置影响其正常使用的障碍物；</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f）室外消火栓、阀门、消防水泵接合器等设置地点应设置相应的永久性固定标识；</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g）每季度应对消火栓进行1次外观和漏水检查，发现有不正常的消火栓应及时更换，并保存相关记录。</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《中华人民共和国消防法》第二十八条</w:t>
            </w:r>
          </w:p>
          <w:p>
            <w:pPr>
              <w:pStyle w:val="40"/>
              <w:ind w:left="100" w:right="100"/>
              <w:rPr>
                <w:bCs w:val="0"/>
                <w:sz w:val="18"/>
                <w:szCs w:val="18"/>
                <w:lang w:bidi="ar-SA"/>
              </w:rPr>
            </w:pPr>
            <w:r>
              <w:rPr>
                <w:rFonts w:hint="eastAsia"/>
                <w:bCs w:val="0"/>
                <w:sz w:val="18"/>
                <w:szCs w:val="18"/>
                <w:lang w:bidi="ar-SA"/>
              </w:rPr>
              <w:t>GB 50974-2014《消防给水及消火栓系统技术规范》第14.0.7条、第14.0.12条</w:t>
            </w:r>
          </w:p>
          <w:p>
            <w:pPr>
              <w:pStyle w:val="40"/>
              <w:ind w:left="100" w:right="100"/>
              <w:rPr>
                <w:bCs w:val="0"/>
                <w:sz w:val="18"/>
                <w:szCs w:val="18"/>
                <w:lang w:bidi="ar-SA"/>
              </w:rPr>
            </w:pPr>
            <w:r>
              <w:rPr>
                <w:rFonts w:hint="eastAsia"/>
                <w:bCs w:val="0"/>
                <w:sz w:val="18"/>
                <w:szCs w:val="18"/>
                <w:lang w:bidi="ar-SA"/>
              </w:rPr>
              <w:t>GB/T 40248-2021《人员密集场所消防安全管理》第7.6.10条、第7.6.11条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8"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消防设施和消防产品类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灭火器的配置未符合下列要求：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a）在同一灭火器配置场所，当选用两种或两种以上类型灭火器时，应采用灭火剂相容的灭火器；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b）灭火器类型的选择应符合下列要求：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——A类火灾（固体物质火灾）场所应选择水型灭火器、磷酸铵盐干粉灭火器、泡沫灭火器；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类火灾（液体火灾或可熔化固体物质火灾）场所应选择泡沫灭火器、碳酸氢钠干粉灭火器、磷酸铵盐干粉灭火器、二氧化碳灭火器、B类火灾的水型灭火器。极性溶剂的B类火灾场所未选择B类火灾的抗溶性灭火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——C类火灾（气体火灾）场所应选择磷酸铵盐干粉灭火器、碳酸氢钠干粉灭火器、二氧化碳灭火器；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——E类火灾（物体带电燃烧的火灾）场所应选择磷酸铵盐干粉灭火器、碳酸氢钠干粉灭火器或二氧化碳灭火器，但不应选用装有金属喇叭喷筒的二氧化碳灭火器；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——F类火灾（烹饪器具内的烹饪物火灾）场所应选择适用于F类的水基型灭火器等。</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c）灭火器的设置应保证配置场所的任一点都在灭火器设置点的保护范围内。最大保护距离应符合下列要求：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——设置在A类火灾场所的灭火器，其最大保护距离应符合表H.3的规定；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——设置在B、C类火灾场所的灭火器，其最大保护距离应符合表H.4的规定；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——E类火灾场所的灭火器，其最大保护距离不应低于该场所内A类或B类火灾的规定；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d）灭火器的配置的一般规定：1个计算单元内配置的灭火器数量不应少于2具，每个设置点的灭火器数量不宜多于5具。</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50140-2005《建筑灭火器配置设计规范》第4.1.3条、第4.2.1条～第4.2.3条、第4.2.5条、第5.2条、第6.1.1条、第6.1.2条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灭火器的现场管理未符合下列要求：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灭火器材应定位存放，设在明显、便于取用的地点，存放点张贴标识，标明灭火器编号、类型、使用方法、责任人等，周围应无障碍物、遮栏、栓系等影响取用的现象。对有视线障碍的灭火器设置点，应设置指示其位置的发光标志；</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b）灭火器箱不应被遮挡、上锁或拴系，箱内应干燥清洁；</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c）嵌墙式灭火器箱及挂钩、托架的安装高度应满足手提式灭火器顶部离地面距离不大于1.50 m，底部离地面距离不小于0.08 m的规定；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d）推车式灭火器不应设置在台阶上；</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e）设置在室外的灭火器应采取防湿、防寒、防晒等相未保护措施；当灭火器设置在潮湿性或腐蚀性的场所时，应采取防湿或防腐蚀措施。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50140-2005《建筑灭火器配置规范》第5.1.1条、第5.1.2条、第5.1.4条</w:t>
            </w:r>
          </w:p>
          <w:p>
            <w:pPr>
              <w:pStyle w:val="40"/>
              <w:ind w:left="100" w:right="100"/>
              <w:rPr>
                <w:bCs w:val="0"/>
                <w:sz w:val="18"/>
                <w:szCs w:val="18"/>
                <w:lang w:bidi="ar-SA"/>
              </w:rPr>
            </w:pPr>
            <w:r>
              <w:rPr>
                <w:rFonts w:hint="eastAsia"/>
                <w:bCs w:val="0"/>
                <w:sz w:val="18"/>
                <w:szCs w:val="18"/>
                <w:lang w:bidi="ar-SA"/>
              </w:rPr>
              <w:t>GB 50444-2008《建筑灭火器配置验收及检查规范》第3.1.3条、第3.2.2条、第3.2.7条、第3.3.1条、第3.4.3条、第3.4.4条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灭火器的检查未符合下列要求：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a）灭火器简体无明显的损伤、缺陷、锈蚀、泄漏；</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b）铅封、销闩等保险装置无损坏或遗失；</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c）喷射软管完好，无明显龟裂，喷嘴不堵塞；</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d）灭火器的驱动气体压力在工作压力范围内，其中贮压式灭火器压力显示应在绿区内；</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e）大型医疗设备及操作间配备专用灭火器。</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第2部分：安全生产通用要求》第3.7.4.2条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消防应急照明灯的设置未符合下列要求：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a）疏散照明灯具应设置在出口的顶部、墙面的上部或顶棚上；</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b）备用照明灯具应设置在墙面的上部或顶棚上。</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50016-2014《建筑设计防火规范》第10.3.4条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消防给水系统未符合下列要求：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a）冬季结冰地区的消防水池、水塔等应采取防冻措施；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b）每年应检查消防水池、消防水箱等蓄水设施的结构材料的完好性，并保存记录；</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c）消防水池应设有下列设施：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1）消防水池出水管应能保证水池的有效容积能被全部利用；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2）消防水池应设置就地水位显示装置，并应在消防控制中心等地设显示消防水池水位的装置，同时应有最高和最低报警水位；</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3）消防水池应设置溢流水管和排水设施，并应采用间接排水；</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4）消防水池应设置通气管；</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5）消防水池通气管、呼吸管和溢流水管等应有防止虫鼠等进入消防水池的技术措施。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50974-2014《消防给水及消火栓系统技术规范》第4.1.5条、第4.3.9条、第4.3.10条、第14.0.10条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消防设施和消防产品类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防烟和排烟系统的配置不符合法规、国家标准、行业标准的要求，未确保完好有效。</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55036-2022 《消防设施通用规范》第11部分</w:t>
            </w:r>
          </w:p>
          <w:p>
            <w:pPr>
              <w:pStyle w:val="40"/>
              <w:ind w:left="100" w:right="100"/>
              <w:rPr>
                <w:bCs w:val="0"/>
                <w:sz w:val="18"/>
                <w:szCs w:val="18"/>
                <w:lang w:bidi="ar-SA"/>
              </w:rPr>
            </w:pPr>
            <w:r>
              <w:rPr>
                <w:rFonts w:hint="eastAsia"/>
                <w:bCs w:val="0"/>
                <w:sz w:val="18"/>
                <w:szCs w:val="18"/>
                <w:lang w:bidi="ar-SA"/>
              </w:rPr>
              <w:t>GB 50016-2014《建筑设计防火规范》第8.5.1条、第8.5.3条、第8.5.4条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火灾自动报警系统的配置不符合法规、国家标准、行业标准的要求，未确保完好有效。</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55036-2022 《消防设施通用规范》第12部分</w:t>
            </w:r>
          </w:p>
          <w:p>
            <w:pPr>
              <w:pStyle w:val="40"/>
              <w:ind w:left="100" w:right="100"/>
              <w:rPr>
                <w:bCs w:val="0"/>
                <w:sz w:val="18"/>
                <w:szCs w:val="18"/>
                <w:lang w:bidi="ar-SA"/>
              </w:rPr>
            </w:pPr>
            <w:r>
              <w:rPr>
                <w:rFonts w:hint="eastAsia"/>
                <w:bCs w:val="0"/>
                <w:sz w:val="18"/>
                <w:szCs w:val="18"/>
                <w:lang w:bidi="ar-SA"/>
              </w:rPr>
              <w:t>GB 50016-2014《建筑设计防火规范》第8.4.1条、第8.4.3条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消防设施和消防产品类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消防控制室未符合下列要求：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a）应采取防水淹的技术措施；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b）应确保火灾自动报警系统、灭火系统和其他联动控制设备处于正常工作状态，不应将应处于自动状态的设在手动状态；</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确保高位消防水箱、消防水池、气压水罐等消防储水设施水量充足，确保消防泵出水管阀门、自动喷水灭火系统管道上的阀门常开；消防水泵、防排烟风机、防火卷帘等消防用电设备的配电柜开关应处于自动位置（通电状态）；</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d）不应有与消防控制室无关的电气线路和管路穿过；</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e）应设置可直接报警的外线电话。</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50016-2014《建筑设计防火规范》第8.1.8条</w:t>
            </w:r>
          </w:p>
          <w:p>
            <w:pPr>
              <w:pStyle w:val="40"/>
              <w:ind w:left="100" w:right="100"/>
              <w:rPr>
                <w:bCs w:val="0"/>
                <w:sz w:val="18"/>
                <w:szCs w:val="18"/>
                <w:lang w:bidi="ar-SA"/>
              </w:rPr>
            </w:pPr>
            <w:r>
              <w:rPr>
                <w:rFonts w:hint="eastAsia"/>
                <w:bCs w:val="0"/>
                <w:sz w:val="18"/>
                <w:szCs w:val="18"/>
                <w:lang w:bidi="ar-SA"/>
              </w:rPr>
              <w:t>GB 25506-2010《消防控制室通用技术要求》第4.2.1条</w:t>
            </w:r>
          </w:p>
          <w:p>
            <w:pPr>
              <w:pStyle w:val="40"/>
              <w:ind w:left="100" w:right="100"/>
              <w:rPr>
                <w:bCs w:val="0"/>
                <w:sz w:val="18"/>
                <w:szCs w:val="18"/>
                <w:lang w:bidi="ar-SA"/>
              </w:rPr>
            </w:pPr>
            <w:r>
              <w:rPr>
                <w:rFonts w:hint="eastAsia"/>
                <w:bCs w:val="0"/>
                <w:sz w:val="18"/>
                <w:szCs w:val="18"/>
                <w:lang w:bidi="ar-SA"/>
              </w:rPr>
              <w:t>GB 50116-2013《火灾自动报警系统设计规范》第3.4.3条、第3.4.6条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消防控制室未至少保存下列资料：</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a）建（构）筑物竣工后的总平面布局图、建筑消防设施平面布置图、建筑消防设施系统图及安全出口布置图、重点部位位置图等；</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b）消防安全管理规章制度、应急灭火预案、应急疏散预案等；</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c）消防安全组织结构图，包括消防安全责任人、管理人、专职、义务消防人员等内容；</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d）消防安全培训记录、灭火和应急疏散预案的演练记录；</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e）值班情况、消防安全检查情况及巡查情况的记录；</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f）消防设施一览表，包括消防设施的类型、数量、状态等内容；</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g）消防系统控制逻辑关系说明、设备使用说明书、系统操作规程、系统和设备维护保养制度等；</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h）设备运行状况、接报警记录、火灾处理情况、设备检修检测报告等资料。</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25506-2010《消防控制室通用技术要求》第4.1条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辅助系统设备设施类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热力站内管道、阀门及管道保温外壳未有明显的标识。</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WS 437-2013《医院供热系统运行管理》第5.1.8条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热力站内管道及附件有泄漏。</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WS 437-2013《医院供热系统运行管理》第5.3.1.3条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燃气引入管敷设在卫生间、易燃品仓库、发电间、变配电室、不使用燃气的空调机房、通风机房、电缆沟、暖气沟、烟道和进风道、垃圾道等地方，或在室内地面下水平敷设。</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50028-2006《城镇燃气设计规范》（2020年版）第10.2.14条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当燃气金属管道螺纹连接的弯头、阀门、法兰盘等连接处的电阻值大于0.03 Ω或设计有要求时，连接处未用金属线跨接。</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QX/T 109-2009《城镇燃气防雷技术规范》第6.5.2条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辅助系统设备设施类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未依据国家公布的设备性能标准淘汰落后的电气设备。</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《中华人民共和国安全生产法》第三十八条</w:t>
            </w:r>
          </w:p>
          <w:p>
            <w:pPr>
              <w:pStyle w:val="40"/>
              <w:ind w:left="100" w:right="100"/>
              <w:rPr>
                <w:bCs w:val="0"/>
                <w:sz w:val="18"/>
                <w:szCs w:val="18"/>
                <w:lang w:bidi="ar-SA"/>
              </w:rPr>
            </w:pPr>
            <w:r>
              <w:rPr>
                <w:rFonts w:hint="eastAsia"/>
                <w:bCs w:val="0"/>
                <w:sz w:val="18"/>
                <w:szCs w:val="18"/>
                <w:lang w:bidi="ar-SA"/>
              </w:rPr>
              <w:t>DB 11/527-2021《配电室安全管理规范》第5.1.3条</w:t>
            </w:r>
          </w:p>
          <w:p>
            <w:pPr>
              <w:pStyle w:val="40"/>
              <w:ind w:left="100" w:right="100"/>
              <w:rPr>
                <w:bCs w:val="0"/>
                <w:sz w:val="18"/>
                <w:szCs w:val="18"/>
                <w:lang w:bidi="ar-SA"/>
              </w:rPr>
            </w:pPr>
            <w:r>
              <w:rPr>
                <w:rFonts w:hint="eastAsia"/>
                <w:bCs w:val="0"/>
                <w:sz w:val="18"/>
                <w:szCs w:val="18"/>
                <w:lang w:bidi="ar-SA"/>
              </w:rPr>
              <w:t>DB 11/1134-2014《高压电力用户安全用电规范》第7.2.5条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2"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高压配电装置未采用具有以下五防功能的金属封闭开关设备：</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a）防止误分、误合断路器；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b）防止带负荷分、合隔离开关或带负荷推入、拉出铠装移开式开关柜手车；</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c）防止带电挂接地线或合接地刀闸；</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d）防止带接地线合断路器或隔离开关；</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e）防止误入带电间隔。</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DB11/527-2021《配电室安全管理规范》第5.1.1条</w:t>
            </w:r>
          </w:p>
          <w:p>
            <w:pPr>
              <w:pStyle w:val="40"/>
              <w:ind w:left="100" w:right="100"/>
              <w:rPr>
                <w:bCs w:val="0"/>
                <w:sz w:val="18"/>
                <w:szCs w:val="18"/>
                <w:lang w:bidi="ar-SA"/>
              </w:rPr>
            </w:pPr>
            <w:r>
              <w:rPr>
                <w:rFonts w:hint="eastAsia"/>
                <w:bCs w:val="0"/>
                <w:sz w:val="18"/>
                <w:szCs w:val="18"/>
                <w:lang w:bidi="ar-SA"/>
              </w:rPr>
              <w:t>GB 50060-2008《3-110kV高压配电装置设计规范》第2.0.10条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新建或改造的配电室低压成套开关设备未使用具有3C认证的产品。</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《中华人民共和国认证认可条例》第三十条</w:t>
            </w:r>
          </w:p>
          <w:p>
            <w:pPr>
              <w:pStyle w:val="40"/>
              <w:ind w:left="100" w:right="100"/>
              <w:rPr>
                <w:bCs w:val="0"/>
                <w:sz w:val="18"/>
                <w:szCs w:val="18"/>
                <w:lang w:bidi="ar-SA"/>
              </w:rPr>
            </w:pPr>
            <w:r>
              <w:rPr>
                <w:rFonts w:hint="eastAsia"/>
                <w:bCs w:val="0"/>
                <w:sz w:val="18"/>
                <w:szCs w:val="18"/>
                <w:lang w:bidi="ar-SA"/>
              </w:rPr>
              <w:t>DB11/527-2021《配电室安全管理规范》第4.1.2条</w:t>
            </w:r>
          </w:p>
          <w:p>
            <w:pPr>
              <w:pStyle w:val="40"/>
              <w:ind w:left="100" w:right="100"/>
              <w:rPr>
                <w:bCs w:val="0"/>
                <w:sz w:val="18"/>
                <w:szCs w:val="18"/>
                <w:lang w:bidi="ar-SA"/>
              </w:rPr>
            </w:pPr>
            <w:r>
              <w:rPr>
                <w:rFonts w:hint="eastAsia"/>
                <w:bCs w:val="0"/>
                <w:sz w:val="18"/>
                <w:szCs w:val="18"/>
                <w:lang w:bidi="ar-SA"/>
              </w:rPr>
              <w:t>DB11/065-2010《电气防火检测技术规范》第3.2条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配电室的安全工器具未妥善保管，未存放在干燥通风的场所，不允许当作其他工具使用，且不合格的安全工器具存放在工作现场。部分安全工器具的保管还未符合下列要求：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a）绝缘杆应悬挂或架在专用支架上，不应与墙或地面接触；</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b）绝缘手套、绝缘靴应与其他工具仪表分开存放，避免直接碰触尖锐物体；</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c）高压验电器应存放在防潮的匣内或专用袋内。</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DB11/527-2021《配电室安全管理规范》第6.1.3条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安全工器具的试验要求未符合以下标准：</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 绝缘安全工器具应按 GB 26860 的试验项目和周期等要求，进行首次使用前和使用中定期的试验，合格后方可使用；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 安全带、安全绳、梯子等坠落防护装备的使用期限和检测要求应符合 GB/T 23468 的要求。</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DB11/527-2021《配电室安全管理规范》第7.4.5条</w:t>
            </w:r>
          </w:p>
          <w:p>
            <w:pPr>
              <w:pStyle w:val="40"/>
              <w:ind w:left="100" w:right="100"/>
              <w:rPr>
                <w:bCs w:val="0"/>
                <w:sz w:val="18"/>
                <w:szCs w:val="18"/>
                <w:lang w:bidi="ar-SA"/>
              </w:rPr>
            </w:pPr>
            <w:r>
              <w:rPr>
                <w:rFonts w:hint="eastAsia"/>
                <w:bCs w:val="0"/>
                <w:sz w:val="18"/>
                <w:szCs w:val="18"/>
                <w:lang w:bidi="ar-SA"/>
              </w:rPr>
              <w:t>DB11/1134-2014《高压电力用户安全用电规范》第9.7.2条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未按 DL/T 596 的试验项目和周期要求，进行电气设备的预防性试验。</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DB11/527-2021《配电室安全管理规范》第7.4.2条</w:t>
            </w:r>
          </w:p>
          <w:p>
            <w:pPr>
              <w:pStyle w:val="40"/>
              <w:ind w:left="100" w:right="100"/>
              <w:rPr>
                <w:bCs w:val="0"/>
                <w:sz w:val="18"/>
                <w:szCs w:val="18"/>
                <w:lang w:bidi="ar-SA"/>
              </w:rPr>
            </w:pPr>
            <w:r>
              <w:rPr>
                <w:rFonts w:hint="eastAsia"/>
                <w:bCs w:val="0"/>
                <w:sz w:val="18"/>
                <w:szCs w:val="18"/>
                <w:lang w:bidi="ar-SA"/>
              </w:rPr>
              <w:t>DB11/1134-2014《高压电力用户安全用电规范》第11.1.2条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未根据设备污秽情况、运行工况、负荷重要程度及负荷运行情况等安排设备清扫检查工作。一般情况下至少每年1次。</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DB11/527-2021《配电室安全管理规范》第7.4.7条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辅助系统设备设施类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使用柴、汽油发电机作为自备应急电源的疾控中心，未定期对柴、汽发电机进行安全检查、预防性试验、启机试验和切换装置的切换试验，并未做好记录。</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DB11/527-2021《配电室安全管理规范》第5.3.1条</w:t>
            </w:r>
          </w:p>
          <w:p>
            <w:pPr>
              <w:pStyle w:val="40"/>
              <w:ind w:left="100" w:right="100"/>
              <w:rPr>
                <w:bCs w:val="0"/>
                <w:sz w:val="18"/>
                <w:szCs w:val="18"/>
                <w:lang w:bidi="ar-SA"/>
              </w:rPr>
            </w:pPr>
            <w:r>
              <w:rPr>
                <w:rFonts w:hint="eastAsia"/>
                <w:bCs w:val="0"/>
                <w:sz w:val="18"/>
                <w:szCs w:val="18"/>
                <w:lang w:bidi="ar-SA"/>
              </w:rPr>
              <w:t>DB11/1134-2014《高压电力用户安全用电规范》第8.4.1条</w:t>
            </w:r>
          </w:p>
          <w:p>
            <w:pPr>
              <w:pStyle w:val="40"/>
              <w:ind w:left="100" w:right="100"/>
              <w:rPr>
                <w:bCs w:val="0"/>
                <w:sz w:val="18"/>
                <w:szCs w:val="18"/>
                <w:lang w:bidi="ar-SA"/>
              </w:rPr>
            </w:pPr>
            <w:r>
              <w:rPr>
                <w:rFonts w:hint="eastAsia"/>
                <w:bCs w:val="0"/>
                <w:sz w:val="18"/>
                <w:szCs w:val="18"/>
                <w:lang w:bidi="ar-SA"/>
              </w:rPr>
              <w:t>GB/T 29328-2018《重要电力用户供电电源及自备应急电源配置技术规范》第7.4.1条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当配电室设置在地下时，未采取防水措施。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DB11/527-2021《电室安全管理规范》第6.3.11条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系统布线的敷设，未避免因环境温度、外部热源、浸水、灰尘聚集及腐蚀性或污染物质等外部影响对布线系统带来的损害，并未防止在敷设和使用过程中因受撞击、振动、电线或电缆自重和建筑物的变形等各种机械应力作用而带来的损害。</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JGJ 16-2008《民用建筑电气设计规范》第8.1.8条</w:t>
            </w:r>
          </w:p>
          <w:p>
            <w:pPr>
              <w:pStyle w:val="40"/>
              <w:ind w:left="100" w:right="100"/>
              <w:rPr>
                <w:bCs w:val="0"/>
                <w:sz w:val="18"/>
                <w:szCs w:val="18"/>
                <w:lang w:bidi="ar-SA"/>
              </w:rPr>
            </w:pPr>
            <w:r>
              <w:rPr>
                <w:rFonts w:hint="eastAsia"/>
                <w:bCs w:val="0"/>
                <w:sz w:val="18"/>
                <w:szCs w:val="18"/>
                <w:lang w:bidi="ar-SA"/>
              </w:rPr>
              <w:t>GB 50054-2011《低压配电设计规范》第7.1.5条1款</w:t>
            </w:r>
          </w:p>
          <w:p>
            <w:pPr>
              <w:pStyle w:val="40"/>
              <w:ind w:left="100" w:right="100"/>
              <w:rPr>
                <w:bCs w:val="0"/>
                <w:sz w:val="18"/>
                <w:szCs w:val="18"/>
                <w:lang w:bidi="ar-SA"/>
              </w:rPr>
            </w:pPr>
            <w:r>
              <w:rPr>
                <w:rFonts w:hint="eastAsia"/>
                <w:bCs w:val="0"/>
                <w:sz w:val="18"/>
                <w:szCs w:val="18"/>
                <w:lang w:bidi="ar-SA"/>
              </w:rPr>
              <w:t>GB 50575-2010《1kV及以下配线工程施工与验收规范》第3.0.5条6款</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正常环境的屋内场所除建筑物顶棚及地沟内外，采用直敷布线时，不符合下列要求：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a）直敷布线应采用护套绝缘导线，且护套绝缘导线至地面的最小距离应符合表G.4的规定；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b）当导线水平敷设至地面的距离小于2.5 m，垂直敷设至地面低于1.8 m的部分应穿管保护；</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c）导线与接地导体及不发热的管道紧贴交叉时，应用绝缘管保护；敷设在易受机械损伤的场所应用钢管保护；</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d）导线不应直接敷设在建筑物顶棚内。</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50575-2010《1kV及以下配线工程施工与验收规范》第5.5.1条、第5.5.4条、第5.5.5条</w:t>
            </w:r>
          </w:p>
          <w:p>
            <w:pPr>
              <w:pStyle w:val="40"/>
              <w:ind w:left="100" w:right="100"/>
              <w:rPr>
                <w:bCs w:val="0"/>
                <w:sz w:val="18"/>
                <w:szCs w:val="18"/>
                <w:lang w:bidi="ar-SA"/>
              </w:rPr>
            </w:pPr>
            <w:r>
              <w:rPr>
                <w:rFonts w:hint="eastAsia"/>
                <w:bCs w:val="0"/>
                <w:sz w:val="18"/>
                <w:szCs w:val="18"/>
                <w:lang w:bidi="ar-SA"/>
              </w:rPr>
              <w:t>GB 50054-2011《低压配电设计规范》第7.2.1条2款、第7.2.1条4款</w:t>
            </w:r>
          </w:p>
          <w:p>
            <w:pPr>
              <w:pStyle w:val="40"/>
              <w:ind w:left="100" w:right="100"/>
              <w:rPr>
                <w:bCs w:val="0"/>
                <w:sz w:val="18"/>
                <w:szCs w:val="18"/>
                <w:lang w:bidi="ar-SA"/>
              </w:rPr>
            </w:pPr>
            <w:r>
              <w:rPr>
                <w:rFonts w:hint="eastAsia"/>
                <w:bCs w:val="0"/>
                <w:sz w:val="18"/>
                <w:szCs w:val="18"/>
                <w:lang w:bidi="ar-SA"/>
              </w:rPr>
              <w:t>GB 50303-2015《建筑电气工程施工质量验收规范》第15.1.1条、第15.1.2条、第15.1.3条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用电场所线路接头连接不可靠，存在机械损伤、松动，导线接头未设在盒（箱）</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或器具内，盒（箱）配件不齐全，固定不牢固。</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DB11/T1322.56-2018《安全生产等级评定技术规范 第56部分：医疗卫生机构》第3.6.2.1.4条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对于横跨通道的电气线路，如未能进行埋地敷设，未采用完好有效的保护措施。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50054-2011《低压配电设计规范》第7.2.28条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 xml:space="preserve">接地系统、电气设备的外露可导电部分和智能化系统的接地应符合《建筑电气与智能化通用规范》等规范的要求。 </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55024-2022 《建筑电气与智能化通用规范》第7.2部分。</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电气线路通过地板、墙壁、屋顶、天花板、隔墙等建筑构件时，其孔隙未按同建筑物构建耐火等级的规定封堵。</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JGJ 16-2008《民用建筑电气设计规范》第8.1.8条</w:t>
            </w:r>
          </w:p>
          <w:p>
            <w:pPr>
              <w:pStyle w:val="40"/>
              <w:ind w:left="100" w:right="100"/>
              <w:rPr>
                <w:bCs w:val="0"/>
                <w:sz w:val="18"/>
                <w:szCs w:val="18"/>
                <w:lang w:bidi="ar-SA"/>
              </w:rPr>
            </w:pPr>
            <w:r>
              <w:rPr>
                <w:rFonts w:hint="eastAsia"/>
                <w:bCs w:val="0"/>
                <w:sz w:val="18"/>
                <w:szCs w:val="18"/>
                <w:lang w:bidi="ar-SA"/>
              </w:rPr>
              <w:t>GB 50054-2011《低压配电设计规范》第7.1.5条1款</w:t>
            </w:r>
          </w:p>
          <w:p>
            <w:pPr>
              <w:pStyle w:val="40"/>
              <w:ind w:left="100" w:right="100"/>
              <w:rPr>
                <w:bCs w:val="0"/>
                <w:sz w:val="18"/>
                <w:szCs w:val="18"/>
                <w:lang w:bidi="ar-SA"/>
              </w:rPr>
            </w:pPr>
            <w:r>
              <w:rPr>
                <w:rFonts w:hint="eastAsia"/>
                <w:bCs w:val="0"/>
                <w:sz w:val="18"/>
                <w:szCs w:val="18"/>
                <w:lang w:bidi="ar-SA"/>
              </w:rPr>
              <w:t>GB 50575-2010《1kV及以下配线工程施工与验收规范》第3.0.5条6款</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辅助系统设备设施类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配电箱（柜）未张贴醒目的安全警告标志和编号、标识，且未符合下列要求：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a）配电箱应标识所控对象的名称、编号等，且与实际相符合；</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b）应有电气控制线路图；</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c）对于多路控制的配电箱（柜），在控制位置上标明所控制的电气设备的名称，且用途标识应齐全清晰。</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2894-2008《安全标志及其使用导则》第4.2.3条</w:t>
            </w:r>
          </w:p>
          <w:p>
            <w:pPr>
              <w:pStyle w:val="40"/>
              <w:ind w:left="100" w:right="100"/>
              <w:rPr>
                <w:bCs w:val="0"/>
                <w:sz w:val="18"/>
                <w:szCs w:val="18"/>
                <w:lang w:bidi="ar-SA"/>
              </w:rPr>
            </w:pPr>
            <w:r>
              <w:rPr>
                <w:rFonts w:hint="eastAsia"/>
                <w:bCs w:val="0"/>
                <w:sz w:val="18"/>
                <w:szCs w:val="18"/>
                <w:lang w:bidi="ar-SA"/>
              </w:rPr>
              <w:t>GB 50303-2015《建筑电气工程施工质量验收规范》第5.2.10条2款</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配电箱（柜）的箱门有破损，装有电器的箱门与箱体未进行可靠跨接。</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50303-2015《建筑电气工程施工质量验收规范》第5.2.10条4款、第5.1.1条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配电箱（柜）的安装未符合下列要求：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a）配电箱（柜）前方1.2 m范围内应无任何妨碍操作与维修的物品，如因工艺布置、设备安装确有困难时可减至0.8 m，但不应影响箱门开启和操作；</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b）配电箱（柜）周边0.3 m内不应有可燃物，箱（柜）体内和下方不应搁置和堆放可燃物；</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c）落地式配电箱（柜）的底座周围应采取封闭措施，并应能防止鼠、蛇类等小动物进入箱（柜）内。</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50054-2011《低压配电设计规范》第4.2.1条、第4.2.5条注5</w:t>
            </w:r>
          </w:p>
          <w:p>
            <w:pPr>
              <w:pStyle w:val="40"/>
              <w:ind w:left="100" w:right="100"/>
              <w:rPr>
                <w:bCs w:val="0"/>
                <w:sz w:val="18"/>
                <w:szCs w:val="18"/>
                <w:lang w:bidi="ar-SA"/>
              </w:rPr>
            </w:pPr>
            <w:r>
              <w:rPr>
                <w:rFonts w:hint="eastAsia"/>
                <w:bCs w:val="0"/>
                <w:sz w:val="18"/>
                <w:szCs w:val="18"/>
                <w:lang w:bidi="ar-SA"/>
              </w:rPr>
              <w:t>DB11/065-2010《电气防火检测技术规范》第5.5.2.7c）条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配电箱（柜）内导线的安装和敷设未符合下列要求：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a）进出导线应套管或用橡胶圈进行防护，不应与金属尖锐端口直接接触；</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b）导线不应卡在电气箱柜的金属外壳上，致使盖板无法盖上；</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c）箱内导线的颜色应符合要求，任何情况下颜色标记不应混用和互相代用。</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50617-2010《建筑电气照明装置施工与验收规范》第6.0.3条3款</w:t>
            </w:r>
          </w:p>
          <w:p>
            <w:pPr>
              <w:pStyle w:val="40"/>
              <w:ind w:left="100" w:right="100"/>
              <w:rPr>
                <w:bCs w:val="0"/>
                <w:sz w:val="18"/>
                <w:szCs w:val="18"/>
                <w:lang w:bidi="ar-SA"/>
              </w:rPr>
            </w:pPr>
            <w:r>
              <w:rPr>
                <w:rFonts w:hint="eastAsia"/>
                <w:bCs w:val="0"/>
                <w:sz w:val="18"/>
                <w:szCs w:val="18"/>
                <w:lang w:bidi="ar-SA"/>
              </w:rPr>
              <w:t>GB 50575-2010《1kV及以下配线工程施工与验收规范》第5.1.1条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炊事机械电源线路未敷设在无浸泡、无高温和无压砸的沿墙壁面。</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1322.56-2018《安全生产等级评定技术规范 第56部分：医疗卫生机构》第3.5.7.1条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餐厅内对于受烟尘、雾水等因素影响较大的电气开关未有防护装置。</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1322.56-2018《安全生产等级评定技术规范 第56部分：医疗卫生机构》第3.5.7.2条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餐厅内灶台照明未使用防潮灯。</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《北京市餐饮经营单位安全生产规定》（北京市政府令[2006]177号）第二十五条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照明灯具直接安装在可燃装修材料或可燃构件上，普通灯具与可燃物品的距离小于0.3 m。</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DB11/065-2010《电气防火检测技术规范》第6.1.2.3条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插座、开关无3C认证标志，使用破损、烧焦的插座、开关。</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《中华人民共和国认证认可条例》第三十条</w:t>
            </w:r>
          </w:p>
          <w:p>
            <w:pPr>
              <w:pStyle w:val="40"/>
              <w:ind w:left="100" w:right="100"/>
              <w:rPr>
                <w:bCs w:val="0"/>
                <w:sz w:val="18"/>
                <w:szCs w:val="18"/>
                <w:lang w:bidi="ar-SA"/>
              </w:rPr>
            </w:pPr>
            <w:r>
              <w:rPr>
                <w:rFonts w:hint="eastAsia"/>
                <w:bCs w:val="0"/>
                <w:sz w:val="18"/>
                <w:szCs w:val="18"/>
                <w:lang w:bidi="ar-SA"/>
              </w:rPr>
              <w:t>GB 26164.1-2010《电业安全工作规 第1部分：热力和机械》第3.5.5条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插座的安装未符合下列要求：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a）插座安装盒应固定牢固，不应将安装盒吊挂着使用；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b）潮湿场所应采用防溅型插座；</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c）地面插座应紧贴地面，盖板固定牢固，密封良好，且用配线接线盒；</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d）插座及其电源线靠近可燃物时，应采取隔热、散热等防火保护措施。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DB11/065-2010《电气防火检测技术规范》第5.4.1条b）款、c）款、d）款、f）款</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设备设施及物料类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辅助系统设备设施类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将电线直接钩挂在闸刀上或直接插入插座内使用。</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50617-2010《建筑电气照明装置施工与验收规范》第5.1.2条4款</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移动式插座的使用未符合下列要求：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a）不应放置在可燃物上或被可燃物覆盖；</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b）不应串接使用；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c）插孔的双头插头和三头插头应分开。</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DB11/065-2010《电气防火检测技术规范》第5.4.1条k）款</w:t>
            </w:r>
          </w:p>
          <w:p>
            <w:pPr>
              <w:pStyle w:val="40"/>
              <w:ind w:left="100" w:right="100"/>
              <w:rPr>
                <w:bCs w:val="0"/>
                <w:sz w:val="18"/>
                <w:szCs w:val="18"/>
                <w:lang w:bidi="ar-SA"/>
              </w:rPr>
            </w:pPr>
            <w:r>
              <w:rPr>
                <w:rFonts w:hint="eastAsia"/>
                <w:bCs w:val="0"/>
                <w:sz w:val="18"/>
                <w:szCs w:val="18"/>
                <w:lang w:bidi="ar-SA"/>
              </w:rPr>
              <w:t>GB 2099.3-2015《家用和类似用途插头插座 第2-5部分：转换器的特殊要求》第9.1条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szCs w:val="20"/>
                <w:lang w:bidi="mn-Mong-CN"/>
              </w:rPr>
            </w:pPr>
            <w:r>
              <w:rPr>
                <w:rFonts w:hint="eastAsia" w:ascii="Times New Roman" w:hAnsi="Times New Roman"/>
                <w:bCs/>
                <w:kern w:val="0"/>
                <w:szCs w:val="20"/>
              </w:rPr>
              <w:t>人员类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资格资质类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配电室值班人员未取得合格有效的电工作业操作资格，资格证书原件由值班人员上岗时随身携带或由医疗卫生机构统一进行管理。</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《中华人民共和国安全生产法》第三十条</w:t>
            </w:r>
          </w:p>
          <w:p>
            <w:pPr>
              <w:pStyle w:val="40"/>
              <w:ind w:left="100" w:right="100"/>
              <w:rPr>
                <w:bCs w:val="0"/>
                <w:sz w:val="18"/>
                <w:szCs w:val="18"/>
                <w:lang w:bidi="ar-SA"/>
              </w:rPr>
            </w:pPr>
            <w:r>
              <w:rPr>
                <w:rFonts w:hint="eastAsia"/>
                <w:bCs w:val="0"/>
                <w:sz w:val="18"/>
                <w:szCs w:val="18"/>
                <w:lang w:bidi="ar-SA"/>
              </w:rPr>
              <w:t>《生产经营单位安全培训规定》第十八条</w:t>
            </w:r>
          </w:p>
          <w:p>
            <w:pPr>
              <w:pStyle w:val="40"/>
              <w:ind w:left="100" w:right="100"/>
              <w:rPr>
                <w:bCs w:val="0"/>
                <w:sz w:val="18"/>
                <w:szCs w:val="18"/>
                <w:lang w:bidi="ar-SA"/>
              </w:rPr>
            </w:pPr>
            <w:r>
              <w:rPr>
                <w:rFonts w:hint="eastAsia"/>
                <w:bCs w:val="0"/>
                <w:sz w:val="18"/>
                <w:szCs w:val="18"/>
                <w:lang w:bidi="ar-SA"/>
              </w:rPr>
              <w:t>DB11/527-2021《配电室安全管理规范》第8.1.1条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实验室检测及辅助工作未经授权就进行，授权未能充分考虑其对安全知识的掌握。</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未经适当的授权，检测人员从事检测工作，维护和清洁人员从事实验室的维护和清洁。</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27476.5-2014检测实验室安全 第5部分化学因素第5.2.1.5条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操作行为类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值班人员的配置未符合下列要求：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a）35 kV电压等级的变配电室，10/6 kV电压等级、变压器容量在630 kVA及以上的主变配电室，应安排专人值班，值班人员不少于2人，且应明确其中1人为值长；</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b）10/6 kV电压等级、变压器容量在500 kVA及以下的变配电室，可不设专人值班，但应由电工人员负责运行检查工作。</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DB11/527-2021《配电室安全管理规范》第8.1.3条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值班人员上岗期间未穿全棉长袖工作服和绝缘鞋，未坚守工作岗位，且有以下行为：</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 接班前及当班期间违反章程、违反劳动纪律；</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 利用供电企业停电期间，未经供电企业同意，在自己所不能控制的电气设备或线路上，装设短路</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线、接地线或进行检修维护等工作；</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 约时停、送电；</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 擅自拆除闭锁装置或者使其失效；</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 其他与工作无关的活动。</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DB11/527-2021《配电室安全管理规范第》第8.2.1条、第8.2.2条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消防控制室值班和人员管理未符合下列要求：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a）消防控制室实行每日24 h专人值班制度，每班不应少于2人，值班人员应持有消防控制室操作职业资格证书；</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b）消防控制室值班人员对火灾报警控制器进行检查、接班、交班时，应填写《消防控制室值班记录表》的相关内容。值班期间应每2 h记录1次消防控制室内消防设备的运行情况；</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c）室内不应堆放杂物，应保证其环境满足设备正常运行的要求。</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《机关、团体、企业、事业单位消防安全管理规定》第三十八条</w:t>
            </w:r>
          </w:p>
          <w:p>
            <w:pPr>
              <w:pStyle w:val="40"/>
              <w:ind w:left="100" w:right="100"/>
              <w:rPr>
                <w:bCs w:val="0"/>
                <w:sz w:val="18"/>
                <w:szCs w:val="18"/>
                <w:lang w:bidi="ar-SA"/>
              </w:rPr>
            </w:pPr>
            <w:r>
              <w:rPr>
                <w:rFonts w:hint="eastAsia"/>
                <w:bCs w:val="0"/>
                <w:sz w:val="18"/>
                <w:szCs w:val="18"/>
                <w:lang w:bidi="ar-SA"/>
              </w:rPr>
              <w:t>GB 25506-2010《消防控制室通用技术要求》第4.2.1条</w:t>
            </w:r>
          </w:p>
          <w:p>
            <w:pPr>
              <w:pStyle w:val="40"/>
              <w:ind w:left="100" w:right="100"/>
              <w:rPr>
                <w:bCs w:val="0"/>
                <w:sz w:val="18"/>
                <w:szCs w:val="18"/>
                <w:lang w:bidi="ar-SA"/>
              </w:rPr>
            </w:pPr>
            <w:r>
              <w:rPr>
                <w:rFonts w:hint="eastAsia"/>
                <w:bCs w:val="0"/>
                <w:sz w:val="18"/>
                <w:szCs w:val="18"/>
                <w:lang w:bidi="ar-SA"/>
              </w:rPr>
              <w:t>GB 25201-2010《建筑消防设施的维护管理》第5.2条</w:t>
            </w:r>
          </w:p>
          <w:p>
            <w:pPr>
              <w:pStyle w:val="40"/>
              <w:ind w:left="100" w:right="100"/>
              <w:rPr>
                <w:bCs w:val="0"/>
                <w:sz w:val="18"/>
                <w:szCs w:val="18"/>
                <w:lang w:bidi="ar-SA"/>
              </w:rPr>
            </w:pPr>
            <w:r>
              <w:rPr>
                <w:rFonts w:hint="eastAsia"/>
                <w:bCs w:val="0"/>
                <w:sz w:val="18"/>
                <w:szCs w:val="18"/>
                <w:lang w:bidi="ar-SA"/>
              </w:rPr>
              <w:t>GB/T 40248-2021《人员密集场所消防安全管理》第7.6.10条、第7.6.11条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个人防护用品使用类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现场检查发现采购的劳动防护用品的质量不符合《个体防护装备配备规范 第1部分：总则》等国家、行业的相关标准要求。</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《中华人民共和国安全生产法》第四十五条</w:t>
            </w:r>
          </w:p>
          <w:p>
            <w:pPr>
              <w:pStyle w:val="40"/>
              <w:ind w:left="100" w:right="100"/>
              <w:rPr>
                <w:bCs w:val="0"/>
                <w:sz w:val="18"/>
                <w:szCs w:val="18"/>
                <w:lang w:bidi="ar-SA"/>
              </w:rPr>
            </w:pPr>
            <w:r>
              <w:rPr>
                <w:rFonts w:hint="eastAsia"/>
                <w:bCs w:val="0"/>
                <w:sz w:val="18"/>
                <w:szCs w:val="18"/>
                <w:lang w:bidi="ar-SA"/>
              </w:rPr>
              <w:t>GB 39800.1-2020 《个体防护装备配备规范_第1部分：总则》第4.3条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未为从业人员提供劳动防护用品，未确保从业人员正确佩戴和使用劳动防护用品。</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《中华人民共和国安全生产法》第四十五条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除实验室内的安全设备外，在每个主实验室或综合实验室的入口通道处未设有一个安全站，里面包含与工作类型相应的安全设备，如：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a）眼护具；</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b）安全帽；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 一次性衣物；</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d）灭火器（适用于电和化学类火灾）；</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e）化学泄漏物的吸收材料；</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f）防护手套，如隔热、耐化学腐蚀；</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g）合适类型的手电筒，如适用于危险区域；</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h）护听器；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i) 适当时，维护良好的自给式呼吸器</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总则》第5.4.1.3条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szCs w:val="20"/>
                <w:lang w:bidi="mn-Mong-CN"/>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实验室未识别和确定个体防护装备的需求，并未配备充分的个体防护装备。未根据实验类别和个体防护装备的防护性能选用合适的个体防护装备。</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实验室未定期检查个体防护装备，确保其状态完好。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未根据GB/T 11 651 —2008的要求更换和报废个体防护装备，避免使用过期和失效的个体防护装备。</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rPr>
                <w:bCs w:val="0"/>
                <w:sz w:val="18"/>
                <w:szCs w:val="18"/>
                <w:lang w:bidi="ar-SA"/>
              </w:rPr>
            </w:pPr>
            <w:r>
              <w:rPr>
                <w:rFonts w:hint="eastAsia"/>
                <w:bCs w:val="0"/>
                <w:sz w:val="18"/>
                <w:szCs w:val="18"/>
                <w:lang w:bidi="ar-SA"/>
              </w:rPr>
              <w:t>GB/T 27476.1-2014《检测实验室安全 第1部分 总则》第5.4.2.1条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场所环境类</w:t>
            </w:r>
          </w:p>
        </w:tc>
        <w:tc>
          <w:tcPr>
            <w:tcW w:w="9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平面布置类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未在显著位置设置消防疏散楼层指示图。</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DB11/1024-2013《消防安全疏散标志设置标准》第3.3.1条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建（构）筑物类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新建、改建、扩建建筑使用彩钢板。既有建筑使用低于A类燃烧性能的彩钢板。</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1322.56-2018《安全生产等级评定技术规范 第56部分：医疗卫生机构》DB11/T 1322.56-2018《安全生产等级评定技术规范 第56部分：医疗卫生机构》第3.2.2.1条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未按规定设置建筑物防雷装置，并未保持完好有效。防雷装置至少每年未检测1次，对爆炸危险环境场所的防雷装置至少每半年未检测1次，检测由未具有防雷检测资质的单位进行，并未出具检测报告。</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《防雷减灾管理办法（修订）》（中国气象局第24号令）第十九条、第二十一条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场所环境类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建（构）筑物类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变配电系统的门、窗未符合下列要求：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a）出入口的门为防火门，向外开启，并应装锁，且门锁应便于值班人员在紧急情况下打开；</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b）设备间与附属房间之间的门应向附属房间方向开启。高压间与低压间之间的门，应向低压间方向开启。配电装置室的中间门应采用双向开启门；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c）地面变配电室的通往室外的门、窗应装有纱门且门上方应装设雨罩；</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d）应设置防止雨、雪和小动物从采光窗、通风窗、门、通风管道、桥架、电缆保护管等进入室内的设施；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e）出入口应设置高度不低于400 mm的防小动物挡板。</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JGJ 16-2008《民用建筑电气设计规范》第4.9.2条</w:t>
            </w:r>
          </w:p>
          <w:p>
            <w:pPr>
              <w:pStyle w:val="40"/>
              <w:ind w:left="100" w:right="100"/>
              <w:rPr>
                <w:bCs w:val="0"/>
                <w:sz w:val="18"/>
                <w:szCs w:val="18"/>
                <w:lang w:bidi="ar-SA"/>
              </w:rPr>
            </w:pPr>
            <w:r>
              <w:rPr>
                <w:rFonts w:hint="eastAsia"/>
                <w:bCs w:val="0"/>
                <w:sz w:val="18"/>
                <w:szCs w:val="18"/>
                <w:lang w:bidi="ar-SA"/>
              </w:rPr>
              <w:t>GB 50053-2013《20kV及以下变电所设计规范》第6.1.3条</w:t>
            </w:r>
          </w:p>
          <w:p>
            <w:pPr>
              <w:pStyle w:val="40"/>
              <w:ind w:left="100" w:right="100"/>
              <w:rPr>
                <w:bCs w:val="0"/>
                <w:sz w:val="18"/>
                <w:szCs w:val="18"/>
                <w:lang w:bidi="ar-SA"/>
              </w:rPr>
            </w:pPr>
            <w:r>
              <w:rPr>
                <w:rFonts w:hint="eastAsia"/>
                <w:bCs w:val="0"/>
                <w:sz w:val="18"/>
                <w:szCs w:val="18"/>
                <w:lang w:bidi="ar-SA"/>
              </w:rPr>
              <w:t>GB 50060-2008《3-110kV高压配电装置设计规范》第7.1.4条</w:t>
            </w:r>
          </w:p>
          <w:p>
            <w:pPr>
              <w:pStyle w:val="40"/>
              <w:ind w:left="100" w:right="100"/>
              <w:rPr>
                <w:bCs w:val="0"/>
                <w:sz w:val="18"/>
                <w:szCs w:val="18"/>
                <w:lang w:bidi="ar-SA"/>
              </w:rPr>
            </w:pPr>
            <w:r>
              <w:rPr>
                <w:rFonts w:hint="eastAsia"/>
                <w:bCs w:val="0"/>
                <w:sz w:val="18"/>
                <w:szCs w:val="18"/>
                <w:lang w:bidi="ar-SA"/>
              </w:rPr>
              <w:t>DB11/527-2021《配电室安全管理规范》第6.3.9条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常闭式防火门未保持关闭。常开式防火门的关闭装置未完好有效，并未保证火灾等异常情况下能自动关闭。</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WS 308-2009《医疗机构消防安全管理》第4.1.10条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防火卷帘门两侧各0.5 m范围内堆放物品，并未用黄色标识线划定范围。</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40248-2021《人员密集场所消防安全管理》第8.8.2条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设在建筑物内的危险化学品储存场所，未选择靠外墙、人员较少的位置，并未设置防火墙、泄压设施；与其他建筑物贴邻设置的储存场所时，有门、窗与相邻建筑物相通。</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1322.56-2018《安全生产等级评定技术规范 第56部分：医疗卫生机构》第3.5.3.1条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消防车道的设置未符合下列要求：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a）当建筑物沿街道部分的长度大于150 m或总长度大于220 m时，应设置穿过建筑物的消防车道。确有困难时，应设置环形消防车道；</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b）设有高层建筑的医疗卫生机构，应设置环形消防车道，确有困难时，可沿建筑的两个长边设置消防车道；</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c）有封闭内院或天井的建筑物，当内院或天井的短边长度大于24 m时，宜设置进入内院或天井的消防车道；当该建筑物沿街时，应设置连通街道和内院的人行通道（可利用楼梯间），其间距不宜大于80 m；</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d）在穿过建筑物或进入建筑物内院的消防车道两侧，不应设置影响消防车通行或人员安全疏散的设施；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e）消防车道的净宽度和净空高度均不应小于4 m，且转弯半径应满足消防车转弯的要求；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f）消防车道与建筑之间不应设置妨碍消防车操作的树木、架空管线等障碍物。</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50016-2014《建筑设计防火规范》第7.1.1条、第7.1.2条、第7.1.4条、第7.1.5条、第7.1.8条</w:t>
            </w:r>
          </w:p>
          <w:p>
            <w:pPr>
              <w:pStyle w:val="40"/>
              <w:ind w:left="100" w:right="100"/>
              <w:rPr>
                <w:bCs w:val="0"/>
                <w:sz w:val="18"/>
                <w:szCs w:val="18"/>
                <w:lang w:bidi="ar-SA"/>
              </w:rPr>
            </w:pP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设备设施周围未设置必要的安全巡视、检查和检修通道。</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1322.56-2018《安全生产等级评定技术规范 第56部分：医疗卫生机构》第3.3.1.4条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场所环境类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安全出口及疏散通道类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安全出口和疏散通道未保持畅通，存在占用、堵塞、封闭安全出口和疏散通道或者有其他妨碍安全疏散的行为。</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《中华人民共和国消防法》第十六条</w:t>
            </w:r>
          </w:p>
          <w:p>
            <w:pPr>
              <w:pStyle w:val="40"/>
              <w:ind w:left="100" w:right="100"/>
              <w:rPr>
                <w:bCs w:val="0"/>
                <w:sz w:val="18"/>
                <w:szCs w:val="18"/>
                <w:lang w:bidi="ar-SA"/>
              </w:rPr>
            </w:pPr>
            <w:r>
              <w:rPr>
                <w:rFonts w:hint="eastAsia"/>
                <w:bCs w:val="0"/>
                <w:sz w:val="18"/>
                <w:szCs w:val="18"/>
                <w:lang w:bidi="ar-SA"/>
              </w:rPr>
              <w:t>《北京市消防条例》第十二条</w:t>
            </w:r>
          </w:p>
          <w:p>
            <w:pPr>
              <w:pStyle w:val="40"/>
              <w:ind w:left="100" w:right="100"/>
              <w:rPr>
                <w:bCs w:val="0"/>
                <w:sz w:val="18"/>
                <w:szCs w:val="18"/>
                <w:lang w:bidi="ar-SA"/>
              </w:rPr>
            </w:pPr>
            <w:r>
              <w:rPr>
                <w:rFonts w:hint="eastAsia"/>
                <w:bCs w:val="0"/>
                <w:sz w:val="18"/>
                <w:szCs w:val="18"/>
                <w:lang w:bidi="ar-SA"/>
              </w:rPr>
              <w:t>《机关、团体、企业、事业单位消防安全管理规定》第七条、第二十一条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平时需要控制人员随意出入的疏散门和设置门禁系统疏散门，未保证火灾时不需使用钥匙等任何工具即能从内部易于打开，并未在显著位置设置具有使用提示的标识。</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50016-2014《建筑设计防火规范》第6.4.11条</w:t>
            </w:r>
          </w:p>
          <w:p>
            <w:pPr>
              <w:pStyle w:val="40"/>
              <w:ind w:left="100" w:right="100"/>
              <w:rPr>
                <w:bCs w:val="0"/>
                <w:sz w:val="18"/>
                <w:szCs w:val="18"/>
                <w:lang w:bidi="ar-SA"/>
              </w:rPr>
            </w:pPr>
            <w:r>
              <w:rPr>
                <w:rFonts w:hint="eastAsia"/>
                <w:bCs w:val="0"/>
                <w:sz w:val="18"/>
                <w:szCs w:val="18"/>
                <w:lang w:bidi="ar-SA"/>
              </w:rPr>
              <w:t>GB 50116-2013《火灾自动报警系统设计规范》第4.10.3条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公共建筑内每个防火分区或1个防火分区的每个楼层，其安全出口少于2个。</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（建筑面积不大于200 m2且人数不超过50人的单层公共建筑或多层公共建筑的首层，可设置1个安全出口或1部疏散楼梯。）</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50016-2014《建筑设计防火规范》第5.5.8条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公共建筑内房间的疏散门数量少于2个。</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除医疗建筑内位于走道尽端的房间外，符合下列条件之一的房间可设置1个疏散门：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a）位于两个安全出口之间或袋形走道两侧的房间，对于医疗建筑建筑面积不大于75 m2；</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b）位于走道尽端的房间，建筑面积小于50 m2且疏散门的净宽度不小于0.90 m，或由房间内任一点至疏散门的直线距离不大于15 m.建筑面积不大于200 m2且疏散门的净宽度不小于1.40 m。</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50016-2014《建筑设计防火规范》第5.5.15条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疏散门和安全出口的净宽度未符合下列要求：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b）高层公共建筑内楼梯间的首层疏散门、首层疏散外门、疏散走道和疏散楼梯的最小净宽度应符合表H.2的规定；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c）其余公共建筑内疏散门和安全出口的净宽度不应小于0.90 m，疏散走道和疏散楼梯的净宽度不应小于1.10 m。</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50016-2014《建筑设计防火规范》第5.5.19条、第5.5.18条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建筑的楼梯间宜通至屋面，通向屋面的门或窗未向外开启。</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50016-2014《建筑设计防火规范》第5.5.3条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消防水泵房未符合下列要求：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a）疏散门应直通室外或安全出口；</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b）主要通道宽度不应小于1.2 m；</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c）设消防专用电话分机。</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50016-2014《建筑设计防火规范》第8.1.7条</w:t>
            </w:r>
          </w:p>
          <w:p>
            <w:pPr>
              <w:pStyle w:val="40"/>
              <w:ind w:left="100" w:right="100"/>
              <w:rPr>
                <w:bCs w:val="0"/>
                <w:sz w:val="18"/>
                <w:szCs w:val="18"/>
                <w:lang w:bidi="ar-SA"/>
              </w:rPr>
            </w:pPr>
            <w:r>
              <w:rPr>
                <w:rFonts w:hint="eastAsia"/>
                <w:bCs w:val="0"/>
                <w:sz w:val="18"/>
                <w:szCs w:val="18"/>
                <w:lang w:bidi="ar-SA"/>
              </w:rPr>
              <w:t>GB 50974-2014《消防给水及消火栓系统技术规范》第5.5.2条</w:t>
            </w:r>
          </w:p>
          <w:p>
            <w:pPr>
              <w:pStyle w:val="40"/>
              <w:ind w:left="100" w:right="100"/>
              <w:rPr>
                <w:bCs w:val="0"/>
                <w:sz w:val="18"/>
                <w:szCs w:val="18"/>
                <w:lang w:bidi="ar-SA"/>
              </w:rPr>
            </w:pPr>
            <w:r>
              <w:rPr>
                <w:rFonts w:hint="eastAsia"/>
                <w:bCs w:val="0"/>
                <w:sz w:val="18"/>
                <w:szCs w:val="18"/>
                <w:lang w:bidi="ar-SA"/>
              </w:rPr>
              <w:t>GB 50116-2013《火灾自动报警系统设计规范》第6.7.4条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危险化学品储存场所安全出口少于2个。</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（当建筑面积不大于100 m2时，可设置1个安全出口）</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50016-2014《建筑设计防火规范》第3.8.2条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p>
        </w:tc>
        <w:tc>
          <w:tcPr>
            <w:tcW w:w="9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实验室的每个出口和入口不能清晰地分辨，紧急出口处未有标记以和普通出口区别。</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（标记应包括国际或国家通用的危险标志（如：生物危险标志、火灾标志和放射性标志）以及其他有关的规定标记。）</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GB19781-2005《医学实验室 安全要求》第6.3.7条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场所环境类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标志及标识类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生产设备设施处，未按规定设置安全警示标志，并在设备设施附近悬挂操作规程。</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33000-2016《企业安全生产标准化基本规范》第5.2.3条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未根据活动类型设置相应安全标志，包括：通用安全标志、消防标志、化学品作业场所安全警示标志、工业管道标志、气瓶标志、设备标识等。紧急通道和出入口未设置醒目标志。实验室未定期检查和维护安全标志和警告。</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安全标志及其使用见GB 2894，消防安全标志及其设置见GB 13495和GB 15630。气瓶标志见GB7144。工业管道标志见GB 7231</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总则》第5.3.9.1条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未在实验室建筑物内部以及外墙上放置适当的安全告示牌。</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工作区的安全告示牌应包括以下内容：</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a）列出应急方法；</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b）强调所有的特殊危险。</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告示牌也可用于事故通报</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总则》第5.3.9.2条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场所环境类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标志及标识类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变配电系统内标志标识未齐全、清楚、正确，还未符合下列要求：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安全标示牌的悬挂位置和式样要求应符合表G.3的规定；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部分停电的工作，工作人员与未停电设备安全距离不符合表 2 规定时应装设临时遮栏，表中未列电压等级按高一档电压等级安全距离。（见附页表2）</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每面配电盘柜应标明路名和调度操作编号，双面维护的配电盘柜前和盘柜后均应标明路名和调度操作编号，且路名、编号应与模拟屏、自动化监控系统、运行资料等保持一致；</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配电装置前应标注警戒线，警戒线距配电装置应不小于800 mm；</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设备上不应粘贴与运行无关的标志，不应悬挂、堆放杂物；</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变配电室的出入口应设置明显的安全警示标志牌。</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电缆的首端、末端和分支处应设标志牌。</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DB11/527-2021《配电室安全管理规范》第6.2.1条、第6.2.2条、第6.2.3条、第6.2.4条、第6.2.5条、第6.2.6条、第6.2.7条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消防安全疏散标志未设置在下列位置：</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a）安全出口；</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 xml:space="preserve">b）防烟楼梯间的前室或合用前室； </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c）超过20 m的走道、超过10 m的袋形走道；</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d）疏散走道拐弯处；</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e）高层建筑或多层建筑中建筑面积大于300 m2的会议室、多功能厅等公共活动用房；地下建筑中各房间总面积超过200 m2且经常有人停留的活动场所的房间疏散门；</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f）避难层（间）。</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DB11/1024-2013《消防安全疏散标志设置标准》第3.2.2条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非联动控制的安全出口或疏散通道中的门扇未设置“禁止锁闭”标志。室内疏散走道或室外通道醒目处未设置“禁止阻塞”标志。</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DB11/1024-2013《消防安全疏散标志设置标准》第3.3.3条</w:t>
            </w:r>
          </w:p>
          <w:p>
            <w:pPr>
              <w:pStyle w:val="40"/>
              <w:ind w:left="100" w:right="100"/>
              <w:rPr>
                <w:bCs w:val="0"/>
                <w:sz w:val="18"/>
                <w:szCs w:val="18"/>
                <w:lang w:bidi="ar-SA"/>
              </w:rPr>
            </w:pPr>
            <w:r>
              <w:rPr>
                <w:rFonts w:hint="eastAsia"/>
                <w:bCs w:val="0"/>
                <w:sz w:val="18"/>
                <w:szCs w:val="18"/>
                <w:lang w:bidi="ar-SA"/>
              </w:rPr>
              <w:t>GB 15630-1995《消防安全标志设置要求》第5.3条、第5.4条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场所环境类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标志及标识类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消防安全疏散标志的设置未符合下列要求：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a）消防疏散导流标志应沿疏散通道和疏散路线设置；疏散走道转角区域1 m范围内应设置消防安全疏散标志；疏散走道和主要疏散路线的地面或靠近地面的墙上应设置消防安全疏散标志；</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b）消防安全疏散标志设置在距地面高度1 m以下的墙面上，间距不应大于10 m；设置在疏散走道上空，间距不应大于20 m，其标志面应与疏散方向垂直，标志下边缘距室内地面距离宜为2.2 m～2.5 m；增设的电光源型消防疏散导流标志间距不应小于3 m，且不应超过5 m。设置在墙面上时，底边距地不大于0.2 m；非电光源型消防安全疏散标志应设置在电光源型疏散标志之间，且间距不应小于2 m，不应大于3 m；</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c）非电光源型消防安全疏散标志只能作为电光源型消防安全疏散标志的辅助指示设施；</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消防安全疏散标志应独立设置在醒目位置。疏散出口和安全出口标志不应设置在可开启的门、窗扇上或其他可移动的物体上，应设在靠近其出口一侧的门上方或门洞两侧的墙面上，标志的下边缘距门的上边缘不宜大于0.3 m。在远离安全出口的地方，应将安全出口标志和疏散通道方向标志联合设置，箭头应指向最近的安全出口。</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DB11/1024-2013《消防安全疏散标志设置标准》第3.1.4条、第3.1.5条、第3.2.3条、第3.2.5条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未在医疗卫生机构建筑内不同区域的明显位置设置安全疏散指示图，指示图上未标明疏散路线、安全出口、人员所在位置和必要的文字说明。</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WS 308-2009《医疗机构消防安全管理》第4.1.9条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未在危化品储存场所的显著位置张贴或悬挂现场处置方案。</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1322.2-2017《安全生产等级评定技术规范 第2部分：安全生产通用要求》第3.8.1.14条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存放废弃危险化学品的场所、设施、包装容器未设置危险废弃物识别标志，且并未设置安全监护措施。</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DB11/1578-2018《医疗机构危险化学品安全管理规范》第9.3条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场所环境类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bCs/>
                <w:kern w:val="0"/>
                <w:szCs w:val="20"/>
              </w:rPr>
            </w:pPr>
            <w:r>
              <w:rPr>
                <w:rFonts w:hint="eastAsia" w:ascii="Times New Roman" w:hAnsi="Times New Roman"/>
                <w:bCs/>
                <w:kern w:val="0"/>
                <w:szCs w:val="20"/>
              </w:rPr>
              <w:t>作业环境类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实验室、试剂存储柜、化学品存储间等通风能力不足。存储易挥发、有毒、易腐蚀的物质的场所未进行有效的通风，未确保安全的工作环境。</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27476.5-2014《检测实验室安全 第5部分 化学因素》第5.3.5条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员工在工作场所接触的化学有害因素，包括化学物质、粉尘和生物因素，其在工作场所空气中的浓度超过GBZ 2.1—2007所规定的限值。</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总则》第5.3.2.1条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员工在工作场所接触的物理因素，包括：超高频辐射、高频电磁场、工频电场、激光辐射（包括紫外线、可见光、红外线、远红外线）、微波辐射、紫外辐射、高温作业、噪声和手传振动等，超过GBZ 2.2所规定的限值。</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27476.1-2014《检测实验室安全 第1部分 总则》第5.3.2.2条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设备设施使用科室未保持工作环境清洁、干燥，未根据设备设施的使用安全要求做好防尘、防潮、防爆、防水、防电磁波、防静电工作。</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GB/T 33000-2016《企业安全生产标准化基本规范》第5.4.2.1条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变配电系统的室内环境未符合下列要求：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a）变压器、高压配电装置、低压配电装置的操作区、维护通道应铺设绝缘胶垫；</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b）室内环境整洁，场地平整，设备间不应存放与运行无关的物品，设备间内不应有与其无关的管道和线路通过，巡视道路畅通；</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c）设备构架、基础无严重腐蚀，房屋不漏雨，无应封堵的孔洞、沟道；</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d）电缆沟盖板齐全，电缆夹层、电缆沟和电缆室设置的防水、排水措施完好有效。</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e）设备区域内应配有温、湿度计；</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f）有专人值班的变配电室应配备专用电话，电话畅通，时钟准确。</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DB11/527-2021《配电室安全管理规范》第6.3.1条、第6.3.2条、第6.3.3条、第6.3.4条、第6.3.9条、第6.3.10条</w:t>
            </w:r>
          </w:p>
          <w:p>
            <w:pPr>
              <w:pStyle w:val="40"/>
              <w:ind w:left="100" w:right="100"/>
              <w:rPr>
                <w:bCs w:val="0"/>
                <w:sz w:val="18"/>
                <w:szCs w:val="18"/>
                <w:lang w:bidi="ar-SA"/>
              </w:rPr>
            </w:pPr>
            <w:r>
              <w:rPr>
                <w:rFonts w:hint="eastAsia"/>
                <w:bCs w:val="0"/>
                <w:sz w:val="18"/>
                <w:szCs w:val="18"/>
                <w:lang w:bidi="ar-SA"/>
              </w:rPr>
              <w:t>GB 50575-2010《1kV及以下配线工程施工与验收规范》第3.0.5条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易燃易爆危险化学品的储存未符合下列要求：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储存场所应干燥、易于通风、密闭和避光，并应安装避雷装置；可能散发或泄漏可燃气体、可燃蒸汽的场所应安装可燃气体检测报警装置；电气应符合防爆要求；门应向疏散方向开启，地面平整、耐磨、防滑，不应设地沟、暗道，门窗、地面应采用撞击时不产生火花的材料制作；</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b）易爆性危险化学品应避免阳光直射、远离火源、电源及产生火花的环境。</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17914-2013《易燃易爆性商品储存养护技术条件》第4.2.1条、第4.3.1条</w:t>
            </w:r>
          </w:p>
          <w:p>
            <w:pPr>
              <w:pStyle w:val="40"/>
              <w:ind w:left="100" w:right="100"/>
              <w:rPr>
                <w:bCs w:val="0"/>
                <w:sz w:val="18"/>
                <w:szCs w:val="18"/>
                <w:lang w:bidi="ar-SA"/>
              </w:rPr>
            </w:pPr>
            <w:r>
              <w:rPr>
                <w:rFonts w:hint="eastAsia"/>
                <w:bCs w:val="0"/>
                <w:sz w:val="18"/>
                <w:szCs w:val="18"/>
                <w:lang w:bidi="ar-SA"/>
              </w:rPr>
              <w:t>DB11/ 755-2010《危险化学品仓库建设及储存安全规范》第4.1.3条、第4.2.1条、第4.3.8条、第4.4.5条</w:t>
            </w:r>
          </w:p>
          <w:p>
            <w:pPr>
              <w:pStyle w:val="40"/>
              <w:ind w:left="100" w:right="100"/>
              <w:rPr>
                <w:bCs w:val="0"/>
                <w:sz w:val="18"/>
                <w:szCs w:val="18"/>
                <w:lang w:bidi="ar-SA"/>
              </w:rPr>
            </w:pPr>
            <w:r>
              <w:rPr>
                <w:rFonts w:hint="eastAsia"/>
                <w:bCs w:val="0"/>
                <w:sz w:val="18"/>
                <w:szCs w:val="18"/>
                <w:lang w:bidi="ar-SA"/>
              </w:rPr>
              <w:t>《危险化学品安全管理条例》第八十条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bCs/>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腐蚀性危险化学品的储存未符合下列要求：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a）储存场所应阴凉、干燥、通风、避阳，并经防腐蚀、防渗处理；</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b）腐蚀性危险化学品应远离热源、电源、火源。</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17915-2013《腐蚀性商品储存养护技术条件》第4.1.1条、第4.3.1条</w:t>
            </w:r>
          </w:p>
          <w:p>
            <w:pPr>
              <w:pStyle w:val="40"/>
              <w:ind w:left="100" w:right="100"/>
              <w:rPr>
                <w:bCs w:val="0"/>
                <w:sz w:val="18"/>
                <w:szCs w:val="18"/>
                <w:lang w:bidi="ar-SA"/>
              </w:rPr>
            </w:pPr>
            <w:r>
              <w:rPr>
                <w:rFonts w:hint="eastAsia"/>
                <w:bCs w:val="0"/>
                <w:sz w:val="18"/>
                <w:szCs w:val="18"/>
                <w:lang w:bidi="ar-SA"/>
              </w:rPr>
              <w:t>DB11/ 755-2010《危险化学品仓库建设及储存安全规范》第4.4.6条</w:t>
            </w:r>
          </w:p>
          <w:p>
            <w:pPr>
              <w:pStyle w:val="40"/>
              <w:ind w:left="100" w:right="100"/>
              <w:rPr>
                <w:bCs w:val="0"/>
                <w:sz w:val="18"/>
                <w:szCs w:val="18"/>
                <w:lang w:bidi="ar-SA"/>
              </w:rPr>
            </w:pPr>
            <w:r>
              <w:rPr>
                <w:rFonts w:hint="eastAsia"/>
                <w:bCs w:val="0"/>
                <w:sz w:val="18"/>
                <w:szCs w:val="18"/>
                <w:lang w:bidi="ar-SA"/>
              </w:rPr>
              <w:t>《危险化学品安全管理条例》第八十条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kern w:val="0"/>
                <w:szCs w:val="20"/>
              </w:rPr>
            </w:pPr>
            <w:r>
              <w:rPr>
                <w:rFonts w:hint="eastAsia" w:ascii="Times New Roman" w:hAnsi="Times New Roman"/>
                <w:bCs/>
                <w:kern w:val="0"/>
                <w:szCs w:val="20"/>
              </w:rPr>
              <w:t>场所环境类</w:t>
            </w:r>
          </w:p>
        </w:tc>
        <w:tc>
          <w:tcPr>
            <w:tcW w:w="93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kern w:val="0"/>
                <w:szCs w:val="20"/>
              </w:rPr>
            </w:pPr>
            <w:r>
              <w:rPr>
                <w:rFonts w:hint="eastAsia" w:ascii="Times New Roman" w:hAnsi="Times New Roman"/>
                <w:bCs/>
                <w:kern w:val="0"/>
                <w:szCs w:val="20"/>
              </w:rPr>
              <w:t>作业环境类</w:t>
            </w: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有毒危险化学品的储存未符合下列要求：</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a）储存场所应干燥、通风，机械通风排毒应有安全防护和处理措施，并应远离居民区和水源，在固定和方便的位置配置与毒害性相匹配的消防器材、报警装置和急救药箱；</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b）应避免阳光直射、暴晒，远离热源、电源、火源；</w:t>
            </w:r>
          </w:p>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c）剧毒品应专库储存或存放在彼此间隔的单间内，并安装防盗报警器和监控系统，库门装双锁，实行双人收发、双人保管制度。</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GB 17916-2013《毒害性商品储存养护技术条件》第4.1.1条、第4.2.1条、第4.2.2条、第4.2.4条</w:t>
            </w:r>
          </w:p>
          <w:p>
            <w:pPr>
              <w:pStyle w:val="40"/>
              <w:ind w:left="100" w:right="100"/>
              <w:rPr>
                <w:bCs w:val="0"/>
                <w:sz w:val="18"/>
                <w:szCs w:val="18"/>
                <w:lang w:bidi="ar-SA"/>
              </w:rPr>
            </w:pPr>
            <w:r>
              <w:rPr>
                <w:rFonts w:hint="eastAsia"/>
                <w:bCs w:val="0"/>
                <w:sz w:val="18"/>
                <w:szCs w:val="18"/>
                <w:lang w:bidi="ar-SA"/>
              </w:rPr>
              <w:t>DB11/ 755-2010《危险化学品仓库建设及储存安全规范》第4.4.7条</w:t>
            </w:r>
          </w:p>
          <w:p>
            <w:pPr>
              <w:pStyle w:val="40"/>
              <w:ind w:left="100" w:right="100"/>
              <w:rPr>
                <w:bCs w:val="0"/>
                <w:sz w:val="18"/>
                <w:szCs w:val="18"/>
                <w:lang w:bidi="ar-SA"/>
              </w:rPr>
            </w:pPr>
            <w:r>
              <w:rPr>
                <w:rFonts w:hint="eastAsia"/>
                <w:bCs w:val="0"/>
                <w:sz w:val="18"/>
                <w:szCs w:val="18"/>
                <w:lang w:bidi="ar-SA"/>
              </w:rPr>
              <w:t>《危险化学品安全管理条例》第八十条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0" w:type="dxa"/>
            <w:tcBorders>
              <w:top w:val="single" w:color="auto" w:sz="4" w:space="0"/>
              <w:left w:val="single" w:color="auto" w:sz="4" w:space="0"/>
              <w:bottom w:val="single" w:color="auto" w:sz="4" w:space="0"/>
              <w:right w:val="single" w:color="auto" w:sz="4" w:space="0"/>
            </w:tcBorders>
            <w:vAlign w:val="center"/>
          </w:tcPr>
          <w:p>
            <w:pPr>
              <w:pStyle w:val="24"/>
              <w:numPr>
                <w:ilvl w:val="0"/>
                <w:numId w:val="6"/>
              </w:numPr>
              <w:adjustRightInd w:val="0"/>
              <w:snapToGrid w:val="0"/>
              <w:spacing w:line="240" w:lineRule="auto"/>
              <w:ind w:left="100" w:right="0" w:rightChars="0" w:firstLineChars="0"/>
              <w:jc w:val="center"/>
              <w:rPr>
                <w:rFonts w:ascii="宋体" w:hAnsi="宋体"/>
                <w:bCs/>
                <w:szCs w:val="20"/>
                <w:lang w:val="zh-CN" w:bidi="mn-Mong-CN"/>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kern w:val="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jc w:val="center"/>
              <w:rPr>
                <w:rFonts w:ascii="Times New Roman" w:hAnsi="Times New Roman"/>
                <w:kern w:val="0"/>
                <w:szCs w:val="20"/>
              </w:rPr>
            </w:pPr>
          </w:p>
        </w:tc>
        <w:tc>
          <w:tcPr>
            <w:tcW w:w="66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bCs/>
                <w:szCs w:val="20"/>
                <w:lang w:bidi="mn-Mong-CN"/>
              </w:rPr>
            </w:pPr>
            <w:r>
              <w:rPr>
                <w:rFonts w:hint="eastAsia" w:ascii="宋体" w:hAnsi="宋体"/>
                <w:bCs/>
                <w:szCs w:val="20"/>
                <w:lang w:bidi="mn-Mong-CN"/>
              </w:rPr>
              <w:t>在危险化学品储存场所内堆积可燃性物品。泄漏、渗漏危险化学品的包装容器未迅速转移至安全区域。</w:t>
            </w:r>
          </w:p>
        </w:tc>
        <w:tc>
          <w:tcPr>
            <w:tcW w:w="321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rPr>
                <w:bCs w:val="0"/>
                <w:sz w:val="18"/>
                <w:szCs w:val="18"/>
                <w:lang w:bidi="ar-SA"/>
              </w:rPr>
            </w:pPr>
            <w:r>
              <w:rPr>
                <w:rFonts w:hint="eastAsia"/>
                <w:bCs w:val="0"/>
                <w:sz w:val="18"/>
                <w:szCs w:val="18"/>
                <w:lang w:bidi="ar-SA"/>
              </w:rPr>
              <w:t>DB11/T 1578-2018《医疗机构危险化学品安全管理规范》第5.8条</w:t>
            </w:r>
          </w:p>
        </w:tc>
        <w:tc>
          <w:tcPr>
            <w:tcW w:w="9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Times New Roman" w:hAnsi="Times New Roman"/>
                <w:szCs w:val="20"/>
                <w:lang w:bidi="mn-Mong-CN"/>
              </w:rPr>
            </w:pPr>
          </w:p>
        </w:tc>
      </w:tr>
    </w:tbl>
    <w:p>
      <w:pPr>
        <w:adjustRightInd w:val="0"/>
        <w:snapToGrid w:val="0"/>
        <w:ind w:left="100" w:right="100"/>
        <w:rPr>
          <w:rFonts w:ascii="宋体" w:hAnsi="宋体"/>
          <w:szCs w:val="20"/>
        </w:rPr>
      </w:pPr>
    </w:p>
    <w:p>
      <w:pPr>
        <w:rPr>
          <w:rFonts w:hint="eastAsia" w:ascii="宋体" w:hAnsi="宋体"/>
          <w:b/>
          <w:bCs/>
          <w:sz w:val="30"/>
          <w:szCs w:val="30"/>
        </w:rPr>
      </w:pPr>
      <w:r>
        <w:rPr>
          <w:rFonts w:hint="eastAsia" w:ascii="宋体" w:hAnsi="宋体"/>
          <w:b/>
          <w:bCs/>
          <w:sz w:val="30"/>
          <w:szCs w:val="30"/>
        </w:rPr>
        <w:br w:type="page"/>
      </w:r>
    </w:p>
    <w:p>
      <w:pPr>
        <w:adjustRightInd w:val="0"/>
        <w:snapToGrid w:val="0"/>
        <w:ind w:left="100" w:right="100"/>
        <w:rPr>
          <w:rFonts w:ascii="宋体" w:hAnsi="宋体"/>
          <w:b/>
          <w:bCs/>
          <w:sz w:val="30"/>
          <w:szCs w:val="30"/>
        </w:rPr>
      </w:pPr>
      <w:r>
        <w:rPr>
          <w:rFonts w:hint="eastAsia" w:ascii="宋体" w:hAnsi="宋体"/>
          <w:b/>
          <w:bCs/>
          <w:sz w:val="30"/>
          <w:szCs w:val="30"/>
        </w:rPr>
        <w:t>附页：</w:t>
      </w:r>
    </w:p>
    <w:p>
      <w:pPr>
        <w:pStyle w:val="27"/>
        <w:numPr>
          <w:ilvl w:val="0"/>
          <w:numId w:val="0"/>
        </w:numPr>
        <w:adjustRightInd w:val="0"/>
        <w:snapToGrid w:val="0"/>
        <w:spacing w:before="0" w:beforeLines="0" w:after="0" w:afterLines="0"/>
        <w:ind w:left="100" w:leftChars="50" w:right="100"/>
      </w:pPr>
      <w:r>
        <w:rPr>
          <w:rFonts w:hint="eastAsia"/>
        </w:rPr>
        <w:t>表D.</w:t>
      </w:r>
      <w:r>
        <w:rPr>
          <w:rFonts w:hint="eastAsia"/>
        </w:rPr>
        <mc:AlternateContent>
          <mc:Choice Requires="wps">
            <w:drawing>
              <wp:anchor distT="0" distB="0" distL="114300" distR="114300" simplePos="0" relativeHeight="251659264" behindDoc="0" locked="0" layoutInCell="0" allowOverlap="1">
                <wp:simplePos x="0" y="0"/>
                <wp:positionH relativeFrom="column">
                  <wp:posOffset>1000125</wp:posOffset>
                </wp:positionH>
                <wp:positionV relativeFrom="paragraph">
                  <wp:posOffset>314325</wp:posOffset>
                </wp:positionV>
                <wp:extent cx="635" cy="0"/>
                <wp:effectExtent l="0" t="0" r="37465" b="19050"/>
                <wp:wrapNone/>
                <wp:docPr id="19" name="直接连接符 19"/>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78.75pt;margin-top:24.75pt;height:0pt;width:0.05pt;z-index:251659264;mso-width-relative:page;mso-height-relative:page;" filled="f" stroked="t" coordsize="21600,21600" o:allowincell="f" o:gfxdata="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LA7EOjXAAAA&#10;CQEAAA8AAAAAAAAAAQAgAAAAOAAAAGRycy9kb3ducmV2LnhtbFBLAQIUABQAAAAIAIdO4kDNOe32&#10;zwEAAIgDAAAOAAAAAAAAAAEAIAAAADwBAABkcnMvZTJvRG9jLnhtbFBLBQYAAAAABgAGAFkBAAB9&#10;BQAAAAA=&#10;">
                <v:fill on="f" focussize="0,0"/>
                <v:stroke color="#000000" joinstyle="round"/>
                <v:imagedata o:title=""/>
                <o:lock v:ext="edit" aspectratio="f"/>
              </v:line>
            </w:pict>
          </mc:Fallback>
        </mc:AlternateContent>
      </w:r>
      <w:r>
        <w:rPr>
          <w:rFonts w:hint="eastAsia"/>
        </w:rPr>
        <w:t>2  湿式氧气储罐与建筑物、储罐、堆场等的防火间距</w:t>
      </w:r>
    </w:p>
    <w:p>
      <w:pPr>
        <w:pStyle w:val="25"/>
        <w:adjustRightInd w:val="0"/>
        <w:snapToGrid w:val="0"/>
        <w:ind w:left="100" w:leftChars="50" w:right="100" w:rightChars="50" w:firstLine="0" w:firstLineChars="0"/>
        <w:jc w:val="right"/>
        <w:rPr>
          <w:rFonts w:hAnsi="宋体"/>
          <w:sz w:val="18"/>
          <w:szCs w:val="18"/>
        </w:rPr>
      </w:pPr>
      <w:r>
        <w:rPr>
          <w:rFonts w:hint="eastAsia" w:hAnsi="宋体"/>
          <w:sz w:val="18"/>
          <w:szCs w:val="18"/>
        </w:rPr>
        <w:t>单位为米</w:t>
      </w:r>
    </w:p>
    <w:tbl>
      <w:tblPr>
        <w:tblStyle w:val="13"/>
        <w:tblW w:w="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3072"/>
        <w:gridCol w:w="3550"/>
        <w:gridCol w:w="2497"/>
        <w:gridCol w:w="3124"/>
        <w:gridCol w:w="226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622" w:type="dxa"/>
            <w:gridSpan w:val="2"/>
            <w:vMerge w:val="restart"/>
            <w:tcBorders>
              <w:top w:val="single" w:color="auto" w:sz="6" w:space="0"/>
              <w:left w:val="single" w:color="auto" w:sz="6"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名    称</w:t>
            </w:r>
          </w:p>
        </w:tc>
        <w:tc>
          <w:tcPr>
            <w:tcW w:w="7881" w:type="dxa"/>
            <w:gridSpan w:val="3"/>
            <w:tcBorders>
              <w:top w:val="single" w:color="auto" w:sz="6" w:space="0"/>
              <w:left w:val="single" w:color="auto" w:sz="4" w:space="0"/>
              <w:bottom w:val="single" w:color="auto" w:sz="4" w:space="0"/>
              <w:right w:val="single" w:color="auto" w:sz="6"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湿式氧气储罐（总容积V，m</w:t>
            </w:r>
            <w:r>
              <w:rPr>
                <w:rFonts w:hint="eastAsia" w:hAnsi="宋体"/>
                <w:sz w:val="18"/>
                <w:szCs w:val="18"/>
                <w:vertAlign w:val="superscript"/>
              </w:rPr>
              <w:t>3</w:t>
            </w:r>
            <w:r>
              <w:rPr>
                <w:rFonts w:hint="eastAsia" w:hAnsi="宋体"/>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8053" w:type="dxa"/>
            <w:gridSpan w:val="2"/>
            <w:vMerge w:val="continue"/>
            <w:tcBorders>
              <w:top w:val="single" w:color="auto" w:sz="6" w:space="0"/>
              <w:left w:val="single" w:color="auto" w:sz="6" w:space="0"/>
              <w:bottom w:val="single" w:color="auto" w:sz="4" w:space="0"/>
              <w:right w:val="single" w:color="auto" w:sz="4" w:space="0"/>
            </w:tcBorders>
            <w:vAlign w:val="center"/>
          </w:tcPr>
          <w:p>
            <w:pPr>
              <w:widowControl/>
              <w:adjustRightInd w:val="0"/>
              <w:snapToGrid w:val="0"/>
              <w:ind w:left="100" w:right="100"/>
              <w:rPr>
                <w:rFonts w:ascii="宋体" w:hAnsi="宋体"/>
                <w:kern w:val="0"/>
                <w:sz w:val="18"/>
                <w:szCs w:val="18"/>
              </w:rPr>
            </w:pPr>
          </w:p>
        </w:tc>
        <w:tc>
          <w:tcPr>
            <w:tcW w:w="249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V≤1000</w:t>
            </w:r>
          </w:p>
        </w:tc>
        <w:tc>
          <w:tcPr>
            <w:tcW w:w="3124"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1000＜V≤50000</w:t>
            </w:r>
          </w:p>
        </w:tc>
        <w:tc>
          <w:tcPr>
            <w:tcW w:w="2260" w:type="dxa"/>
            <w:tcBorders>
              <w:top w:val="single" w:color="auto" w:sz="4" w:space="0"/>
              <w:left w:val="single" w:color="auto" w:sz="4" w:space="0"/>
              <w:bottom w:val="single" w:color="auto" w:sz="4" w:space="0"/>
              <w:right w:val="single" w:color="auto" w:sz="6"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V＞50000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622" w:type="dxa"/>
            <w:gridSpan w:val="2"/>
            <w:tcBorders>
              <w:top w:val="single" w:color="auto" w:sz="4" w:space="0"/>
              <w:left w:val="single" w:color="auto" w:sz="6"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明火或散发火花地点</w:t>
            </w:r>
          </w:p>
        </w:tc>
        <w:tc>
          <w:tcPr>
            <w:tcW w:w="249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25</w:t>
            </w:r>
          </w:p>
        </w:tc>
        <w:tc>
          <w:tcPr>
            <w:tcW w:w="3124"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30</w:t>
            </w:r>
          </w:p>
        </w:tc>
        <w:tc>
          <w:tcPr>
            <w:tcW w:w="2260" w:type="dxa"/>
            <w:tcBorders>
              <w:top w:val="single" w:color="auto" w:sz="4" w:space="0"/>
              <w:left w:val="single" w:color="auto" w:sz="4" w:space="0"/>
              <w:bottom w:val="single" w:color="auto" w:sz="4" w:space="0"/>
              <w:right w:val="single" w:color="auto" w:sz="6"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35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622" w:type="dxa"/>
            <w:gridSpan w:val="2"/>
            <w:tcBorders>
              <w:top w:val="single" w:color="auto" w:sz="4" w:space="0"/>
              <w:left w:val="single" w:color="auto" w:sz="6"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室外变、配电站（35 kV～500 kV且每台变压器为10000 kV·A以上）</w:t>
            </w:r>
          </w:p>
        </w:tc>
        <w:tc>
          <w:tcPr>
            <w:tcW w:w="249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20</w:t>
            </w:r>
          </w:p>
        </w:tc>
        <w:tc>
          <w:tcPr>
            <w:tcW w:w="3124"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25</w:t>
            </w:r>
          </w:p>
        </w:tc>
        <w:tc>
          <w:tcPr>
            <w:tcW w:w="2260" w:type="dxa"/>
            <w:tcBorders>
              <w:top w:val="single" w:color="auto" w:sz="4" w:space="0"/>
              <w:left w:val="single" w:color="auto" w:sz="4" w:space="0"/>
              <w:bottom w:val="single" w:color="auto" w:sz="4" w:space="0"/>
              <w:right w:val="single" w:color="auto" w:sz="6"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30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622" w:type="dxa"/>
            <w:gridSpan w:val="2"/>
            <w:tcBorders>
              <w:top w:val="single" w:color="auto" w:sz="4" w:space="0"/>
              <w:left w:val="single" w:color="auto" w:sz="6"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民用建筑</w:t>
            </w:r>
          </w:p>
        </w:tc>
        <w:tc>
          <w:tcPr>
            <w:tcW w:w="249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18</w:t>
            </w:r>
          </w:p>
        </w:tc>
        <w:tc>
          <w:tcPr>
            <w:tcW w:w="3124"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20</w:t>
            </w:r>
          </w:p>
        </w:tc>
        <w:tc>
          <w:tcPr>
            <w:tcW w:w="2260" w:type="dxa"/>
            <w:tcBorders>
              <w:top w:val="single" w:color="auto" w:sz="4" w:space="0"/>
              <w:left w:val="single" w:color="auto" w:sz="4" w:space="0"/>
              <w:bottom w:val="single" w:color="auto" w:sz="4" w:space="0"/>
              <w:right w:val="single" w:color="auto" w:sz="6"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25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72" w:type="dxa"/>
            <w:vMerge w:val="restart"/>
            <w:tcBorders>
              <w:top w:val="single" w:color="auto" w:sz="4" w:space="0"/>
              <w:left w:val="single" w:color="auto" w:sz="6"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其他建筑</w:t>
            </w:r>
          </w:p>
        </w:tc>
        <w:tc>
          <w:tcPr>
            <w:tcW w:w="3550"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一、二级</w:t>
            </w:r>
          </w:p>
        </w:tc>
        <w:tc>
          <w:tcPr>
            <w:tcW w:w="249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10</w:t>
            </w:r>
          </w:p>
        </w:tc>
        <w:tc>
          <w:tcPr>
            <w:tcW w:w="3124"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12</w:t>
            </w:r>
          </w:p>
        </w:tc>
        <w:tc>
          <w:tcPr>
            <w:tcW w:w="2260" w:type="dxa"/>
            <w:tcBorders>
              <w:top w:val="single" w:color="auto" w:sz="4" w:space="0"/>
              <w:left w:val="single" w:color="auto" w:sz="4" w:space="0"/>
              <w:bottom w:val="single" w:color="auto" w:sz="4" w:space="0"/>
              <w:right w:val="single" w:color="auto" w:sz="6"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503" w:type="dxa"/>
            <w:vMerge w:val="continue"/>
            <w:tcBorders>
              <w:top w:val="single" w:color="auto" w:sz="4" w:space="0"/>
              <w:left w:val="single" w:color="auto" w:sz="6" w:space="0"/>
              <w:bottom w:val="single" w:color="auto" w:sz="4" w:space="0"/>
              <w:right w:val="single" w:color="auto" w:sz="4" w:space="0"/>
            </w:tcBorders>
            <w:vAlign w:val="center"/>
          </w:tcPr>
          <w:p>
            <w:pPr>
              <w:widowControl/>
              <w:adjustRightInd w:val="0"/>
              <w:snapToGrid w:val="0"/>
              <w:ind w:left="100" w:right="100"/>
              <w:rPr>
                <w:rFonts w:ascii="宋体" w:hAnsi="宋体"/>
                <w:kern w:val="0"/>
                <w:sz w:val="18"/>
                <w:szCs w:val="18"/>
              </w:rPr>
            </w:pPr>
          </w:p>
        </w:tc>
        <w:tc>
          <w:tcPr>
            <w:tcW w:w="3550"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三级</w:t>
            </w:r>
          </w:p>
        </w:tc>
        <w:tc>
          <w:tcPr>
            <w:tcW w:w="249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12</w:t>
            </w:r>
          </w:p>
        </w:tc>
        <w:tc>
          <w:tcPr>
            <w:tcW w:w="3124"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14</w:t>
            </w:r>
          </w:p>
        </w:tc>
        <w:tc>
          <w:tcPr>
            <w:tcW w:w="2260" w:type="dxa"/>
            <w:tcBorders>
              <w:top w:val="single" w:color="auto" w:sz="4" w:space="0"/>
              <w:left w:val="single" w:color="auto" w:sz="4" w:space="0"/>
              <w:bottom w:val="single" w:color="auto" w:sz="4" w:space="0"/>
              <w:right w:val="single" w:color="auto" w:sz="6"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503" w:type="dxa"/>
            <w:vMerge w:val="continue"/>
            <w:tcBorders>
              <w:top w:val="single" w:color="auto" w:sz="4" w:space="0"/>
              <w:left w:val="single" w:color="auto" w:sz="6" w:space="0"/>
              <w:bottom w:val="single" w:color="auto" w:sz="4" w:space="0"/>
              <w:right w:val="single" w:color="auto" w:sz="4" w:space="0"/>
            </w:tcBorders>
            <w:vAlign w:val="center"/>
          </w:tcPr>
          <w:p>
            <w:pPr>
              <w:widowControl/>
              <w:adjustRightInd w:val="0"/>
              <w:snapToGrid w:val="0"/>
              <w:ind w:left="100" w:right="100"/>
              <w:rPr>
                <w:rFonts w:ascii="宋体" w:hAnsi="宋体"/>
                <w:kern w:val="0"/>
                <w:sz w:val="18"/>
                <w:szCs w:val="18"/>
              </w:rPr>
            </w:pPr>
          </w:p>
        </w:tc>
        <w:tc>
          <w:tcPr>
            <w:tcW w:w="3550"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四级</w:t>
            </w:r>
          </w:p>
        </w:tc>
        <w:tc>
          <w:tcPr>
            <w:tcW w:w="249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14</w:t>
            </w:r>
          </w:p>
        </w:tc>
        <w:tc>
          <w:tcPr>
            <w:tcW w:w="3124"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16</w:t>
            </w:r>
          </w:p>
        </w:tc>
        <w:tc>
          <w:tcPr>
            <w:tcW w:w="2260" w:type="dxa"/>
            <w:tcBorders>
              <w:top w:val="single" w:color="auto" w:sz="4" w:space="0"/>
              <w:left w:val="single" w:color="auto" w:sz="4" w:space="0"/>
              <w:bottom w:val="single" w:color="auto" w:sz="4" w:space="0"/>
              <w:right w:val="single" w:color="auto" w:sz="6"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18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4503" w:type="dxa"/>
            <w:gridSpan w:val="5"/>
            <w:tcBorders>
              <w:top w:val="single" w:color="auto" w:sz="4" w:space="0"/>
              <w:left w:val="single" w:color="auto" w:sz="6" w:space="0"/>
              <w:bottom w:val="single" w:color="auto" w:sz="6" w:space="0"/>
              <w:right w:val="single" w:color="auto" w:sz="6" w:space="0"/>
            </w:tcBorders>
            <w:vAlign w:val="center"/>
          </w:tcPr>
          <w:p>
            <w:pPr>
              <w:pStyle w:val="31"/>
              <w:numPr>
                <w:ilvl w:val="0"/>
                <w:numId w:val="7"/>
              </w:numPr>
              <w:adjustRightInd w:val="0"/>
              <w:snapToGrid w:val="0"/>
              <w:ind w:left="100" w:leftChars="50" w:right="100" w:rightChars="50" w:firstLine="0"/>
            </w:pPr>
            <w:r>
              <w:rPr>
                <w:rFonts w:hint="eastAsia" w:hAnsi="宋体"/>
                <w:bCs/>
              </w:rPr>
              <w:t>固定容积氧气储罐的总容积按储罐几何容积（m</w:t>
            </w:r>
            <w:r>
              <w:rPr>
                <w:rFonts w:hint="eastAsia" w:hAnsi="宋体"/>
                <w:bCs/>
                <w:vertAlign w:val="superscript"/>
              </w:rPr>
              <w:t>3</w:t>
            </w:r>
            <w:r>
              <w:rPr>
                <w:rFonts w:hint="eastAsia" w:hAnsi="宋体"/>
                <w:bCs/>
              </w:rPr>
              <w:t>）和设计储存压力（绝对压力，10</w:t>
            </w:r>
            <w:r>
              <w:rPr>
                <w:rFonts w:hint="eastAsia" w:hAnsi="宋体"/>
                <w:bCs/>
                <w:vertAlign w:val="superscript"/>
              </w:rPr>
              <w:t>5</w:t>
            </w:r>
            <w:r>
              <w:rPr>
                <w:rFonts w:hint="eastAsia" w:hAnsi="宋体"/>
                <w:bCs/>
              </w:rPr>
              <w:t xml:space="preserve"> Pa）的乘积计算。</w:t>
            </w:r>
          </w:p>
        </w:tc>
      </w:tr>
    </w:tbl>
    <w:p>
      <w:pPr>
        <w:adjustRightInd w:val="0"/>
        <w:snapToGrid w:val="0"/>
        <w:ind w:left="100" w:right="100"/>
        <w:rPr>
          <w:rFonts w:ascii="宋体" w:hAnsi="宋体"/>
          <w:bCs/>
          <w:sz w:val="18"/>
          <w:szCs w:val="18"/>
        </w:rPr>
      </w:pPr>
    </w:p>
    <w:p>
      <w:pPr>
        <w:adjustRightInd w:val="0"/>
        <w:snapToGrid w:val="0"/>
        <w:ind w:left="100" w:right="100"/>
      </w:pPr>
    </w:p>
    <w:p>
      <w:pPr>
        <w:pStyle w:val="27"/>
        <w:numPr>
          <w:ilvl w:val="0"/>
          <w:numId w:val="0"/>
        </w:numPr>
        <w:adjustRightInd w:val="0"/>
        <w:snapToGrid w:val="0"/>
        <w:spacing w:before="0" w:beforeLines="0" w:after="0" w:afterLines="0"/>
        <w:ind w:left="100" w:leftChars="50" w:right="100"/>
      </w:pPr>
      <w:r>
        <w:rPr>
          <w:rFonts w:hint="eastAsia"/>
        </w:rPr>
        <w:t>表G.2  安全工器具的试验项目和试验周期</w:t>
      </w:r>
    </w:p>
    <w:tbl>
      <w:tblPr>
        <w:tblStyle w:val="13"/>
        <w:tblW w:w="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0"/>
        <w:gridCol w:w="4075"/>
        <w:gridCol w:w="5360"/>
        <w:gridCol w:w="3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序号</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器具</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试验项目</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试验周期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w:t>
            </w:r>
          </w:p>
        </w:tc>
        <w:tc>
          <w:tcPr>
            <w:tcW w:w="4075"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电容型验电器</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启动电压试验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4075"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680"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2</w:t>
            </w:r>
          </w:p>
        </w:tc>
        <w:tc>
          <w:tcPr>
            <w:tcW w:w="4075"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携带型短路接地线</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成组直流电阻试验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4075"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操作棒的工频耐压试验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3</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绝缘杆</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4</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绝缘胶垫</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5</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绝缘靴</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6</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绝缘手套</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7</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绝缘夹钳</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8</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绝缘绳</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半年</w:t>
            </w:r>
          </w:p>
        </w:tc>
      </w:tr>
    </w:tbl>
    <w:p>
      <w:pPr>
        <w:pStyle w:val="27"/>
        <w:numPr>
          <w:ilvl w:val="0"/>
          <w:numId w:val="0"/>
        </w:numPr>
        <w:adjustRightInd w:val="0"/>
        <w:snapToGrid w:val="0"/>
        <w:spacing w:before="0" w:beforeLines="0" w:after="0" w:afterLines="0"/>
        <w:ind w:left="100" w:leftChars="50" w:right="100"/>
      </w:pPr>
      <w:r>
        <w:rPr>
          <w:rFonts w:hint="eastAsia"/>
        </w:rPr>
        <w:t>表G.3  安全标示牌悬挂位置和式样要求</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62"/>
        <w:gridCol w:w="7497"/>
        <w:gridCol w:w="2811"/>
        <w:gridCol w:w="19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4" w:space="0"/>
              <w:left w:val="single" w:color="auto" w:sz="8"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名称</w:t>
            </w:r>
          </w:p>
        </w:tc>
        <w:tc>
          <w:tcPr>
            <w:tcW w:w="749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使用方法</w:t>
            </w:r>
          </w:p>
        </w:tc>
        <w:tc>
          <w:tcPr>
            <w:tcW w:w="4776" w:type="dxa"/>
            <w:gridSpan w:val="2"/>
            <w:tcBorders>
              <w:top w:val="single" w:color="auto" w:sz="4" w:space="0"/>
              <w:left w:val="single" w:color="auto" w:sz="4" w:space="0"/>
              <w:bottom w:val="single" w:color="auto" w:sz="4" w:space="0"/>
              <w:right w:val="single" w:color="auto" w:sz="8"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式样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禁止合闸，</w:t>
            </w:r>
          </w:p>
          <w:p>
            <w:pPr>
              <w:adjustRightInd w:val="0"/>
              <w:snapToGrid w:val="0"/>
              <w:ind w:left="100" w:right="100"/>
              <w:jc w:val="center"/>
              <w:rPr>
                <w:rFonts w:ascii="宋体" w:hAnsi="宋体"/>
                <w:sz w:val="18"/>
                <w:szCs w:val="18"/>
              </w:rPr>
            </w:pPr>
            <w:r>
              <w:rPr>
                <w:rFonts w:hint="eastAsia" w:ascii="宋体" w:hAnsi="宋体"/>
                <w:sz w:val="18"/>
                <w:szCs w:val="18"/>
              </w:rPr>
              <w:t>有人工作！</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一经合闸即可送电到设备的断路器或隔离开关操作把手上</w:t>
            </w:r>
          </w:p>
        </w:tc>
        <w:tc>
          <w:tcPr>
            <w:tcW w:w="2811"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白底，红色圆形斜杠，黑色禁止标志符号</w:t>
            </w:r>
          </w:p>
        </w:tc>
        <w:tc>
          <w:tcPr>
            <w:tcW w:w="1965"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黑字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禁止合闸，</w:t>
            </w:r>
          </w:p>
          <w:p>
            <w:pPr>
              <w:adjustRightInd w:val="0"/>
              <w:snapToGrid w:val="0"/>
              <w:ind w:left="100" w:right="100"/>
              <w:jc w:val="center"/>
              <w:rPr>
                <w:rFonts w:ascii="宋体" w:hAnsi="宋体"/>
                <w:sz w:val="18"/>
                <w:szCs w:val="18"/>
              </w:rPr>
            </w:pPr>
            <w:r>
              <w:rPr>
                <w:rFonts w:hint="eastAsia" w:ascii="宋体" w:hAnsi="宋体"/>
                <w:sz w:val="18"/>
                <w:szCs w:val="18"/>
              </w:rPr>
              <w:t>线路有人工作！</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线路断路器或隔离开关把手上</w:t>
            </w:r>
          </w:p>
        </w:tc>
        <w:tc>
          <w:tcPr>
            <w:tcW w:w="4776"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c>
          <w:tcPr>
            <w:tcW w:w="1965"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禁止攀登，</w:t>
            </w:r>
          </w:p>
          <w:p>
            <w:pPr>
              <w:adjustRightInd w:val="0"/>
              <w:snapToGrid w:val="0"/>
              <w:ind w:left="100" w:right="100"/>
              <w:jc w:val="center"/>
              <w:rPr>
                <w:rFonts w:ascii="宋体" w:hAnsi="宋体"/>
                <w:sz w:val="18"/>
                <w:szCs w:val="18"/>
              </w:rPr>
            </w:pPr>
            <w:r>
              <w:rPr>
                <w:rFonts w:hint="eastAsia" w:ascii="宋体" w:hAnsi="宋体"/>
                <w:sz w:val="18"/>
                <w:szCs w:val="18"/>
              </w:rPr>
              <w:t>高压危险！</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高压配电装置构架的爬梯上，变压器、电抗器等设备的爬梯上</w:t>
            </w:r>
          </w:p>
        </w:tc>
        <w:tc>
          <w:tcPr>
            <w:tcW w:w="4776"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c>
          <w:tcPr>
            <w:tcW w:w="1965"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止    步，</w:t>
            </w:r>
          </w:p>
          <w:p>
            <w:pPr>
              <w:adjustRightInd w:val="0"/>
              <w:snapToGrid w:val="0"/>
              <w:ind w:left="100" w:right="100"/>
              <w:jc w:val="center"/>
              <w:rPr>
                <w:rFonts w:ascii="宋体" w:hAnsi="宋体"/>
                <w:sz w:val="18"/>
                <w:szCs w:val="18"/>
              </w:rPr>
            </w:pPr>
            <w:r>
              <w:rPr>
                <w:rFonts w:hint="eastAsia" w:ascii="宋体" w:hAnsi="宋体"/>
                <w:sz w:val="18"/>
                <w:szCs w:val="18"/>
              </w:rPr>
              <w:t>高压危险！</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施工地点临近带电设备的遮栏上；室外工作地点的围栏上；禁止通行的过道上；高压试验地点；室外构架上；工作地点临近带电设备的横梁上</w:t>
            </w:r>
          </w:p>
        </w:tc>
        <w:tc>
          <w:tcPr>
            <w:tcW w:w="2811"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白底，黑色正三角形及标志符号，衬底为黄色</w:t>
            </w:r>
          </w:p>
        </w:tc>
        <w:tc>
          <w:tcPr>
            <w:tcW w:w="1965"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黑字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从此上下！</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工作人员可上下的铁架、爬梯上</w:t>
            </w:r>
          </w:p>
        </w:tc>
        <w:tc>
          <w:tcPr>
            <w:tcW w:w="2811"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衬底为绿色，中有白圆圈</w:t>
            </w:r>
          </w:p>
        </w:tc>
        <w:tc>
          <w:tcPr>
            <w:tcW w:w="1965"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黑字，写于白圆圈中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在此工作！</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工作地点或检修设备上</w:t>
            </w:r>
          </w:p>
        </w:tc>
        <w:tc>
          <w:tcPr>
            <w:tcW w:w="4776"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c>
          <w:tcPr>
            <w:tcW w:w="1965"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已接地</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悬挂在已接地线的隔离开关操作手把上</w:t>
            </w:r>
          </w:p>
        </w:tc>
        <w:tc>
          <w:tcPr>
            <w:tcW w:w="2811"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衬底为绿色</w:t>
            </w:r>
          </w:p>
        </w:tc>
        <w:tc>
          <w:tcPr>
            <w:tcW w:w="1965"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黑字</w:t>
            </w:r>
          </w:p>
        </w:tc>
      </w:tr>
    </w:tbl>
    <w:p>
      <w:pPr>
        <w:pStyle w:val="27"/>
        <w:numPr>
          <w:ilvl w:val="0"/>
          <w:numId w:val="0"/>
        </w:numPr>
        <w:adjustRightInd w:val="0"/>
        <w:snapToGrid w:val="0"/>
        <w:spacing w:before="0" w:beforeLines="0" w:after="0" w:afterLines="0"/>
        <w:ind w:left="100" w:leftChars="50" w:right="100"/>
      </w:pPr>
      <w:r>
        <w:rPr>
          <w:rFonts w:hint="eastAsia"/>
        </w:rPr>
        <w:t>表G.4  护套绝缘导线至地面的最小距离</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6"/>
        <w:gridCol w:w="3545"/>
        <w:gridCol w:w="63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171" w:type="dxa"/>
            <w:gridSpan w:val="2"/>
            <w:tcBorders>
              <w:top w:val="single" w:color="auto" w:sz="4" w:space="0"/>
              <w:left w:val="single" w:color="auto" w:sz="8" w:space="0"/>
              <w:bottom w:val="single" w:color="auto" w:sz="8"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布线方式</w:t>
            </w:r>
          </w:p>
        </w:tc>
        <w:tc>
          <w:tcPr>
            <w:tcW w:w="6332" w:type="dxa"/>
            <w:tcBorders>
              <w:top w:val="single" w:color="auto" w:sz="4" w:space="0"/>
              <w:left w:val="single" w:color="auto" w:sz="4" w:space="0"/>
              <w:bottom w:val="single" w:color="auto" w:sz="8" w:space="0"/>
              <w:right w:val="single" w:color="auto" w:sz="8"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最小距离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26" w:type="dxa"/>
            <w:vMerge w:val="restart"/>
            <w:tcBorders>
              <w:top w:val="single" w:color="auto" w:sz="8" w:space="0"/>
              <w:left w:val="single" w:color="auto" w:sz="8"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水平敷设</w:t>
            </w:r>
          </w:p>
        </w:tc>
        <w:tc>
          <w:tcPr>
            <w:tcW w:w="3545" w:type="dxa"/>
            <w:tcBorders>
              <w:top w:val="single" w:color="auto" w:sz="8" w:space="0"/>
              <w:left w:val="single" w:color="auto" w:sz="4"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屋内</w:t>
            </w:r>
          </w:p>
        </w:tc>
        <w:tc>
          <w:tcPr>
            <w:tcW w:w="6332" w:type="dxa"/>
            <w:tcBorders>
              <w:top w:val="single" w:color="auto" w:sz="8" w:space="0"/>
              <w:left w:val="single" w:color="auto" w:sz="4" w:space="0"/>
              <w:bottom w:val="single" w:color="auto" w:sz="4" w:space="0"/>
              <w:right w:val="single" w:color="auto" w:sz="8"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171" w:type="dxa"/>
            <w:vMerge w:val="continue"/>
            <w:tcBorders>
              <w:top w:val="single" w:color="auto" w:sz="8"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354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rPr>
            </w:pPr>
            <w:r>
              <w:rPr>
                <w:rFonts w:hint="eastAsia" w:ascii="宋体" w:hAnsi="宋体"/>
                <w:sz w:val="18"/>
                <w:szCs w:val="18"/>
              </w:rPr>
              <w:t>屋外</w:t>
            </w:r>
          </w:p>
        </w:tc>
        <w:tc>
          <w:tcPr>
            <w:tcW w:w="63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rPr>
            </w:pPr>
            <w:r>
              <w:rPr>
                <w:rFonts w:hint="eastAsia" w:ascii="宋体" w:hAnsi="宋体"/>
                <w:sz w:val="18"/>
                <w:szCs w:val="18"/>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626" w:type="dxa"/>
            <w:vMerge w:val="restart"/>
            <w:tcBorders>
              <w:top w:val="single" w:color="auto" w:sz="4" w:space="0"/>
              <w:left w:val="single" w:color="auto" w:sz="8"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垂直敷设</w:t>
            </w:r>
          </w:p>
        </w:tc>
        <w:tc>
          <w:tcPr>
            <w:tcW w:w="3545" w:type="dxa"/>
            <w:tcBorders>
              <w:top w:val="single" w:color="auto" w:sz="4" w:space="0"/>
              <w:left w:val="single" w:color="auto" w:sz="4"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屋内</w:t>
            </w:r>
          </w:p>
        </w:tc>
        <w:tc>
          <w:tcPr>
            <w:tcW w:w="6332" w:type="dxa"/>
            <w:tcBorders>
              <w:top w:val="single" w:color="auto" w:sz="4" w:space="0"/>
              <w:left w:val="single" w:color="auto" w:sz="4" w:space="0"/>
              <w:bottom w:val="single" w:color="auto" w:sz="4" w:space="0"/>
              <w:right w:val="single" w:color="auto" w:sz="8"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171"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354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rPr>
            </w:pPr>
            <w:r>
              <w:rPr>
                <w:rFonts w:hint="eastAsia" w:ascii="宋体" w:hAnsi="宋体"/>
                <w:sz w:val="18"/>
                <w:szCs w:val="18"/>
              </w:rPr>
              <w:t>屋外</w:t>
            </w:r>
          </w:p>
        </w:tc>
        <w:tc>
          <w:tcPr>
            <w:tcW w:w="63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rPr>
            </w:pPr>
            <w:r>
              <w:rPr>
                <w:rFonts w:hint="eastAsia" w:ascii="宋体" w:hAnsi="宋体"/>
                <w:sz w:val="18"/>
                <w:szCs w:val="18"/>
              </w:rPr>
              <w:t>2.7</w:t>
            </w:r>
          </w:p>
        </w:tc>
      </w:tr>
    </w:tbl>
    <w:p>
      <w:pPr>
        <w:pStyle w:val="27"/>
        <w:numPr>
          <w:ilvl w:val="0"/>
          <w:numId w:val="0"/>
        </w:numPr>
        <w:adjustRightInd w:val="0"/>
        <w:snapToGrid w:val="0"/>
        <w:spacing w:before="0" w:beforeLines="0" w:after="0" w:afterLines="0"/>
        <w:ind w:left="100" w:leftChars="50" w:right="100"/>
      </w:pPr>
      <w:r>
        <w:rPr>
          <w:rFonts w:hint="eastAsia"/>
        </w:rPr>
        <w:t>表H.2  高层公共建筑内楼梯间的首层疏散门、首层疏散外门、疏散走道和疏散楼梯的最小净宽度</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3191"/>
        <w:gridCol w:w="2596"/>
        <w:gridCol w:w="2158"/>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建筑类别</w:t>
            </w:r>
          </w:p>
        </w:tc>
        <w:tc>
          <w:tcPr>
            <w:tcW w:w="319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楼梯间的首层疏散门、首层疏散外门</w:t>
            </w:r>
          </w:p>
        </w:tc>
        <w:tc>
          <w:tcPr>
            <w:tcW w:w="47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走  道</w:t>
            </w:r>
          </w:p>
        </w:tc>
        <w:tc>
          <w:tcPr>
            <w:tcW w:w="262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疏散楼梯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31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259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单面布房</w:t>
            </w: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双面布房</w:t>
            </w:r>
          </w:p>
        </w:tc>
        <w:tc>
          <w:tcPr>
            <w:tcW w:w="2622"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高层医疗建筑</w:t>
            </w:r>
          </w:p>
        </w:tc>
        <w:tc>
          <w:tcPr>
            <w:tcW w:w="319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1.30</w:t>
            </w:r>
          </w:p>
        </w:tc>
        <w:tc>
          <w:tcPr>
            <w:tcW w:w="259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1.40</w:t>
            </w: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1.50</w:t>
            </w:r>
          </w:p>
        </w:tc>
        <w:tc>
          <w:tcPr>
            <w:tcW w:w="2622" w:type="dxa"/>
            <w:tcBorders>
              <w:top w:val="single" w:color="auto" w:sz="4" w:space="0"/>
              <w:left w:val="single" w:color="auto" w:sz="4" w:space="0"/>
              <w:bottom w:val="single" w:color="auto" w:sz="4" w:space="0"/>
              <w:right w:val="single" w:color="auto" w:sz="4" w:space="0"/>
            </w:tcBorders>
          </w:tcPr>
          <w:p>
            <w:pPr>
              <w:adjustRightInd w:val="0"/>
              <w:snapToGrid w:val="0"/>
              <w:ind w:left="100" w:right="100"/>
              <w:jc w:val="center"/>
              <w:rPr>
                <w:rFonts w:ascii="宋体" w:hAnsi="宋体"/>
                <w:sz w:val="18"/>
                <w:szCs w:val="18"/>
              </w:rPr>
            </w:pPr>
            <w:r>
              <w:rPr>
                <w:rFonts w:hint="eastAsia" w:ascii="宋体" w:hAnsi="宋体"/>
                <w:sz w:val="18"/>
                <w:szCs w:val="18"/>
              </w:rPr>
              <w:t>1.30</w:t>
            </w:r>
          </w:p>
        </w:tc>
      </w:tr>
    </w:tbl>
    <w:p>
      <w:pPr>
        <w:pStyle w:val="25"/>
        <w:adjustRightInd w:val="0"/>
        <w:snapToGrid w:val="0"/>
        <w:ind w:left="100" w:leftChars="50" w:right="100" w:rightChars="50" w:firstLine="0" w:firstLineChars="0"/>
        <w:rPr>
          <w:rFonts w:ascii="黑体" w:hAnsi="黑体" w:eastAsia="黑体"/>
        </w:rPr>
      </w:pPr>
    </w:p>
    <w:p>
      <w:pPr>
        <w:pStyle w:val="27"/>
        <w:numPr>
          <w:ilvl w:val="0"/>
          <w:numId w:val="0"/>
        </w:numPr>
        <w:adjustRightInd w:val="0"/>
        <w:snapToGrid w:val="0"/>
        <w:spacing w:before="0" w:beforeLines="0" w:after="0" w:afterLines="0"/>
        <w:ind w:left="100" w:leftChars="50" w:right="100"/>
      </w:pPr>
      <w:r>
        <w:rPr>
          <w:rFonts w:hint="eastAsia"/>
        </w:rPr>
        <w:t>表H.3  A类火灾场所的灭火器最大保护距离</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4835"/>
        <w:gridCol w:w="4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sz w:val="18"/>
              </w:rPr>
              <w:t>危险等级</w:t>
            </w:r>
          </w:p>
        </w:tc>
        <w:tc>
          <w:tcPr>
            <w:tcW w:w="9667" w:type="dxa"/>
            <w:gridSpan w:val="2"/>
            <w:tcBorders>
              <w:top w:val="single" w:color="auto" w:sz="8"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sz w:val="18"/>
              </w:rPr>
            </w:pPr>
            <w:r>
              <w:rPr>
                <w:rFonts w:hint="eastAsia" w:ascii="宋体"/>
                <w:sz w:val="18"/>
              </w:rPr>
              <w:t>灭火器型式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836"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手提式灭火器</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推车式灭火器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严重危险级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15</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中危险级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20</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轻危险级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25</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50</w:t>
            </w:r>
          </w:p>
        </w:tc>
      </w:tr>
    </w:tbl>
    <w:p>
      <w:pPr>
        <w:pStyle w:val="25"/>
        <w:adjustRightInd w:val="0"/>
        <w:snapToGrid w:val="0"/>
        <w:ind w:left="100" w:leftChars="50" w:right="100" w:rightChars="50" w:firstLine="0" w:firstLineChars="0"/>
        <w:rPr>
          <w:rFonts w:ascii="黑体" w:hAnsi="黑体" w:eastAsia="黑体"/>
        </w:rPr>
      </w:pPr>
    </w:p>
    <w:p>
      <w:pPr>
        <w:pStyle w:val="25"/>
        <w:adjustRightInd w:val="0"/>
        <w:snapToGrid w:val="0"/>
        <w:ind w:left="100" w:leftChars="50" w:right="100" w:rightChars="50" w:firstLine="0" w:firstLineChars="0"/>
        <w:rPr>
          <w:rFonts w:ascii="黑体" w:hAnsi="黑体" w:eastAsia="黑体"/>
        </w:rPr>
      </w:pPr>
    </w:p>
    <w:p>
      <w:pPr>
        <w:pStyle w:val="27"/>
        <w:numPr>
          <w:ilvl w:val="0"/>
          <w:numId w:val="0"/>
        </w:numPr>
        <w:adjustRightInd w:val="0"/>
        <w:snapToGrid w:val="0"/>
        <w:spacing w:before="0" w:beforeLines="0" w:after="0" w:afterLines="0"/>
        <w:ind w:left="100" w:leftChars="50" w:right="100"/>
      </w:pPr>
      <w:r>
        <w:rPr>
          <w:rFonts w:hint="eastAsia"/>
        </w:rPr>
        <w:t>表H.4  B.C类火灾场所的灭火器最大保护距离</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4835"/>
        <w:gridCol w:w="4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sz w:val="18"/>
              </w:rPr>
              <w:t>危险等级</w:t>
            </w:r>
          </w:p>
        </w:tc>
        <w:tc>
          <w:tcPr>
            <w:tcW w:w="9667" w:type="dxa"/>
            <w:gridSpan w:val="2"/>
            <w:tcBorders>
              <w:top w:val="single" w:color="auto" w:sz="8"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sz w:val="18"/>
              </w:rPr>
              <w:t>灭火器型式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手提式灭火器</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推车式灭火器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严重危险级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9</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中危险级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12</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轻危险级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15</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30</w:t>
            </w:r>
          </w:p>
        </w:tc>
      </w:tr>
    </w:tbl>
    <w:p>
      <w:pPr>
        <w:pStyle w:val="27"/>
        <w:numPr>
          <w:ilvl w:val="0"/>
          <w:numId w:val="0"/>
        </w:numPr>
        <w:adjustRightInd w:val="0"/>
        <w:snapToGrid w:val="0"/>
        <w:spacing w:before="0" w:beforeLines="0" w:after="0" w:afterLines="0"/>
        <w:ind w:left="100" w:leftChars="50" w:right="100"/>
      </w:pPr>
      <w:r>
        <w:rPr>
          <w:rFonts w:hint="eastAsia"/>
        </w:rPr>
        <w:t>表H.5  灭火器的维修期限</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55"/>
        <w:gridCol w:w="5587"/>
        <w:gridCol w:w="5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gridSpan w:val="2"/>
            <w:tcBorders>
              <w:top w:val="single" w:color="auto" w:sz="4" w:space="0"/>
              <w:left w:val="single" w:color="auto" w:sz="8"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灭火器类型</w:t>
            </w:r>
          </w:p>
        </w:tc>
        <w:tc>
          <w:tcPr>
            <w:tcW w:w="5961" w:type="dxa"/>
            <w:tcBorders>
              <w:top w:val="single" w:color="auto" w:sz="4" w:space="0"/>
              <w:left w:val="single" w:color="auto" w:sz="4" w:space="0"/>
              <w:bottom w:val="single" w:color="auto" w:sz="4" w:space="0"/>
              <w:right w:val="single" w:color="auto" w:sz="8"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维修期限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955"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水基型灭火器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手提式水基型灭火器</w:t>
            </w:r>
          </w:p>
        </w:tc>
        <w:tc>
          <w:tcPr>
            <w:tcW w:w="5961" w:type="dxa"/>
            <w:vMerge w:val="restart"/>
            <w:tcBorders>
              <w:top w:val="single" w:color="auto" w:sz="4" w:space="0"/>
              <w:left w:val="single" w:color="auto" w:sz="4" w:space="0"/>
              <w:bottom w:val="single" w:color="auto" w:sz="4" w:space="0"/>
              <w:right w:val="single" w:color="auto" w:sz="8"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出厂期满3年；</w:t>
            </w:r>
          </w:p>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首次维修以后每满1年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推车式水基型灭火器</w:t>
            </w:r>
          </w:p>
        </w:tc>
        <w:tc>
          <w:tcPr>
            <w:tcW w:w="5961" w:type="dxa"/>
            <w:vMerge w:val="continue"/>
            <w:tcBorders>
              <w:top w:val="single" w:color="auto" w:sz="4" w:space="0"/>
              <w:left w:val="single" w:color="auto" w:sz="4" w:space="0"/>
              <w:bottom w:val="single" w:color="auto" w:sz="4"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955"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干粉灭火器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手提式（贮压式）干粉灭火器</w:t>
            </w:r>
          </w:p>
        </w:tc>
        <w:tc>
          <w:tcPr>
            <w:tcW w:w="5961" w:type="dxa"/>
            <w:vMerge w:val="restart"/>
            <w:tcBorders>
              <w:top w:val="single" w:color="auto" w:sz="4" w:space="0"/>
              <w:left w:val="single" w:color="auto" w:sz="4" w:space="0"/>
              <w:bottom w:val="single" w:color="auto" w:sz="8" w:space="0"/>
              <w:right w:val="single" w:color="auto" w:sz="8"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出厂期满5年；</w:t>
            </w:r>
          </w:p>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首次维修以后每满2年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手提式（储气瓶式）干粉灭火器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推车式（贮压式）干粉灭火器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推车式（储气瓶式）干粉灭火器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955"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洁净气体灭火器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手提式洁净气体灭火器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推车式洁净气体灭火器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955" w:type="dxa"/>
            <w:vMerge w:val="restart"/>
            <w:tcBorders>
              <w:top w:val="single" w:color="auto" w:sz="4" w:space="0"/>
              <w:left w:val="single" w:color="auto" w:sz="8" w:space="0"/>
              <w:bottom w:val="single" w:color="auto" w:sz="8"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二氧化碳灭火器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手提式二氧化碳灭火器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8"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8"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推车式二氧化碳灭火器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bl>
    <w:p>
      <w:pPr>
        <w:pStyle w:val="25"/>
        <w:adjustRightInd w:val="0"/>
        <w:snapToGrid w:val="0"/>
        <w:ind w:left="100" w:leftChars="50" w:right="100" w:rightChars="50" w:firstLine="0" w:firstLineChars="0"/>
      </w:pPr>
    </w:p>
    <w:p>
      <w:pPr>
        <w:pStyle w:val="27"/>
        <w:numPr>
          <w:ilvl w:val="0"/>
          <w:numId w:val="0"/>
        </w:numPr>
        <w:adjustRightInd w:val="0"/>
        <w:snapToGrid w:val="0"/>
        <w:spacing w:before="0" w:beforeLines="0" w:after="0" w:afterLines="0"/>
        <w:ind w:left="100" w:leftChars="50" w:right="100"/>
      </w:pPr>
      <w:r>
        <w:rPr>
          <w:rFonts w:hint="eastAsia"/>
        </w:rPr>
        <w:t>表K.2  其他作业类别劳动防护用品的选用要求</w:t>
      </w:r>
    </w:p>
    <w:tbl>
      <w:tblPr>
        <w:tblStyle w:val="13"/>
        <w:tblW w:w="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5"/>
        <w:gridCol w:w="3121"/>
        <w:gridCol w:w="5816"/>
        <w:gridCol w:w="4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56"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作业类别</w:t>
            </w:r>
          </w:p>
        </w:tc>
        <w:tc>
          <w:tcPr>
            <w:tcW w:w="5816"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可以使用的防护用品</w:t>
            </w:r>
          </w:p>
        </w:tc>
        <w:tc>
          <w:tcPr>
            <w:tcW w:w="4731"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建议使用的防护用品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编号</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类别名称</w:t>
            </w:r>
          </w:p>
        </w:tc>
        <w:tc>
          <w:tcPr>
            <w:tcW w:w="5816"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4731"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A01</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存在物体坠落、撞击的作业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B02安全帽；B39防砸鞋（靴）；B41防刺穿鞋；B68安全网</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B40防滑鞋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A09</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低压带电作业（1 kV以下）</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B31绝缘手套；B42绝缘鞋；B64绝缘服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B02安全帽（带电绝缘性能）；B10防冲击护目镜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A10</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在1 kV ～ 10 kV带电设备上进行高压带电作业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B02安全帽（带电绝缘性能）；B31绝缘手套；B42绝缘鞋；B64绝缘服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B10防冲击护目镜；B63带电作业屏蔽服；B65防电弧服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A11</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高温作业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B02安全帽；B13防强光、紫外线、红外线护目镜或面罩；B34隔热阻燃鞋；B56白帆布类隔热服；B58热防护服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B57镀反射膜类隔热服；B71其他零星防护用品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A12</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易燃易爆场所作业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B23防静电手套；B35防静电鞋；B52化学品防护服；B53阻燃防护服；B54防静电服；B66棉布工作服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B05防尘口罩（防颗粒物呼吸器）；B06防毒面具；B47防尘服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A20</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密闭场所作业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B06防毒面具（供气或携气）；B21防化学品手套；B52化学品防护服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B07空气呼吸器；B69劳动护肤剂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A24</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噪声作业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B18耳塞</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B19耳罩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A29</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射线作业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B12防放射性护目镜；B25防放射性手套；B59防放射性服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A30</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腐蚀性作业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B01工作帽；B16防腐蚀液护目镜；B26耐酸（碱）手套；B43耐酸（碱）鞋；B60防酸（碱）服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B36防化学品鞋（靴）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A31</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易污作业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B01工作帽；B06防毒面具；B05防尘口罩（防颗粒物呼吸器）；B26耐酸碱手套；B35防静电鞋；B46一般防护服；B52化学品防护服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B27耐油手套；B37耐油鞋；B61防油服；B69劳动护肤剂；B71其他零星防护用品</w:t>
            </w:r>
          </w:p>
        </w:tc>
      </w:tr>
    </w:tbl>
    <w:p>
      <w:pPr>
        <w:adjustRightInd w:val="0"/>
        <w:snapToGrid w:val="0"/>
        <w:ind w:left="100" w:right="100"/>
        <w:jc w:val="center"/>
        <w:rPr>
          <w:rFonts w:ascii="宋体" w:hAnsi="宋体"/>
          <w:szCs w:val="20"/>
        </w:rPr>
      </w:pPr>
    </w:p>
    <w:p>
      <w:pPr>
        <w:adjustRightInd w:val="0"/>
        <w:snapToGrid w:val="0"/>
        <w:ind w:left="100" w:right="100"/>
        <w:jc w:val="center"/>
        <w:rPr>
          <w:rFonts w:ascii="宋体" w:hAnsi="宋体"/>
          <w:szCs w:val="20"/>
        </w:rPr>
      </w:pPr>
      <w:r>
        <w:rPr>
          <w:rFonts w:ascii="宋体" w:hAnsi="宋体"/>
          <w:szCs w:val="20"/>
        </w:rPr>
        <w:drawing>
          <wp:inline distT="0" distB="0" distL="0" distR="0">
            <wp:extent cx="5034915" cy="5069840"/>
            <wp:effectExtent l="0" t="0" r="0" b="0"/>
            <wp:docPr id="12" name="图片 12" descr="表B.1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表B.1_00"/>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l="11775" t="26884" r="10269" b="11555"/>
                    <a:stretch>
                      <a:fillRect/>
                    </a:stretch>
                  </pic:blipFill>
                  <pic:spPr>
                    <a:xfrm>
                      <a:off x="0" y="0"/>
                      <a:ext cx="5034915" cy="5069840"/>
                    </a:xfrm>
                    <a:prstGeom prst="rect">
                      <a:avLst/>
                    </a:prstGeom>
                    <a:noFill/>
                    <a:ln>
                      <a:noFill/>
                    </a:ln>
                  </pic:spPr>
                </pic:pic>
              </a:graphicData>
            </a:graphic>
          </wp:inline>
        </w:drawing>
      </w:r>
    </w:p>
    <w:p>
      <w:pPr>
        <w:pStyle w:val="2"/>
        <w:adjustRightInd w:val="0"/>
        <w:snapToGrid w:val="0"/>
        <w:ind w:left="100" w:right="100" w:firstLine="0" w:firstLineChars="0"/>
        <w:jc w:val="center"/>
      </w:pPr>
      <w:r>
        <w:rPr>
          <w:rFonts w:ascii="宋体" w:hAnsi="宋体"/>
          <w:szCs w:val="20"/>
        </w:rPr>
        <w:drawing>
          <wp:inline distT="0" distB="0" distL="0" distR="0">
            <wp:extent cx="4999990" cy="5023485"/>
            <wp:effectExtent l="0" t="0" r="0" b="5715"/>
            <wp:docPr id="11" name="图片 11" descr="f6e1341133e51f9ce4e7d8e4fb474f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f6e1341133e51f9ce4e7d8e4fb474f9"/>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999990" cy="5023485"/>
                    </a:xfrm>
                    <a:prstGeom prst="rect">
                      <a:avLst/>
                    </a:prstGeom>
                    <a:noFill/>
                    <a:ln>
                      <a:noFill/>
                    </a:ln>
                  </pic:spPr>
                </pic:pic>
              </a:graphicData>
            </a:graphic>
          </wp:inline>
        </w:drawing>
      </w:r>
    </w:p>
    <w:p>
      <w:pPr>
        <w:pStyle w:val="3"/>
        <w:keepNext w:val="0"/>
        <w:keepLines w:val="0"/>
        <w:adjustRightInd w:val="0"/>
        <w:snapToGrid w:val="0"/>
        <w:spacing w:before="0" w:after="0"/>
        <w:ind w:left="100" w:right="100"/>
        <w:rPr>
          <w:rFonts w:ascii="黑体" w:hAnsi="黑体" w:cs="黑体"/>
          <w:kern w:val="0"/>
          <w:sz w:val="32"/>
          <w:szCs w:val="32"/>
        </w:rPr>
      </w:pPr>
      <w:bookmarkStart w:id="3" w:name="_Toc120634489"/>
      <w:r>
        <w:rPr>
          <w:rFonts w:hint="eastAsia" w:ascii="黑体" w:hAnsi="黑体" w:cs="黑体"/>
          <w:kern w:val="0"/>
          <w:sz w:val="32"/>
          <w:szCs w:val="32"/>
        </w:rPr>
        <w:t>（5）北京市急救</w:t>
      </w:r>
      <w:r>
        <w:rPr>
          <w:rFonts w:hint="eastAsia" w:ascii="黑体" w:hAnsi="黑体" w:cs="黑体"/>
          <w:kern w:val="0"/>
          <w:sz w:val="32"/>
          <w:szCs w:val="32"/>
          <w:lang w:eastAsia="zh-CN"/>
        </w:rPr>
        <w:t>机构</w:t>
      </w:r>
      <w:r>
        <w:rPr>
          <w:rFonts w:hint="eastAsia" w:ascii="黑体" w:hAnsi="黑体" w:cs="黑体"/>
          <w:kern w:val="0"/>
          <w:sz w:val="32"/>
          <w:szCs w:val="32"/>
        </w:rPr>
        <w:t>生产安全事故隐患目录</w:t>
      </w:r>
      <w:bookmarkEnd w:id="3"/>
    </w:p>
    <w:p>
      <w:pPr>
        <w:adjustRightInd w:val="0"/>
        <w:snapToGrid w:val="0"/>
        <w:ind w:left="100" w:right="100"/>
      </w:pPr>
    </w:p>
    <w:tbl>
      <w:tblPr>
        <w:tblStyle w:val="13"/>
        <w:tblW w:w="13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870"/>
        <w:gridCol w:w="1110"/>
        <w:gridCol w:w="6105"/>
        <w:gridCol w:w="3540"/>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557" w:type="dxa"/>
            <w:vMerge w:val="restart"/>
            <w:tcBorders>
              <w:top w:val="single" w:color="auto" w:sz="4" w:space="0"/>
              <w:left w:val="single" w:color="auto" w:sz="4" w:space="0"/>
              <w:bottom w:val="single" w:color="auto" w:sz="4" w:space="0"/>
              <w:right w:val="single" w:color="auto" w:sz="4" w:space="0"/>
            </w:tcBorders>
            <w:shd w:val="clear" w:color="auto" w:fill="D9E2F3" w:themeFill="accent5" w:themeFillTint="33"/>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val="zh-CN" w:bidi="mn-Mong-CN"/>
              </w:rPr>
            </w:pPr>
            <w:r>
              <w:rPr>
                <w:rFonts w:hint="eastAsia" w:ascii="宋体" w:hAnsi="宋体"/>
                <w:bCs/>
                <w:sz w:val="24"/>
                <w:szCs w:val="24"/>
                <w:lang w:val="zh-CN" w:bidi="mn-Mong-CN"/>
              </w:rPr>
              <w:t>编号</w:t>
            </w:r>
          </w:p>
        </w:tc>
        <w:tc>
          <w:tcPr>
            <w:tcW w:w="1980" w:type="dxa"/>
            <w:gridSpan w:val="2"/>
            <w:tcBorders>
              <w:top w:val="single" w:color="auto" w:sz="4" w:space="0"/>
              <w:left w:val="single" w:color="auto" w:sz="4" w:space="0"/>
              <w:bottom w:val="single" w:color="auto" w:sz="4" w:space="0"/>
              <w:right w:val="single" w:color="auto" w:sz="4" w:space="0"/>
            </w:tcBorders>
            <w:shd w:val="clear" w:color="auto" w:fill="D9E2F3" w:themeFill="accent5" w:themeFillTint="33"/>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val="zh-CN" w:bidi="mn-Mong-CN"/>
              </w:rPr>
            </w:pPr>
            <w:r>
              <w:rPr>
                <w:rFonts w:hint="eastAsia" w:ascii="宋体" w:hAnsi="宋体"/>
                <w:bCs/>
                <w:sz w:val="24"/>
                <w:szCs w:val="24"/>
                <w:lang w:val="zh-CN" w:bidi="mn-Mong-CN"/>
              </w:rPr>
              <w:t>隐患分类</w:t>
            </w:r>
          </w:p>
        </w:tc>
        <w:tc>
          <w:tcPr>
            <w:tcW w:w="6105" w:type="dxa"/>
            <w:vMerge w:val="restart"/>
            <w:tcBorders>
              <w:top w:val="single" w:color="auto" w:sz="4" w:space="0"/>
              <w:left w:val="single" w:color="auto" w:sz="4" w:space="0"/>
              <w:bottom w:val="single" w:color="auto" w:sz="4" w:space="0"/>
              <w:right w:val="single" w:color="auto" w:sz="4" w:space="0"/>
            </w:tcBorders>
            <w:shd w:val="clear" w:color="auto" w:fill="D9E2F3" w:themeFill="accent5" w:themeFillTint="33"/>
            <w:tcMar>
              <w:top w:w="0" w:type="dxa"/>
              <w:left w:w="0" w:type="dxa"/>
              <w:bottom w:w="0" w:type="dxa"/>
              <w:right w:w="0" w:type="dxa"/>
            </w:tcMar>
            <w:vAlign w:val="center"/>
          </w:tcPr>
          <w:p>
            <w:pPr>
              <w:pStyle w:val="40"/>
              <w:ind w:left="100" w:right="100"/>
              <w:jc w:val="center"/>
              <w:rPr>
                <w:sz w:val="24"/>
                <w:szCs w:val="24"/>
                <w:lang w:val="zh-CN"/>
              </w:rPr>
            </w:pPr>
            <w:r>
              <w:rPr>
                <w:rFonts w:hint="eastAsia"/>
                <w:sz w:val="24"/>
                <w:szCs w:val="24"/>
                <w:lang w:val="zh-CN"/>
              </w:rPr>
              <w:t>隐患内容</w:t>
            </w:r>
          </w:p>
        </w:tc>
        <w:tc>
          <w:tcPr>
            <w:tcW w:w="3540" w:type="dxa"/>
            <w:vMerge w:val="restart"/>
            <w:tcBorders>
              <w:top w:val="single" w:color="auto" w:sz="4" w:space="0"/>
              <w:left w:val="single" w:color="auto" w:sz="4" w:space="0"/>
              <w:bottom w:val="single" w:color="auto" w:sz="4" w:space="0"/>
              <w:right w:val="single" w:color="auto" w:sz="4" w:space="0"/>
            </w:tcBorders>
            <w:shd w:val="clear" w:color="auto" w:fill="D9E2F3" w:themeFill="accent5" w:themeFillTint="33"/>
            <w:tcMar>
              <w:top w:w="0" w:type="dxa"/>
              <w:left w:w="0" w:type="dxa"/>
              <w:bottom w:w="0" w:type="dxa"/>
              <w:right w:w="0" w:type="dxa"/>
            </w:tcMar>
            <w:vAlign w:val="center"/>
          </w:tcPr>
          <w:p>
            <w:pPr>
              <w:pStyle w:val="40"/>
              <w:ind w:left="100" w:right="100"/>
              <w:jc w:val="center"/>
              <w:rPr>
                <w:sz w:val="24"/>
                <w:szCs w:val="24"/>
                <w:lang w:val="zh-CN"/>
              </w:rPr>
            </w:pPr>
            <w:r>
              <w:rPr>
                <w:rFonts w:hint="eastAsia"/>
                <w:sz w:val="24"/>
                <w:szCs w:val="24"/>
                <w:lang w:val="zh-CN"/>
              </w:rPr>
              <w:t>依    据</w:t>
            </w:r>
          </w:p>
        </w:tc>
        <w:tc>
          <w:tcPr>
            <w:tcW w:w="763" w:type="dxa"/>
            <w:vMerge w:val="restart"/>
            <w:tcBorders>
              <w:top w:val="single" w:color="auto" w:sz="4" w:space="0"/>
              <w:left w:val="single" w:color="auto" w:sz="4" w:space="0"/>
              <w:bottom w:val="single" w:color="auto" w:sz="4" w:space="0"/>
              <w:right w:val="single" w:color="auto" w:sz="4" w:space="0"/>
            </w:tcBorders>
            <w:shd w:val="clear" w:color="auto" w:fill="D9E2F3" w:themeFill="accent5" w:themeFillTint="33"/>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val="zh-CN" w:bidi="mn-Mong-CN"/>
              </w:rPr>
            </w:pPr>
            <w:r>
              <w:rPr>
                <w:rFonts w:hint="eastAsia" w:ascii="宋体" w:hAnsi="宋体"/>
                <w:bCs/>
                <w:sz w:val="24"/>
                <w:szCs w:val="24"/>
                <w:lang w:val="zh-CN" w:bidi="mn-Mong-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870" w:type="dxa"/>
            <w:tcBorders>
              <w:top w:val="single" w:color="auto" w:sz="4" w:space="0"/>
              <w:left w:val="single" w:color="auto" w:sz="4" w:space="0"/>
              <w:bottom w:val="single" w:color="auto" w:sz="4" w:space="0"/>
              <w:right w:val="single" w:color="auto" w:sz="4" w:space="0"/>
            </w:tcBorders>
            <w:shd w:val="clear" w:color="auto" w:fill="D9E2F3" w:themeFill="accent5" w:themeFillTint="33"/>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一类</w:t>
            </w:r>
          </w:p>
        </w:tc>
        <w:tc>
          <w:tcPr>
            <w:tcW w:w="1110" w:type="dxa"/>
            <w:tcBorders>
              <w:top w:val="single" w:color="auto" w:sz="4" w:space="0"/>
              <w:left w:val="single" w:color="auto" w:sz="4" w:space="0"/>
              <w:bottom w:val="single" w:color="auto" w:sz="4" w:space="0"/>
              <w:right w:val="single" w:color="auto" w:sz="4" w:space="0"/>
            </w:tcBorders>
            <w:shd w:val="clear" w:color="auto" w:fill="D9E2F3" w:themeFill="accent5" w:themeFillTint="33"/>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 w:val="24"/>
                <w:szCs w:val="24"/>
                <w:lang w:bidi="mn-Mong-CN"/>
              </w:rPr>
            </w:pPr>
            <w:r>
              <w:rPr>
                <w:rFonts w:hint="eastAsia" w:ascii="宋体" w:hAnsi="宋体"/>
                <w:bCs/>
                <w:sz w:val="24"/>
                <w:szCs w:val="24"/>
                <w:lang w:bidi="mn-Mong-CN"/>
              </w:rPr>
              <w:t>二类</w:t>
            </w:r>
          </w:p>
        </w:tc>
        <w:tc>
          <w:tcPr>
            <w:tcW w:w="6105" w:type="dxa"/>
            <w:vMerge w:val="continue"/>
            <w:tcBorders>
              <w:top w:val="single" w:color="auto" w:sz="4" w:space="0"/>
              <w:left w:val="single" w:color="auto" w:sz="4" w:space="0"/>
              <w:bottom w:val="single" w:color="auto" w:sz="4" w:space="0"/>
              <w:right w:val="single" w:color="auto" w:sz="4" w:space="0"/>
            </w:tcBorders>
            <w:vAlign w:val="center"/>
          </w:tcPr>
          <w:p>
            <w:pPr>
              <w:pStyle w:val="40"/>
              <w:ind w:left="100" w:right="100"/>
              <w:rPr>
                <w:sz w:val="24"/>
                <w:szCs w:val="24"/>
              </w:rPr>
            </w:pPr>
          </w:p>
        </w:tc>
        <w:tc>
          <w:tcPr>
            <w:tcW w:w="3540" w:type="dxa"/>
            <w:vMerge w:val="continue"/>
            <w:tcBorders>
              <w:top w:val="single" w:color="auto" w:sz="4" w:space="0"/>
              <w:left w:val="single" w:color="auto" w:sz="4" w:space="0"/>
              <w:bottom w:val="single" w:color="auto" w:sz="4" w:space="0"/>
              <w:right w:val="single" w:color="auto" w:sz="4" w:space="0"/>
            </w:tcBorders>
            <w:vAlign w:val="center"/>
          </w:tcPr>
          <w:p>
            <w:pPr>
              <w:pStyle w:val="40"/>
              <w:ind w:left="100" w:right="100"/>
            </w:pPr>
          </w:p>
        </w:tc>
        <w:tc>
          <w:tcPr>
            <w:tcW w:w="763"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r>
              <w:rPr>
                <w:rFonts w:hint="eastAsia" w:ascii="宋体" w:hAnsi="宋体"/>
                <w:szCs w:val="20"/>
                <w:lang w:bidi="mn-Mong-CN"/>
              </w:rPr>
              <w:t>资质证照类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textAlignment w:val="center"/>
            </w:pPr>
            <w:r>
              <w:rPr>
                <w:rFonts w:hint="eastAsia"/>
              </w:rPr>
              <w:t>急救中心未取得有效的《医疗机构执业许可证》《医疗机构执业许可证》或其业务范围里的相关内容。</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《医疗机构管理条例》第十四条</w:t>
            </w:r>
          </w:p>
          <w:p>
            <w:pPr>
              <w:pStyle w:val="40"/>
              <w:ind w:left="100" w:right="100"/>
            </w:pPr>
            <w:r>
              <w:rPr>
                <w:rFonts w:hint="eastAsia"/>
              </w:rPr>
              <w:t>《北京市医疗机构许可管理办法》</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r>
              <w:rPr>
                <w:rFonts w:hint="eastAsia" w:ascii="宋体" w:hAnsi="宋体"/>
                <w:kern w:val="0"/>
                <w:szCs w:val="20"/>
              </w:rPr>
              <w:t>机构及人员配备类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从业人员超过100人的，未设置安全生产管理机构或者配备专职安全生产管理人员；从业人员在100人以下的，未配备专职或者兼职的安全生产管理人员。</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 xml:space="preserve">《中华人民共和国安全生产法》第二十四条 </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r>
              <w:rPr>
                <w:rFonts w:hint="eastAsia" w:ascii="宋体" w:hAnsi="宋体"/>
                <w:kern w:val="0"/>
                <w:szCs w:val="20"/>
              </w:rPr>
              <w:t>责任制类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急救中心未建立安全生产责任制，安全生产责任制内容不完善或未定期审核、更新。</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《中华人民共和国安全生产法》第四条</w:t>
            </w:r>
          </w:p>
          <w:p>
            <w:pPr>
              <w:pStyle w:val="40"/>
              <w:ind w:left="100" w:right="100"/>
            </w:pPr>
            <w:r>
              <w:rPr>
                <w:rFonts w:hint="eastAsia"/>
              </w:rPr>
              <w:t>《北京市安全生产条例》第四条：</w:t>
            </w:r>
          </w:p>
          <w:p>
            <w:pPr>
              <w:pStyle w:val="40"/>
              <w:ind w:left="100" w:right="100"/>
            </w:pPr>
            <w:r>
              <w:rPr>
                <w:rFonts w:hint="eastAsia"/>
              </w:rPr>
              <w:t>a）主要负责人、安全生产管理人员、各岗位人员的安全生产职责；</w:t>
            </w:r>
          </w:p>
          <w:p>
            <w:pPr>
              <w:pStyle w:val="40"/>
              <w:ind w:left="100" w:right="100"/>
            </w:pPr>
            <w:r>
              <w:rPr>
                <w:rFonts w:hint="eastAsia"/>
              </w:rPr>
              <w:t>b）安全生产管理机构、各部门的安全生产职责；</w:t>
            </w:r>
          </w:p>
          <w:p>
            <w:pPr>
              <w:pStyle w:val="40"/>
              <w:ind w:left="100" w:right="100"/>
            </w:pPr>
            <w:r>
              <w:rPr>
                <w:rFonts w:hint="eastAsia"/>
              </w:rPr>
              <w:t>c）安全生产责任考核及奖惩。</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制度类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未建立健全安全生产规章制度。</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《北京市生产经营单位安全生产主体责任规定》第7条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未按规定编制安全操作规程。</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《北京市生产经营单位安全生产主体责任规定》第6条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氧气瓶储存场所未由专人负责管理。储存场所内未张贴安全管理部门负责人、安全责任人、消防控制室等联系电话，并未保持电话畅通。</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《危险化学品安全管理条例》第二十四条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rPr>
            </w:pPr>
            <w:r>
              <w:rPr>
                <w:rFonts w:hint="eastAsia" w:ascii="宋体" w:hAnsi="宋体"/>
                <w:bCs/>
                <w:szCs w:val="20"/>
              </w:rPr>
              <w:t>安全生产教育培训</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未按照培训计划实施培训，培训内容未包括：</w:t>
            </w:r>
          </w:p>
          <w:p>
            <w:pPr>
              <w:pStyle w:val="40"/>
              <w:ind w:left="100" w:right="100"/>
            </w:pPr>
            <w:r>
              <w:rPr>
                <w:rFonts w:hint="eastAsia"/>
              </w:rPr>
              <w:t>对急救中心主要负责人、职业卫生管理人员的职业卫生培训，应当包括下列主要内容：</w:t>
            </w:r>
          </w:p>
          <w:p>
            <w:pPr>
              <w:pStyle w:val="40"/>
              <w:ind w:left="100" w:right="100"/>
            </w:pPr>
            <w:r>
              <w:rPr>
                <w:rFonts w:hint="eastAsia"/>
              </w:rPr>
              <w:t>（一）职业卫生相关法律、法规、规章和国家职业卫生标准；</w:t>
            </w:r>
          </w:p>
          <w:p>
            <w:pPr>
              <w:pStyle w:val="40"/>
              <w:ind w:left="100" w:right="100"/>
            </w:pPr>
            <w:r>
              <w:rPr>
                <w:rFonts w:hint="eastAsia"/>
              </w:rPr>
              <w:t>（二）职业病危害预防和控制的基本知识；</w:t>
            </w:r>
          </w:p>
          <w:p>
            <w:pPr>
              <w:pStyle w:val="40"/>
              <w:ind w:left="100" w:right="100"/>
            </w:pPr>
            <w:r>
              <w:rPr>
                <w:rFonts w:hint="eastAsia"/>
              </w:rPr>
              <w:t>（三）职业卫生管理相关知识；</w:t>
            </w:r>
          </w:p>
          <w:p>
            <w:pPr>
              <w:pStyle w:val="40"/>
              <w:ind w:left="100" w:right="100"/>
            </w:pPr>
            <w:r>
              <w:rPr>
                <w:rFonts w:hint="eastAsia"/>
              </w:rPr>
              <w:t>（四）国家卫生健康委规定的其他内容。</w:t>
            </w:r>
          </w:p>
          <w:p>
            <w:pPr>
              <w:pStyle w:val="40"/>
              <w:ind w:left="100" w:right="100"/>
            </w:pPr>
            <w:r>
              <w:rPr>
                <w:rFonts w:hint="eastAsia"/>
              </w:rPr>
              <w:t>急救中心应当对劳动者进行上岗前的职业卫生培训和在岗期间的定期职业卫生培训，普及职业卫生知识，督促劳动者遵守职业病防治的法律、法规、规章、国家职业卫生标准和操作规程。</w:t>
            </w:r>
          </w:p>
          <w:p>
            <w:pPr>
              <w:pStyle w:val="40"/>
              <w:ind w:left="100" w:right="100"/>
            </w:pPr>
            <w:r>
              <w:rPr>
                <w:rFonts w:hint="eastAsia"/>
              </w:rPr>
              <w:t>急救中心应当对职业病危害严重的岗位的劳动者，进行专门的职业卫生培训，经培训合格后方可上岗作业。</w:t>
            </w:r>
          </w:p>
          <w:p>
            <w:pPr>
              <w:pStyle w:val="40"/>
              <w:ind w:left="100" w:right="100"/>
            </w:pPr>
            <w:r>
              <w:rPr>
                <w:rFonts w:hint="eastAsia"/>
              </w:rPr>
              <w:t xml:space="preserve">    因变更工艺、技术、设备、材料，或者岗位调整导致劳动者接触的职业病危害因素发生变化的，急救中心应当重新对劳动者进行上岗前的职业卫生培训。</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《生产经营单位安全培训规定》第七条、第八条、第十四条、第十五条、第十六条</w:t>
            </w:r>
          </w:p>
          <w:p>
            <w:pPr>
              <w:pStyle w:val="40"/>
              <w:ind w:left="100" w:right="100"/>
            </w:pPr>
            <w:r>
              <w:rPr>
                <w:rFonts w:hint="eastAsia"/>
              </w:rPr>
              <w:t>《工作场所职业卫生管理规定》第九条、第十条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从事特种作业、特种设备作业的人员和消防控制室操作职业资格证书的值班人员未按照有关规定，未经安全培训、考核合格，取得相应未资格，便上岗作业，并未按期参加复训和复审。</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 第三十条</w:t>
            </w:r>
          </w:p>
          <w:p>
            <w:pPr>
              <w:pStyle w:val="40"/>
              <w:ind w:left="100" w:right="100"/>
            </w:pPr>
            <w:r>
              <w:rPr>
                <w:rFonts w:hint="eastAsia"/>
              </w:rPr>
              <w:t>《中华人民共和国特种设备安全法》第十四条</w:t>
            </w:r>
          </w:p>
          <w:p>
            <w:pPr>
              <w:pStyle w:val="40"/>
              <w:ind w:left="100" w:right="100"/>
            </w:pPr>
            <w:r>
              <w:rPr>
                <w:rFonts w:hint="eastAsia"/>
              </w:rPr>
              <w:t>GB 25506-2010《消防控制室通用技术要求》第4.2.1条a）</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未对相关方作业人员（短期临时作业人员、实习学生、学习参观人员及其他外来人员）进行安全教育培训。</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《中华人民共和国安全生产法》第二十八条</w:t>
            </w:r>
          </w:p>
          <w:p>
            <w:pPr>
              <w:pStyle w:val="40"/>
              <w:ind w:left="100" w:right="100"/>
            </w:pPr>
            <w:r>
              <w:rPr>
                <w:rFonts w:hint="eastAsia"/>
              </w:rPr>
              <w:t>《生产经营单位安全培训规定》第四条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记录档案类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未建立安全生产教育培训档案，或档案内不齐全。档案未包括培训记录表、培训签到表、培训试卷等有关书面材料和图片资料。</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《中华人民共和国安全生产法》第二十八条</w:t>
            </w:r>
          </w:p>
          <w:p>
            <w:pPr>
              <w:pStyle w:val="40"/>
              <w:ind w:left="100" w:right="100"/>
            </w:pPr>
            <w:r>
              <w:rPr>
                <w:rFonts w:hint="eastAsia"/>
              </w:rPr>
              <w:t>DB11/T 1322.2-2017《安全生产等级评定技术规范 第2部分：安全生产通用要求》第3.1.5.8条。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未建立事故隐患治理台账。</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第2部分：安全生产通用要求》第3.1.7.3.1条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未对灭火器配置、外观等按附录C的要求进行每月一次的定期检查，并未记录归档。</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50444-2008《建筑灭火器配置验收及检查规范》第5.2.1条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未对建筑消防设施每年至少进行1次全面检测，确保完好有效；不具备检测条件的未委托具备相应未资质的检测机构进行检测，并保存检测记录。</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《中华人民共和国消防法》第十七条</w:t>
            </w:r>
          </w:p>
          <w:p>
            <w:pPr>
              <w:pStyle w:val="40"/>
              <w:ind w:left="100" w:right="100"/>
            </w:pPr>
            <w:r>
              <w:rPr>
                <w:rFonts w:hint="eastAsia"/>
              </w:rPr>
              <w:t>《北京市消防条例》第十三条</w:t>
            </w:r>
          </w:p>
          <w:p>
            <w:pPr>
              <w:pStyle w:val="40"/>
              <w:ind w:left="100" w:right="100"/>
            </w:pPr>
            <w:r>
              <w:rPr>
                <w:rFonts w:hint="eastAsia"/>
              </w:rPr>
              <w:t>《机关、团体、企业、事业单位消防安全管理规定》第二十五条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未每年对电气防火安全进行检测和开展每日防火巡查，确定巡查的人员、内容、部位和频次，并保存记录。</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《中华人民共和国消防法》第十七条</w:t>
            </w:r>
          </w:p>
          <w:p>
            <w:pPr>
              <w:pStyle w:val="40"/>
              <w:ind w:left="100" w:right="100"/>
            </w:pPr>
            <w:r>
              <w:rPr>
                <w:rFonts w:hint="eastAsia"/>
              </w:rPr>
              <w:t>《北京市消防条例》第十二、十三条</w:t>
            </w:r>
          </w:p>
          <w:p>
            <w:pPr>
              <w:pStyle w:val="40"/>
              <w:ind w:left="100" w:right="100"/>
            </w:pPr>
            <w:r>
              <w:rPr>
                <w:rFonts w:hint="eastAsia"/>
              </w:rPr>
              <w:t>《机关、团体、企业、事业单位消防安全管理规定》第二十五条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每月未手动启动消防水泵运转1次，并未检查供电电源的情况；每周未模拟消防水泵自动控制的条件自动启动消防水泵运转1次，且未自动记录自动巡检情况；每月未检测记录。</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50974-2014《消防给水及消火栓系统技术规范》第14.0.4条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消防水泵房及地下水池、消防系统全部机电设备未由专人负责监控，定期检查保养、维护及清洁清扫，并保存记录。</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第2部分：安全生产通用要求》第3.7.13.5条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未建立氧气气瓶储存台账，在储存场所内未有温湿度记录和安全检查记录。氧气气瓶出入储存场所时，未检验物品数量、包装等情况。</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 755-2010《危险化学品仓库建设及储存安全规范》第4.5.3条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应急救援类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急救中心未按要求编制应急救援预案、应急处置方案等或未及时、定期修订。</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bottom"/>
          </w:tcPr>
          <w:p>
            <w:pPr>
              <w:pStyle w:val="40"/>
              <w:ind w:left="100" w:right="100"/>
            </w:pPr>
            <w:r>
              <w:rPr>
                <w:rFonts w:hint="eastAsia"/>
              </w:rPr>
              <w:t>《生产安全事故应急条例》第五、六条</w:t>
            </w:r>
          </w:p>
          <w:p>
            <w:pPr>
              <w:pStyle w:val="40"/>
              <w:ind w:left="100" w:right="100"/>
            </w:pPr>
            <w:r>
              <w:rPr>
                <w:rFonts w:hint="eastAsia"/>
              </w:rPr>
              <w:t>《生产安全事故应急预案管理办法》第十三条到第十九条</w:t>
            </w:r>
          </w:p>
          <w:p>
            <w:pPr>
              <w:pStyle w:val="40"/>
              <w:ind w:left="100" w:right="100"/>
            </w:pPr>
            <w:r>
              <w:rPr>
                <w:rFonts w:hint="eastAsia"/>
              </w:rPr>
              <w:t>DB11/T 1322.2-2017《安全生产等级评定技术规范 第2部分：安全生产通用要求》第3.1.6.2.2条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急救中心未建立应急救援组织机构及专兼职应急救援队伍。</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《中华人民共和国安全生产法》第八十五条</w:t>
            </w:r>
          </w:p>
          <w:p>
            <w:pPr>
              <w:pStyle w:val="40"/>
              <w:ind w:left="100" w:right="100"/>
            </w:pPr>
            <w:r>
              <w:rPr>
                <w:rFonts w:hint="eastAsia"/>
              </w:rPr>
              <w:t>《生产安全事故应急条例》第十、十一条</w:t>
            </w:r>
          </w:p>
          <w:p>
            <w:pPr>
              <w:pStyle w:val="40"/>
              <w:ind w:left="100" w:right="100"/>
            </w:pPr>
            <w:r>
              <w:rPr>
                <w:rFonts w:hint="eastAsia"/>
              </w:rPr>
              <w:t>《北京市生产经营单位安全生产主体责任规定》第三十条、第三十一条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未根据实际需求，配备应急设施和装备，储备应急物资，指定专人负责管理，并未建立使用状况台账，定期检测和维护，使其处于良好状态。</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《中华人民共和国安全生产法》第八十二条</w:t>
            </w:r>
          </w:p>
          <w:p>
            <w:pPr>
              <w:pStyle w:val="40"/>
              <w:ind w:left="100" w:right="100"/>
            </w:pPr>
            <w:r>
              <w:rPr>
                <w:rFonts w:hint="eastAsia"/>
              </w:rPr>
              <w:t>《生产安全事故应急预案管理办法》第三十八条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急救中心未按规定定期组织应急演练。</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《中华人民共和国安全生产法》第八十四条</w:t>
            </w:r>
          </w:p>
          <w:p>
            <w:pPr>
              <w:pStyle w:val="40"/>
              <w:ind w:left="100" w:right="100"/>
            </w:pPr>
            <w:r>
              <w:rPr>
                <w:rFonts w:hint="eastAsia"/>
              </w:rPr>
              <w:t>《生产安全事故应急条例》第六、八条</w:t>
            </w:r>
          </w:p>
          <w:p>
            <w:pPr>
              <w:pStyle w:val="40"/>
              <w:ind w:left="100" w:right="100"/>
            </w:pPr>
            <w:r>
              <w:rPr>
                <w:rFonts w:hint="eastAsia"/>
              </w:rPr>
              <w:t>《生产安全事故应急预案管理办法》第三十三、三十五、三十六条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相关方管理类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急救中心未与相关方签订专门的安全生产管理协议或在承包合同、租赁合同中明确各自的安全生产管理职责。</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《中华人民共和国安全生产法》第四十八、四十九条</w:t>
            </w:r>
          </w:p>
          <w:p>
            <w:pPr>
              <w:pStyle w:val="40"/>
              <w:ind w:left="100" w:right="100"/>
            </w:pPr>
            <w:r>
              <w:rPr>
                <w:rFonts w:hint="eastAsia"/>
              </w:rPr>
              <w:t>《北京市生产经营单位安全生产主体责任规定》第二十七条</w:t>
            </w:r>
          </w:p>
          <w:p>
            <w:pPr>
              <w:pStyle w:val="40"/>
              <w:ind w:left="100" w:right="100"/>
            </w:pPr>
            <w:r>
              <w:rPr>
                <w:rFonts w:hint="eastAsia"/>
              </w:rPr>
              <w:t>DB11/T 1322.2-2017《安全生产等级评定技术规范 第2部分：安全生产通用要求》第3.1.8条。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szCs w:val="20"/>
                <w:lang w:bidi="mn-Mong-CN"/>
              </w:rPr>
              <w:t>基础资料类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其他</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变配电室未按要求填写和保存值班记录、检查记录和操作票工作票。</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DB11/527-2021《配电室安全管理规范》第7.2.2条、第7.2.3条、第7.2.4、第7.2.5条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变配电室的巡视检查未符合下列要求：</w:t>
            </w:r>
          </w:p>
          <w:p>
            <w:pPr>
              <w:pStyle w:val="40"/>
              <w:ind w:left="100" w:right="100"/>
            </w:pPr>
            <w:r>
              <w:rPr>
                <w:rFonts w:hint="eastAsia"/>
              </w:rPr>
              <w:t>a）有专人值班的变配电室每班未至少巡视检查1次；</w:t>
            </w:r>
          </w:p>
          <w:p>
            <w:pPr>
              <w:pStyle w:val="40"/>
              <w:ind w:left="100" w:right="100"/>
            </w:pPr>
            <w:r>
              <w:rPr>
                <w:rFonts w:hint="eastAsia"/>
              </w:rPr>
              <w:t>b）无专人值班的变配电室未根据电气运行环境、电气设备运行工况、负载等具体情况安排巡视检查，每周未至少1次。</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DB11/527-2021《配电室安全管理规范》第7.3.1条、第7.3.2条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废弃危险化学品未存放在专门的储存场所，并未指定专人负责管理；废弃危险化学品未交由有危险废物处置资质的单位进行处置。</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DB11/1578-2018《医疗机构危险化学品安全管理规范》第9.1、9.4条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kern w:val="0"/>
                <w:szCs w:val="20"/>
              </w:rPr>
              <w:t>设备设施及物料类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r>
              <w:rPr>
                <w:rFonts w:hint="eastAsia" w:ascii="宋体" w:hAnsi="宋体"/>
                <w:kern w:val="0"/>
                <w:szCs w:val="20"/>
              </w:rPr>
              <w:t>物料类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车辆未按规定进行技术维护。</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《道路运输车辆技术管理规定》第11条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szCs w:val="20"/>
                <w:lang w:bidi="mn-Mong-CN"/>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车辆等级评定超过期限或评定不合格。</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《道路运输车辆技术管理规定》第7条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szCs w:val="20"/>
                <w:lang w:bidi="mn-Mong-CN"/>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车辆使用年限或行驶里程超过报废标准。</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《机动车强制报废标准规定》第5条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szCs w:val="20"/>
                <w:lang w:bidi="mn-Mong-CN"/>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车辆动力系统的安全装置不符合规定。</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《机动车运行安全技术条件》第12.6条</w:t>
            </w:r>
          </w:p>
          <w:p>
            <w:pPr>
              <w:pStyle w:val="40"/>
              <w:ind w:left="100" w:right="100"/>
            </w:pPr>
            <w:r>
              <w:rPr>
                <w:rFonts w:hint="eastAsia"/>
              </w:rPr>
              <w:t>《混合动力电动汽车维护技术规范》第5.2.2条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szCs w:val="20"/>
                <w:lang w:bidi="mn-Mong-CN"/>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采购未具有经营许可资质单位的危险化学品。</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《危险化学品安全管理条例》第三十七条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szCs w:val="20"/>
                <w:lang w:bidi="mn-Mong-CN"/>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危险化学品未储存在专用的储存场所内。</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《危险化学品安全管理条例》第二十四条</w:t>
            </w:r>
          </w:p>
          <w:p>
            <w:pPr>
              <w:pStyle w:val="40"/>
              <w:ind w:left="100" w:right="100"/>
            </w:pPr>
            <w:r>
              <w:rPr>
                <w:rFonts w:hint="eastAsia"/>
              </w:rPr>
              <w:t>DB11/ 755-2010《危险化学品仓库建设及储存安全规范》第4.4.1条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szCs w:val="20"/>
                <w:lang w:bidi="mn-Mong-CN"/>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未保留与储存、使用危险化学品种类相符的化学品安全标签和安全技术说明书。</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 755-2010《危险化学品仓库建设及储存安全规范》第4.5.2条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szCs w:val="20"/>
                <w:lang w:bidi="mn-Mong-CN"/>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随意更换危险化学品的储存包装，包括内包装和外包装；在危险化学品储存场所内对危险化学品进行分装、改装。</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《危险化学品安全管理条例》第十七条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szCs w:val="20"/>
                <w:lang w:bidi="mn-Mong-CN"/>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未按危险化学品的危险性质分区、分类、分柜（或分库）存放，禁忌类危险化学品混合存放。</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 755-2010《危险化学品仓库建设及储存安全规范》第4.4.2条、第4.4.3条</w:t>
            </w:r>
          </w:p>
          <w:p>
            <w:pPr>
              <w:pStyle w:val="40"/>
              <w:ind w:left="100" w:right="100"/>
            </w:pPr>
            <w:r>
              <w:rPr>
                <w:rFonts w:hint="eastAsia"/>
              </w:rPr>
              <w:t>《危险化学品安全管理条例》第八十条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特种设备未办理使用登记，未按规定的周期进行检验。</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《中华人民共和国特种设备安全法》第三十三条、第四十条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在用特种设备未定期进行自行检查，未保存检查记录。</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《中华人民共和国特种设备安全法》第三十九条</w:t>
            </w:r>
          </w:p>
          <w:p>
            <w:pPr>
              <w:pStyle w:val="40"/>
              <w:ind w:left="100" w:right="100"/>
            </w:pPr>
            <w:r>
              <w:rPr>
                <w:rFonts w:hint="eastAsia"/>
              </w:rPr>
              <w:t>记录保存符合下列要求：</w:t>
            </w:r>
          </w:p>
          <w:p>
            <w:pPr>
              <w:pStyle w:val="40"/>
              <w:ind w:left="100" w:right="100"/>
            </w:pPr>
            <w:r>
              <w:rPr>
                <w:rFonts w:hint="eastAsia"/>
              </w:rPr>
              <w:t>a）锅炉、压力容器、压力管道的运行记录齐全；</w:t>
            </w:r>
          </w:p>
          <w:p>
            <w:pPr>
              <w:pStyle w:val="40"/>
              <w:ind w:left="100" w:right="100"/>
            </w:pPr>
            <w:r>
              <w:rPr>
                <w:rFonts w:hint="eastAsia"/>
              </w:rPr>
              <w:t>b）电梯日常维保单位的相关检查记录齐全；</w:t>
            </w:r>
          </w:p>
          <w:p>
            <w:pPr>
              <w:pStyle w:val="40"/>
              <w:ind w:left="100" w:right="100"/>
            </w:pPr>
            <w:r>
              <w:rPr>
                <w:rFonts w:hint="eastAsia"/>
              </w:rPr>
              <w:t>c）场（厂）内专用机动车辆的日常点检、定期自检和日常维护保养等记录齐全。</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特种设备的安全附件、安全保护装置未按要求定期校验检定、检修，并保存记录。</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《中华人民共和国特种设备安全法》第三十九条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锅炉的安全附件和仪表未按规范要求安装与使用。</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TSG11-2020 《锅炉安全技术规程》第5部分</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设备设施的防护装置随意拆除、挪用或弃置不用；确因检维修拆除的，未采取临时安全措施，检维修完毕后未立即复原。</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33000-2016《企业安全生产标准化基本规范》第5.4.1.3条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供氧、用氧设备及其检修工具沾染油污。</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308-2009《医疗机构消防安全管理》第5.7.3条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气瓶空瓶与实瓶未分开放置，无明显标志。</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气瓶瓶阀、瓶帽、防震圈等安全附件不齐全、不完好，外观有明显机械损伤、变形及严重腐蚀。气瓶立放时未采取防止倾倒的措施或装置。</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第2部分：安全生产通用要求》第3.3.2.5.3条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气瓶未有清晰、完整，无变形与气瓶连结牢固的具有唯一性的气瓶追溯标识。</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1530-2018《危险化学品气瓶追溯技术规范》第4.6条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气瓶未有制造标志和定期检验标志。</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23-2021《气瓶安全技术规程》第1.8.1条、第1.8.2条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气瓶的颜色标志、字样和色环未符合GB/T 7144《气瓶颜色标志》的规定，且气瓶的字显著部位未标注办理使用登记的气瓶充装单位名称或者简称。</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23-2021《气瓶安全技术规程》第1.8.1.3条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气瓶保护附件未符合下列要求：</w:t>
            </w:r>
          </w:p>
          <w:p>
            <w:pPr>
              <w:pStyle w:val="40"/>
              <w:ind w:left="100" w:right="100"/>
            </w:pPr>
            <w:r>
              <w:rPr>
                <w:rFonts w:hint="eastAsia"/>
              </w:rPr>
              <w:t>(1）无缝气瓶出厂时，应当装配不影响瓶阀手轮正常使用的保护罩，并且不得装配螺纹式瓶帽；</w:t>
            </w:r>
          </w:p>
          <w:p>
            <w:pPr>
              <w:pStyle w:val="40"/>
              <w:ind w:left="100" w:right="100"/>
            </w:pPr>
            <w:r>
              <w:rPr>
                <w:rFonts w:hint="eastAsia"/>
              </w:rPr>
              <w:t>(2）公称容积大于或者等于10L的钢质焊接气瓶（含溶解乙炔气瓶），应当装配不可拆卸的保护罩或者固定式瓶帽；</w:t>
            </w:r>
          </w:p>
          <w:p>
            <w:pPr>
              <w:pStyle w:val="40"/>
              <w:ind w:left="100" w:right="100"/>
            </w:pPr>
            <w:r>
              <w:rPr>
                <w:rFonts w:hint="eastAsia"/>
              </w:rPr>
              <w:t>(3）气瓶保护罩或者固定式瓶帽应当具有良好的抗撞击性，不得用铸铁制造；公称容积小于或者等于5L的钢质无缝气瓶和公称容积小于或者等于15L的铝合金无缝气瓶的保护罩，可以用工程塑料制造；</w:t>
            </w:r>
          </w:p>
          <w:p>
            <w:pPr>
              <w:pStyle w:val="40"/>
              <w:ind w:left="100" w:right="100"/>
            </w:pPr>
            <w:r>
              <w:rPr>
                <w:rFonts w:hint="eastAsia"/>
              </w:rPr>
              <w:t>(4）不能靠瓶底竖立的气瓶，应当装配底座（采用固定支架或者集装框架的气瓶除外），使气瓶能够稳定竖立，并且有效防止气瓶底部锈蚀；</w:t>
            </w:r>
          </w:p>
          <w:p>
            <w:pPr>
              <w:pStyle w:val="40"/>
              <w:ind w:left="100" w:right="100"/>
            </w:pPr>
            <w:r>
              <w:rPr>
                <w:rFonts w:hint="eastAsia"/>
              </w:rPr>
              <w:t>(5）5L以上的无缝气瓶应当装配颈圈，并且在颈圈上设置适当的电子识读标志。</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23-2021《气瓶安全技术规程》第7.3条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气瓶的使用未遵循下列要求：</w:t>
            </w:r>
          </w:p>
          <w:p>
            <w:pPr>
              <w:pStyle w:val="40"/>
              <w:ind w:left="100" w:right="100"/>
            </w:pPr>
            <w:r>
              <w:rPr>
                <w:rFonts w:hint="eastAsia"/>
              </w:rPr>
              <w:t>a）不应将盛装气体的气瓶置于人员密集或者靠近热源的场所使用（车用瓶除外），不应使用任何热源对气瓶进行加热；</w:t>
            </w:r>
          </w:p>
          <w:p>
            <w:pPr>
              <w:pStyle w:val="40"/>
              <w:ind w:left="100" w:right="100"/>
            </w:pPr>
            <w:r>
              <w:rPr>
                <w:rFonts w:hint="eastAsia"/>
              </w:rPr>
              <w:t>b）应购买粘贴充装产品合格标签的瓶装气体，不应购买超期未检气瓶或者报废气瓶盛装的气体；</w:t>
            </w:r>
          </w:p>
          <w:p>
            <w:pPr>
              <w:pStyle w:val="40"/>
              <w:ind w:left="100" w:right="100"/>
            </w:pPr>
            <w:r>
              <w:rPr>
                <w:rFonts w:hint="eastAsia"/>
              </w:rPr>
              <w:t>c）在可能造成气体回流的使用场合，设备上应配置防止倒灌的装置，如单向阀、止回阀、缓冲罐等；瓶内气体不应用尽，压缩气体、溶解乙炔气气瓶的剩余压力应不小于0.05 MPa；液化气体、低温液化气体以及低温液体气瓶应留有不少于0.5% ～ 1.0%规定充量的剩余气体。</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23-2021《气瓶安全技术规程》第8.6.9条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未将电梯安全使用说明、安全注意事项和警示标志置于易于为乘客注意的显著位置。</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《中华人民共和国特种设备安全法》第四十三条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未保证电梯轿内报警装置、对讲系统正常工作</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TSG T5002-2017《电梯维护保养规则》第六条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消防设施和消防产品类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在建筑内部公共区域停放、充电电动自行车；在宿舍、办公区域为电动自行车电池充电。</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《中华人民共和国消防法》第二十七条第二款；《北京市消防条例》第三十五条第二项、第五项；《北京市消防安全责任监督管理办法》第十三条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消火栓的管理未符合下列要求：</w:t>
            </w:r>
          </w:p>
          <w:p>
            <w:pPr>
              <w:pStyle w:val="40"/>
              <w:ind w:left="100" w:right="100"/>
            </w:pPr>
            <w:r>
              <w:rPr>
                <w:rFonts w:hint="eastAsia"/>
              </w:rPr>
              <w:t>a）室内消火栓箱不应上锁，箱内设备应齐全、完好；</w:t>
            </w:r>
          </w:p>
          <w:p>
            <w:pPr>
              <w:pStyle w:val="40"/>
              <w:ind w:left="100" w:right="100"/>
            </w:pPr>
            <w:r>
              <w:rPr>
                <w:rFonts w:hint="eastAsia"/>
              </w:rPr>
              <w:t>b）栓箱应设置门锁或箱门关紧装置；设置门锁的栓箱，除箱门安装玻璃者以及能被击碎的透明材料外，均应设置箱门紧急开启的手动机构，应保证在没有钥匙的情况下开启灵活、可靠；</w:t>
            </w:r>
          </w:p>
          <w:p>
            <w:pPr>
              <w:pStyle w:val="40"/>
              <w:ind w:left="100" w:right="100"/>
            </w:pPr>
            <w:r>
              <w:rPr>
                <w:rFonts w:hint="eastAsia"/>
              </w:rPr>
              <w:t>c）物品的设置不应影响室内消火栓的正常使用；</w:t>
            </w:r>
          </w:p>
          <w:p>
            <w:pPr>
              <w:pStyle w:val="40"/>
              <w:ind w:left="100" w:right="100"/>
            </w:pPr>
            <w:r>
              <w:rPr>
                <w:rFonts w:hint="eastAsia"/>
              </w:rPr>
              <w:t>d）室内消火栓水带外观应完整无损、无腐蚀、无污染现象，与接头未绑扎牢固；消防水喉接口绑扎组件应完整、无渗漏现象，与接头绑扎牢固；</w:t>
            </w:r>
          </w:p>
          <w:p>
            <w:pPr>
              <w:pStyle w:val="40"/>
              <w:ind w:left="100" w:right="100"/>
            </w:pPr>
            <w:r>
              <w:rPr>
                <w:rFonts w:hint="eastAsia"/>
              </w:rPr>
              <w:t>e）室外消火栓不应填埋、圈占，距室外消火栓、水泵接合器2 m范围内不应设置影响其正常使用的障碍物；</w:t>
            </w:r>
          </w:p>
          <w:p>
            <w:pPr>
              <w:pStyle w:val="40"/>
              <w:ind w:left="100" w:right="100"/>
            </w:pPr>
            <w:r>
              <w:rPr>
                <w:rFonts w:hint="eastAsia"/>
              </w:rPr>
              <w:t>f）室外消火栓、阀门、消防水泵接合器等设置地点应设置相应的永久性固定标识；</w:t>
            </w:r>
          </w:p>
          <w:p>
            <w:pPr>
              <w:pStyle w:val="40"/>
              <w:ind w:left="100" w:right="100"/>
            </w:pPr>
            <w:r>
              <w:rPr>
                <w:rFonts w:hint="eastAsia"/>
              </w:rPr>
              <w:t>g）每季度应对消火栓进行1次外观和漏水检查，发现有不正常的消火栓应及时更换，并保存相关记录。</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《中华人民共和国消防法》第二十八条</w:t>
            </w:r>
          </w:p>
          <w:p>
            <w:pPr>
              <w:pStyle w:val="40"/>
              <w:ind w:left="100" w:right="100"/>
            </w:pPr>
            <w:r>
              <w:rPr>
                <w:rFonts w:hint="eastAsia"/>
              </w:rPr>
              <w:t>GB 50974-2014《消防给水及消火栓系统技术规范》第14.0.7条、第14.0.12条</w:t>
            </w:r>
          </w:p>
          <w:p>
            <w:pPr>
              <w:pStyle w:val="40"/>
              <w:ind w:left="100" w:right="100"/>
            </w:pPr>
            <w:r>
              <w:rPr>
                <w:rFonts w:hint="eastAsia"/>
              </w:rPr>
              <w:t>GB/T 40248-2021《人员密集场所消防安全管理》第7.6.10条、第7.6.11条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灭火器的现场管理未符合下列要求：</w:t>
            </w:r>
          </w:p>
          <w:p>
            <w:pPr>
              <w:pStyle w:val="40"/>
              <w:ind w:left="100" w:right="100"/>
            </w:pPr>
            <w:r>
              <w:rPr>
                <w:rFonts w:hint="eastAsia"/>
              </w:rPr>
              <w:t>a）灭火器材应定位存放，设在明显、便于取用的地点，存放点张贴标识，标明灭火器编号、类型、使用方法、责任人等，周围应无障碍物、遮栏、栓系等影响取用的现象。对有视线障碍的灭火器设置点，应设置指示其位置的发光标志；</w:t>
            </w:r>
          </w:p>
          <w:p>
            <w:pPr>
              <w:pStyle w:val="40"/>
              <w:ind w:left="100" w:right="100"/>
            </w:pPr>
            <w:r>
              <w:rPr>
                <w:rFonts w:hint="eastAsia"/>
              </w:rPr>
              <w:t>b）灭火器箱不应被遮挡、上锁或拴系，箱内应干燥清洁；</w:t>
            </w:r>
          </w:p>
          <w:p>
            <w:pPr>
              <w:pStyle w:val="40"/>
              <w:ind w:left="100" w:right="100"/>
            </w:pPr>
            <w:r>
              <w:rPr>
                <w:rFonts w:hint="eastAsia"/>
              </w:rPr>
              <w:t>c）嵌墙式灭火器箱及挂钩、托架的安装高度应满足手提式灭火器顶部离地面距离不大于1.50 m，底部离地面距离不小于0.08 m的规定；</w:t>
            </w:r>
          </w:p>
          <w:p>
            <w:pPr>
              <w:pStyle w:val="40"/>
              <w:ind w:left="100" w:right="100"/>
            </w:pPr>
            <w:r>
              <w:rPr>
                <w:rFonts w:hint="eastAsia"/>
              </w:rPr>
              <w:t>d）推车式灭火器不应设置在台阶上；</w:t>
            </w:r>
          </w:p>
          <w:p>
            <w:pPr>
              <w:pStyle w:val="40"/>
              <w:ind w:left="100" w:right="100"/>
            </w:pPr>
            <w:r>
              <w:rPr>
                <w:rFonts w:hint="eastAsia"/>
              </w:rPr>
              <w:t>e）设置在室外的灭火器应采取防湿、防寒、防晒等相未保护措施；当灭火器设置在潮湿性或腐蚀性的场所时，应采取防湿或防腐蚀措施。</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50140-2005《建筑灭火器配置规范》第5.1.1条、第5.1.2条、第5.1.4条</w:t>
            </w:r>
          </w:p>
          <w:p>
            <w:pPr>
              <w:pStyle w:val="40"/>
              <w:ind w:left="100" w:right="100"/>
            </w:pPr>
            <w:r>
              <w:rPr>
                <w:rFonts w:hint="eastAsia"/>
              </w:rPr>
              <w:t>GB 50444-2008《建筑灭火器配置验收及检查规范》第3.1.3条、第3.2.2条、第3.2.7条、第3.3.1条、第3.4.3条、第3.4.4条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灭火器的检查未符合下列要求：</w:t>
            </w:r>
          </w:p>
          <w:p>
            <w:pPr>
              <w:pStyle w:val="40"/>
              <w:ind w:left="100" w:right="100"/>
            </w:pPr>
            <w:r>
              <w:rPr>
                <w:rFonts w:hint="eastAsia"/>
              </w:rPr>
              <w:t>a）灭火器简体无明显的损伤、缺陷、锈蚀、泄漏；</w:t>
            </w:r>
          </w:p>
          <w:p>
            <w:pPr>
              <w:pStyle w:val="40"/>
              <w:ind w:left="100" w:right="100"/>
            </w:pPr>
            <w:r>
              <w:rPr>
                <w:rFonts w:hint="eastAsia"/>
              </w:rPr>
              <w:t>b）铅封、销闩等保险装置无损坏或遗失；</w:t>
            </w:r>
          </w:p>
          <w:p>
            <w:pPr>
              <w:pStyle w:val="40"/>
              <w:ind w:left="100" w:right="100"/>
            </w:pPr>
            <w:r>
              <w:rPr>
                <w:rFonts w:hint="eastAsia"/>
              </w:rPr>
              <w:t>c）喷射软管完好，无明显龟裂，喷嘴不堵塞；</w:t>
            </w:r>
          </w:p>
          <w:p>
            <w:pPr>
              <w:pStyle w:val="40"/>
              <w:ind w:left="100" w:right="100"/>
            </w:pPr>
            <w:r>
              <w:rPr>
                <w:rFonts w:hint="eastAsia"/>
              </w:rPr>
              <w:t>d）灭火器的驱动气体压力在工作压力范围内，其中贮压式灭火器压力显示应在绿区内。</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1322.2-2017DB11/T 1322.2-2017《安全生产等级评定技术规范 第2部分：安全生产通用要求》第3.7.4.2条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消防应急照明灯的设置未符合下列要求：</w:t>
            </w:r>
          </w:p>
          <w:p>
            <w:pPr>
              <w:pStyle w:val="40"/>
              <w:ind w:left="100" w:right="100"/>
            </w:pPr>
            <w:r>
              <w:rPr>
                <w:rFonts w:hint="eastAsia"/>
              </w:rPr>
              <w:t>a）疏散照明灯具应设置在出口的顶部、墙面的上部或顶棚上；</w:t>
            </w:r>
          </w:p>
          <w:p>
            <w:pPr>
              <w:pStyle w:val="40"/>
              <w:ind w:left="100" w:right="100"/>
            </w:pPr>
            <w:r>
              <w:rPr>
                <w:rFonts w:hint="eastAsia"/>
              </w:rPr>
              <w:t>b）备用照明灯具应设置在墙面的上部或顶棚上。</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50016-2014《建筑设计防火规范》第10.3.4条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消防设施和消防产品类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疏散走道及楼梯间未设应急照明。</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51039-2014《综合医院建筑设计规范》第5.24.4条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急救中心的贵重设备用房、档案室和信息中心（网络）机房未设置气体灭火装置。</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50016-2014《建筑设计防火规范》第8.3.9条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防烟和排烟系统的配置不符合法规、国家标准、行业标准的要求，未确保完好有效。</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55036-2022 《消防设施通用规范》第11部分</w:t>
            </w:r>
          </w:p>
          <w:p>
            <w:pPr>
              <w:pStyle w:val="40"/>
              <w:ind w:left="100" w:right="100"/>
            </w:pPr>
            <w:r>
              <w:rPr>
                <w:rFonts w:hint="eastAsia"/>
              </w:rPr>
              <w:t>GB 50016-2014《建筑设计防火规范》第8.5.1条、第8.5.3条、第8.5.4条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火灾自动报警系统的设置未正常投入使用。</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50016-2014《建筑设计防火规范》第8.4.1条、第8.4.3条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消防设施和消防产品类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设置报警系统的公共区域未设置消防应急广播系统。</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51039-2014《综合医院建筑设计规范》第9.2.8条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消防控制室未符合下列要求：</w:t>
            </w:r>
          </w:p>
          <w:p>
            <w:pPr>
              <w:pStyle w:val="40"/>
              <w:ind w:left="100" w:right="100"/>
            </w:pPr>
            <w:r>
              <w:rPr>
                <w:rFonts w:hint="eastAsia"/>
              </w:rPr>
              <w:t>b）应确保火灾自动报警系统、灭火系统和其他联动控制设备处于正常工作状态，不应将应处于自动状态的设在手动状态；</w:t>
            </w:r>
          </w:p>
          <w:p>
            <w:pPr>
              <w:pStyle w:val="40"/>
              <w:ind w:left="100" w:right="100"/>
            </w:pPr>
            <w:r>
              <w:rPr>
                <w:rFonts w:hint="eastAsia"/>
              </w:rPr>
              <w:t>c）确保高位消防水箱、消防水池、气压水罐等消防储水设施水量充足，确保消防泵出水管阀门、自动喷水灭火系统管道上的阀门常开；消防水泵、防排烟风机、防火卷帘等消防用电设备的配电柜开关应处于自动位置（通电状态）；</w:t>
            </w:r>
          </w:p>
          <w:p>
            <w:pPr>
              <w:pStyle w:val="40"/>
              <w:ind w:left="100" w:right="100"/>
            </w:pPr>
            <w:r>
              <w:rPr>
                <w:rFonts w:hint="eastAsia"/>
              </w:rPr>
              <w:t>d）不应有与消防控制室无关的电气线路和管路穿过；</w:t>
            </w:r>
          </w:p>
          <w:p>
            <w:pPr>
              <w:pStyle w:val="40"/>
              <w:ind w:left="100" w:right="100"/>
            </w:pPr>
            <w:r>
              <w:rPr>
                <w:rFonts w:hint="eastAsia"/>
              </w:rPr>
              <w:t>e）应设置可直接报警的外线电话。</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50016-2014《建筑设计防火规范》第8.1.8条</w:t>
            </w:r>
          </w:p>
          <w:p>
            <w:pPr>
              <w:pStyle w:val="40"/>
              <w:ind w:left="100" w:right="100"/>
            </w:pPr>
            <w:r>
              <w:rPr>
                <w:rFonts w:hint="eastAsia"/>
              </w:rPr>
              <w:t>GB 25506-2010《消防控制室通用技术要求》第4.2.1条</w:t>
            </w:r>
          </w:p>
          <w:p>
            <w:pPr>
              <w:pStyle w:val="40"/>
              <w:ind w:left="100" w:right="100"/>
            </w:pPr>
            <w:r>
              <w:rPr>
                <w:rFonts w:hint="eastAsia"/>
              </w:rPr>
              <w:t>GB 50116-2013《火灾自动报警系统设计规范》第3.4.3条、第3.4.6条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消防设施和消防产品类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消防控制室未至少保存下列资料：</w:t>
            </w:r>
          </w:p>
          <w:p>
            <w:pPr>
              <w:pStyle w:val="40"/>
              <w:ind w:left="100" w:right="100"/>
            </w:pPr>
            <w:r>
              <w:rPr>
                <w:rFonts w:hint="eastAsia"/>
              </w:rPr>
              <w:t>a）建（构）筑物竣工后的总平面布局图、建筑消防设施平面布置图、建筑消防设施系统图及安全出口布置图、重点部位位置图等；</w:t>
            </w:r>
          </w:p>
          <w:p>
            <w:pPr>
              <w:pStyle w:val="40"/>
              <w:ind w:left="100" w:right="100"/>
            </w:pPr>
            <w:r>
              <w:rPr>
                <w:rFonts w:hint="eastAsia"/>
              </w:rPr>
              <w:t>b）消防安全管理规章制度、应急灭火预案、应急疏散预案等；</w:t>
            </w:r>
          </w:p>
          <w:p>
            <w:pPr>
              <w:pStyle w:val="40"/>
              <w:ind w:left="100" w:right="100"/>
            </w:pPr>
            <w:r>
              <w:rPr>
                <w:rFonts w:hint="eastAsia"/>
              </w:rPr>
              <w:t>c）消防安全组织结构图，包括消防安全责任人、管理人、专职、义务消防人员等内容；</w:t>
            </w:r>
          </w:p>
          <w:p>
            <w:pPr>
              <w:pStyle w:val="40"/>
              <w:ind w:left="100" w:right="100"/>
            </w:pPr>
            <w:r>
              <w:rPr>
                <w:rFonts w:hint="eastAsia"/>
              </w:rPr>
              <w:t>d）消防安全培训记录、灭火和应急疏散预案的演练记录；</w:t>
            </w:r>
          </w:p>
          <w:p>
            <w:pPr>
              <w:pStyle w:val="40"/>
              <w:ind w:left="100" w:right="100"/>
            </w:pPr>
            <w:r>
              <w:rPr>
                <w:rFonts w:hint="eastAsia"/>
              </w:rPr>
              <w:t>e）值班情况、消防安全检查情况及巡查情况的记录；</w:t>
            </w:r>
          </w:p>
          <w:p>
            <w:pPr>
              <w:pStyle w:val="40"/>
              <w:ind w:left="100" w:right="100"/>
            </w:pPr>
            <w:r>
              <w:rPr>
                <w:rFonts w:hint="eastAsia"/>
              </w:rPr>
              <w:t>f）消防设施一览表，包括消防设施的类型、数量、状态等内容；</w:t>
            </w:r>
          </w:p>
          <w:p>
            <w:pPr>
              <w:pStyle w:val="40"/>
              <w:ind w:left="100" w:right="100"/>
            </w:pPr>
            <w:r>
              <w:rPr>
                <w:rFonts w:hint="eastAsia"/>
              </w:rPr>
              <w:t>g）消防系统控制逻辑关系说明、设备使用说明书、系统操作规程、系统和设备维护保养制度等；</w:t>
            </w:r>
          </w:p>
          <w:p>
            <w:pPr>
              <w:pStyle w:val="40"/>
              <w:ind w:left="100" w:right="100"/>
            </w:pPr>
            <w:r>
              <w:rPr>
                <w:rFonts w:hint="eastAsia"/>
              </w:rPr>
              <w:t>h）设备运行状况、接报警记录、火灾处理情况、设备检修检测报告等资料。</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25506-2010《消防控制室通用技术要求》第4.1条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消防控制室无直通室外的出口，控制室的入口处未设置明显的标志。</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308-2019《医疗机构消防安全管理》第5.13.2条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燃气设施不符合下列要求：</w:t>
            </w:r>
          </w:p>
          <w:p>
            <w:pPr>
              <w:pStyle w:val="40"/>
              <w:ind w:left="100" w:right="100"/>
            </w:pPr>
            <w:r>
              <w:rPr>
                <w:rFonts w:hint="eastAsia"/>
              </w:rPr>
              <w:t>(1）调压装置设置在用气建筑物专用单层毗连建筑物内，该建筑物与相邻建筑应用无门窗和洞口的防火墙隔开；</w:t>
            </w:r>
          </w:p>
          <w:p>
            <w:pPr>
              <w:pStyle w:val="40"/>
              <w:ind w:left="100" w:right="100"/>
            </w:pPr>
            <w:r>
              <w:rPr>
                <w:rFonts w:hint="eastAsia"/>
              </w:rPr>
              <w:t>(2）燃气调压、计量间的建筑物应具有轻型结构屋顶爆炸泄压口及向外开启的门窗；地面应采用撞击时不会产生火花的材料；</w:t>
            </w:r>
          </w:p>
          <w:p>
            <w:pPr>
              <w:pStyle w:val="40"/>
              <w:ind w:left="100" w:right="100"/>
            </w:pPr>
            <w:r>
              <w:rPr>
                <w:rFonts w:hint="eastAsia"/>
              </w:rPr>
              <w:t>(3）燃气调压、计量间配套的电气设备应符合防爆要求；</w:t>
            </w:r>
          </w:p>
          <w:p>
            <w:pPr>
              <w:pStyle w:val="40"/>
              <w:ind w:left="100" w:right="100"/>
            </w:pPr>
            <w:r>
              <w:rPr>
                <w:rFonts w:hint="eastAsia"/>
              </w:rPr>
              <w:t>(4）封闭式燃气调压、计量间，应设置燃气浓度检测报警器。燃气浓度检测报警器宜与排风扇等排风设备连锁。燃气浓度检测报警器应定期检测，并保存检测记录。</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50028-2006 《城镇燃气设计规范》（2020年版）第10.2.14条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未依据国家公布的设备性能标准淘汰落后的电气设备。</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《中华人民共和国安全生产法》第三十八条</w:t>
            </w:r>
          </w:p>
          <w:p>
            <w:pPr>
              <w:pStyle w:val="40"/>
              <w:ind w:left="100" w:right="100"/>
            </w:pPr>
            <w:r>
              <w:rPr>
                <w:rFonts w:hint="eastAsia"/>
              </w:rPr>
              <w:t>DB11/527-2021《配电室安全管理规范》第5.1.3条</w:t>
            </w:r>
          </w:p>
          <w:p>
            <w:pPr>
              <w:pStyle w:val="40"/>
              <w:ind w:left="100" w:right="100"/>
            </w:pPr>
            <w:r>
              <w:rPr>
                <w:rFonts w:hint="eastAsia"/>
              </w:rPr>
              <w:t>DB11/1134-2014《高压电力用户安全用电规范》第7.2.5条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急救中心通信指挥系统及应急照明电源、消防用电设备不是一级负荷中特别重要负荷。</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50939-2013《急救中心建筑设计规范》第6.2.2条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急救中心通信指挥系统未设置不间断电源（UPS）应急电源系统，其持续供电时间少于12h。</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50939-2013《急救中心建筑设计规范》第6.2.2条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指挥调度用房、技术用房、后勤辅助用房、隔离用房、车库未设置备用照明。</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50939-2013《急救中心建筑设计规范》第6.2.3条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2" w:hRule="atLeas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高压配电装置未采用具有以下五防功能的金属封闭开关设备：</w:t>
            </w:r>
          </w:p>
          <w:p>
            <w:pPr>
              <w:pStyle w:val="40"/>
              <w:ind w:left="100" w:right="100"/>
            </w:pPr>
            <w:r>
              <w:rPr>
                <w:rFonts w:hint="eastAsia"/>
              </w:rPr>
              <w:t>——防止误分、误合断路器；</w:t>
            </w:r>
          </w:p>
          <w:p>
            <w:pPr>
              <w:pStyle w:val="40"/>
              <w:ind w:left="100" w:right="100"/>
            </w:pPr>
            <w:r>
              <w:rPr>
                <w:rFonts w:hint="eastAsia"/>
              </w:rPr>
              <w:t>——防止带负荷分、合隔离开关或带负荷推入、拉出铠装移开式开关柜手车；</w:t>
            </w:r>
          </w:p>
          <w:p>
            <w:pPr>
              <w:pStyle w:val="40"/>
              <w:ind w:left="100" w:right="100"/>
            </w:pPr>
            <w:r>
              <w:rPr>
                <w:rFonts w:hint="eastAsia"/>
              </w:rPr>
              <w:t>——防止带电挂接地线或合接地刀闸；</w:t>
            </w:r>
          </w:p>
          <w:p>
            <w:pPr>
              <w:pStyle w:val="40"/>
              <w:ind w:left="100" w:right="100"/>
            </w:pPr>
            <w:r>
              <w:rPr>
                <w:rFonts w:hint="eastAsia"/>
              </w:rPr>
              <w:t>——防止带接地线合断路器或隔离开关；</w:t>
            </w:r>
          </w:p>
          <w:p>
            <w:pPr>
              <w:pStyle w:val="40"/>
              <w:ind w:left="100" w:right="100"/>
            </w:pPr>
            <w:r>
              <w:rPr>
                <w:rFonts w:hint="eastAsia"/>
              </w:rPr>
              <w:t>——防止误入带电间隔。</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DB11/527-2021《配电室安全管理规范》第5.1.1条</w:t>
            </w:r>
          </w:p>
          <w:p>
            <w:pPr>
              <w:pStyle w:val="40"/>
              <w:ind w:left="100" w:right="100"/>
            </w:pPr>
            <w:r>
              <w:rPr>
                <w:rFonts w:hint="eastAsia"/>
              </w:rPr>
              <w:t>GB 50060-2008《3-110kV高压配电装置设计规范》第2.0.10条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新建或改造的配电室低压成套开关设备未使用具有3C认证的产品。</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《中华人民共和国认证认可条例》第三十条</w:t>
            </w:r>
          </w:p>
          <w:p>
            <w:pPr>
              <w:pStyle w:val="40"/>
              <w:ind w:left="100" w:right="100"/>
            </w:pPr>
            <w:r>
              <w:rPr>
                <w:rFonts w:hint="eastAsia"/>
              </w:rPr>
              <w:t>DB11/527-2021《配电室安全管理规范》第4.1.2条</w:t>
            </w:r>
          </w:p>
          <w:p>
            <w:pPr>
              <w:pStyle w:val="40"/>
              <w:ind w:left="100" w:right="100"/>
            </w:pPr>
            <w:r>
              <w:rPr>
                <w:rFonts w:hint="eastAsia"/>
              </w:rPr>
              <w:t>DB11/065-2010《电气防火检测技术规范》第3.2条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配电室的安全工器具未妥善保管，未存放在干燥通风的场所，不允许当作其他工具使用，且不合格的安全工器具存放在工作现场。部分安全工器具的保管还未符合下列要求：</w:t>
            </w:r>
          </w:p>
          <w:p>
            <w:pPr>
              <w:pStyle w:val="40"/>
              <w:ind w:left="100" w:right="100"/>
            </w:pPr>
            <w:r>
              <w:rPr>
                <w:rFonts w:hint="eastAsia"/>
              </w:rPr>
              <w:t>a）绝缘杆应悬挂或架在专用支架上，不应与墙或地面接触；</w:t>
            </w:r>
          </w:p>
          <w:p>
            <w:pPr>
              <w:pStyle w:val="40"/>
              <w:ind w:left="100" w:right="100"/>
            </w:pPr>
            <w:r>
              <w:rPr>
                <w:rFonts w:hint="eastAsia"/>
              </w:rPr>
              <w:t>b）绝缘手套、绝缘靴应与其他工具仪表分开存放，避免直接碰触尖锐物体；</w:t>
            </w:r>
          </w:p>
          <w:p>
            <w:pPr>
              <w:pStyle w:val="40"/>
              <w:ind w:left="100" w:right="100"/>
            </w:pPr>
            <w:r>
              <w:rPr>
                <w:rFonts w:hint="eastAsia"/>
              </w:rPr>
              <w:t>c）高压验电器应存放在防潮的匣内或专用袋内。</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DB11/527-2021《配电室安全管理规范》第6.1.3条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p>
          <w:p>
            <w:pPr>
              <w:adjustRightInd w:val="0"/>
              <w:snapToGrid w:val="0"/>
              <w:spacing w:line="240" w:lineRule="auto"/>
              <w:ind w:left="100" w:right="100"/>
              <w:jc w:val="both"/>
              <w:rPr>
                <w:rFonts w:ascii="宋体" w:hAnsi="宋体"/>
                <w:kern w:val="0"/>
                <w:szCs w:val="20"/>
              </w:rPr>
            </w:pPr>
          </w:p>
          <w:p>
            <w:pPr>
              <w:adjustRightInd w:val="0"/>
              <w:snapToGrid w:val="0"/>
              <w:spacing w:line="240" w:lineRule="auto"/>
              <w:ind w:left="100" w:right="100"/>
              <w:jc w:val="both"/>
              <w:rPr>
                <w:rFonts w:ascii="宋体" w:hAnsi="宋体"/>
                <w:kern w:val="0"/>
                <w:szCs w:val="20"/>
              </w:rPr>
            </w:pPr>
          </w:p>
          <w:p>
            <w:pPr>
              <w:adjustRightInd w:val="0"/>
              <w:snapToGrid w:val="0"/>
              <w:spacing w:line="240" w:lineRule="auto"/>
              <w:ind w:left="100" w:right="100"/>
              <w:jc w:val="both"/>
              <w:rPr>
                <w:rFonts w:ascii="宋体" w:hAnsi="宋体"/>
                <w:kern w:val="0"/>
                <w:szCs w:val="20"/>
              </w:rPr>
            </w:pPr>
          </w:p>
          <w:p>
            <w:pPr>
              <w:adjustRightInd w:val="0"/>
              <w:snapToGrid w:val="0"/>
              <w:spacing w:line="240" w:lineRule="auto"/>
              <w:ind w:left="100" w:right="100"/>
              <w:jc w:val="both"/>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配电室安全工器具的试验要求未符合以下标准：</w:t>
            </w:r>
          </w:p>
          <w:p>
            <w:pPr>
              <w:pStyle w:val="40"/>
              <w:ind w:left="100" w:right="100"/>
            </w:pPr>
            <w:r>
              <w:rPr>
                <w:rFonts w:hint="eastAsia"/>
              </w:rPr>
              <w:t>a) 绝缘安全工器具应按 GB 26860 的试验项目和周期等要求，进行首次使用前和使用中定期的试验，合格后方可使用；</w:t>
            </w:r>
          </w:p>
          <w:p>
            <w:pPr>
              <w:pStyle w:val="40"/>
              <w:ind w:left="100" w:right="100"/>
            </w:pPr>
            <w:r>
              <w:rPr>
                <w:rFonts w:hint="eastAsia"/>
              </w:rPr>
              <w:t>b) 安全带、安全绳、梯子等坠落防护装备的使用期限和检测要求应符合 GB/T 23468 的要求。</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DB11/527-2021《配电室安全管理规范》第7.4.5条</w:t>
            </w:r>
          </w:p>
          <w:p>
            <w:pPr>
              <w:pStyle w:val="40"/>
              <w:ind w:left="100" w:right="100"/>
            </w:pPr>
            <w:r>
              <w:rPr>
                <w:rFonts w:hint="eastAsia"/>
              </w:rPr>
              <w:t>DB11/1134-2014《高压电力用户安全用电规范》第9.7.2条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使用柴、汽油发电机作为自备应急电源的急救中心，未定期对柴、汽发电机进行安全检查、预防性试验、启机试验和切换装置的切换试验，并未做好记录。</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DB11/527-2021《配电室安全管理规范》第5.3.1条</w:t>
            </w:r>
          </w:p>
          <w:p>
            <w:pPr>
              <w:pStyle w:val="40"/>
              <w:ind w:left="100" w:right="100"/>
            </w:pPr>
            <w:r>
              <w:rPr>
                <w:rFonts w:hint="eastAsia"/>
              </w:rPr>
              <w:t>DB11/1134-2014《高压电力用户安全用电规范》第8.4.1条</w:t>
            </w:r>
          </w:p>
          <w:p>
            <w:pPr>
              <w:pStyle w:val="40"/>
              <w:ind w:left="100" w:right="100"/>
            </w:pPr>
            <w:r>
              <w:rPr>
                <w:rFonts w:hint="eastAsia"/>
              </w:rPr>
              <w:t>GB/T 29328-2018《重要电力用户供电电源及自备应急电源配置技术规范》第7.4.1条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正常环境的屋内场所除建筑物顶棚及地沟内外，采用直敷布线时，不符合下列要求：</w:t>
            </w:r>
          </w:p>
          <w:p>
            <w:pPr>
              <w:pStyle w:val="40"/>
              <w:ind w:left="100" w:right="100"/>
            </w:pPr>
            <w:r>
              <w:rPr>
                <w:rFonts w:hint="eastAsia"/>
              </w:rPr>
              <w:t>a）直敷布线应采用护套绝缘导线，且护套绝缘导线至地面的最小距离应符合表G.4的规定；</w:t>
            </w:r>
          </w:p>
          <w:p>
            <w:pPr>
              <w:pStyle w:val="40"/>
              <w:ind w:left="100" w:right="100"/>
            </w:pPr>
            <w:r>
              <w:rPr>
                <w:rFonts w:hint="eastAsia"/>
              </w:rPr>
              <w:t>b）当导线水平敷设至地面的距离小于2.5 m，垂直敷设至地面低于1.8 m的部分应穿管保护；</w:t>
            </w:r>
          </w:p>
          <w:p>
            <w:pPr>
              <w:pStyle w:val="40"/>
              <w:ind w:left="100" w:right="100"/>
            </w:pPr>
            <w:r>
              <w:rPr>
                <w:rFonts w:hint="eastAsia"/>
              </w:rPr>
              <w:t>c）导线与接地导体及不发热的管道紧贴交叉时，应用绝缘管保护；敷设在易受机械损伤的场所应用钢管保护；</w:t>
            </w:r>
          </w:p>
          <w:p>
            <w:pPr>
              <w:pStyle w:val="40"/>
              <w:ind w:left="100" w:right="100"/>
            </w:pPr>
            <w:r>
              <w:rPr>
                <w:rFonts w:hint="eastAsia"/>
              </w:rPr>
              <w:t>d）导线不应直接敷设在建筑物顶棚内。</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50575-2010《1kV及以下配线工程施工与验收规范》第5.5.1条、第5.5.4条、第5.5.5条</w:t>
            </w:r>
          </w:p>
          <w:p>
            <w:pPr>
              <w:pStyle w:val="40"/>
              <w:ind w:left="100" w:right="100"/>
            </w:pPr>
            <w:r>
              <w:rPr>
                <w:rFonts w:hint="eastAsia"/>
              </w:rPr>
              <w:t>GB 50054-2011《低压配电设计规范》第7.2.1条2款、第7.2.1条4款</w:t>
            </w:r>
          </w:p>
          <w:p>
            <w:pPr>
              <w:pStyle w:val="40"/>
              <w:ind w:left="100" w:right="100"/>
            </w:pPr>
            <w:r>
              <w:rPr>
                <w:rFonts w:hint="eastAsia"/>
              </w:rPr>
              <w:t>GB 50303-2015《建筑电气工程施工质量验收规范》第15.1.1条、第15.1.2条、第15.1.3条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用电场所线路接头连接不可靠，存在机械损伤、松动，导线接头未设在盒（箱）或器具内，盒（箱）配件不齐全，固定不牢固。</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DB11/T1322.56-2018《安全生产等级评定技术规范 第56部分：医疗卫生机构》第3.6.2.1.4条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对于横跨通道的电气线路，如未能进行埋地敷设，未采用完好有效的保护措施。</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50054-2011《低压配电设计规范》第7.2.28条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电气线路通过地板、墙壁、屋顶、天花板、隔墙等建筑构件时，其孔隙未按同建筑物构建耐火等级的规定封堵。</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JGJ 16-2008《民用建筑电气设计规范》第8.1.8条</w:t>
            </w:r>
          </w:p>
          <w:p>
            <w:pPr>
              <w:pStyle w:val="40"/>
              <w:ind w:left="100" w:right="100"/>
            </w:pPr>
            <w:r>
              <w:rPr>
                <w:rFonts w:hint="eastAsia"/>
              </w:rPr>
              <w:t>GB 50054-2011《低压配电设计规范》第7.1.5条1款</w:t>
            </w:r>
          </w:p>
          <w:p>
            <w:pPr>
              <w:pStyle w:val="40"/>
              <w:ind w:left="100" w:right="100"/>
            </w:pPr>
            <w:r>
              <w:rPr>
                <w:rFonts w:hint="eastAsia"/>
              </w:rPr>
              <w:t>GB 50575-2010《1KV及以下配线工程施工与验收规范》第3.0.5条6款</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 xml:space="preserve">接地系统、电气设备的外露可导电部分和智能化系统的接地应符合《建筑电气与智能化通用规范》等规范的要求。 </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55024-2022 《建筑电气与智能化通用规范》第7.2部分。</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配电箱（柜）未张贴醒目的安全警告标志和编号、标识，且未符合下列要求：</w:t>
            </w:r>
          </w:p>
          <w:p>
            <w:pPr>
              <w:pStyle w:val="40"/>
              <w:ind w:left="100" w:right="100"/>
            </w:pPr>
            <w:r>
              <w:rPr>
                <w:rFonts w:hint="eastAsia"/>
              </w:rPr>
              <w:t>a）配电箱应标识所控对象的名称、编号等，且与实际相符合；</w:t>
            </w:r>
          </w:p>
          <w:p>
            <w:pPr>
              <w:pStyle w:val="40"/>
              <w:ind w:left="100" w:right="100"/>
            </w:pPr>
            <w:r>
              <w:rPr>
                <w:rFonts w:hint="eastAsia"/>
              </w:rPr>
              <w:t>b）应有电气控制线路图；</w:t>
            </w:r>
          </w:p>
          <w:p>
            <w:pPr>
              <w:pStyle w:val="40"/>
              <w:ind w:left="100" w:right="100"/>
            </w:pPr>
            <w:r>
              <w:rPr>
                <w:rFonts w:hint="eastAsia"/>
              </w:rPr>
              <w:t>c）对于多路控制的配电箱（柜），在控制位置上标明所控制的电气设备的名称，且用途标识应齐全清晰。</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2894-2008《安全标志及其使用导则》第4.2.3条</w:t>
            </w:r>
          </w:p>
          <w:p>
            <w:pPr>
              <w:pStyle w:val="40"/>
              <w:ind w:left="100" w:right="100"/>
            </w:pPr>
            <w:r>
              <w:rPr>
                <w:rFonts w:hint="eastAsia"/>
              </w:rPr>
              <w:t>GB 50303-2015《建筑电气工程施工质量验收规范》第5.2.10条2款</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配电箱（柜）的箱门未完好无损，装有电器的箱门与箱体未进行可靠跨接。</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50303-2015《建筑电气工程施工质量验收规范》第5.2.10条4款、第5.1.1条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配电箱（柜）的安装未符合下列要求：</w:t>
            </w:r>
          </w:p>
          <w:p>
            <w:pPr>
              <w:pStyle w:val="40"/>
              <w:ind w:left="100" w:right="100"/>
            </w:pPr>
            <w:r>
              <w:rPr>
                <w:rFonts w:hint="eastAsia"/>
              </w:rPr>
              <w:t>a）配电箱（柜）前方1.2 m范围内应无任何妨碍操作与维修的物品，如因工艺布置、设备安装确有困难时可减至0.8 m，但不应影响箱门开启和操作；</w:t>
            </w:r>
          </w:p>
          <w:p>
            <w:pPr>
              <w:pStyle w:val="40"/>
              <w:ind w:left="100" w:right="100"/>
            </w:pPr>
            <w:r>
              <w:rPr>
                <w:rFonts w:hint="eastAsia"/>
              </w:rPr>
              <w:t>b）配电箱（柜）周边0.3 m内不应有可燃物，箱（柜）体内和下方不应搁置和堆放可燃物；</w:t>
            </w:r>
          </w:p>
          <w:p>
            <w:pPr>
              <w:pStyle w:val="40"/>
              <w:ind w:left="100" w:right="100"/>
            </w:pPr>
            <w:r>
              <w:rPr>
                <w:rFonts w:hint="eastAsia"/>
              </w:rPr>
              <w:t>c）落地式配电箱（柜）的底座周围应采取封闭措施，并应能防止鼠、蛇类等小动物进入箱（柜）内。</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50054-2011《低压配电设计规范》第4.2.1条、第4.2.5条注5</w:t>
            </w:r>
          </w:p>
          <w:p>
            <w:pPr>
              <w:pStyle w:val="40"/>
              <w:ind w:left="100" w:right="100"/>
            </w:pPr>
            <w:r>
              <w:rPr>
                <w:rFonts w:hint="eastAsia"/>
              </w:rPr>
              <w:t>DB11/065-2010《电气防火检测技术规范》第5.5.2.7c）条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2" w:hRule="atLeas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辅助系统设备设施类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配电箱（柜）内导线的安装和敷设未符合下列要求：</w:t>
            </w:r>
          </w:p>
          <w:p>
            <w:pPr>
              <w:pStyle w:val="40"/>
              <w:ind w:left="100" w:right="100"/>
            </w:pPr>
            <w:r>
              <w:rPr>
                <w:rFonts w:hint="eastAsia"/>
              </w:rPr>
              <w:t>a）进出导线应套管或用橡胶圈进行防护，不应与金属尖锐端口直接接触；</w:t>
            </w:r>
          </w:p>
          <w:p>
            <w:pPr>
              <w:pStyle w:val="40"/>
              <w:ind w:left="100" w:right="100"/>
            </w:pPr>
            <w:r>
              <w:rPr>
                <w:rFonts w:hint="eastAsia"/>
              </w:rPr>
              <w:t>b）导线不应卡在电气箱柜的金属外壳上，致使盖板无法盖上；</w:t>
            </w:r>
          </w:p>
          <w:p>
            <w:pPr>
              <w:pStyle w:val="40"/>
              <w:ind w:left="100" w:right="100"/>
            </w:pPr>
            <w:r>
              <w:rPr>
                <w:rFonts w:hint="eastAsia"/>
              </w:rPr>
              <w:t>c）箱内导线的颜色应符合要求，任何情况下颜色标记不应混用和互相代用。</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50617-2010《建筑电气照明装置施工与验收规范》第6.0.3条3款</w:t>
            </w:r>
          </w:p>
          <w:p>
            <w:pPr>
              <w:pStyle w:val="40"/>
              <w:ind w:left="100" w:right="100"/>
            </w:pPr>
            <w:r>
              <w:rPr>
                <w:rFonts w:hint="eastAsia"/>
              </w:rPr>
              <w:t>GB 50575-2010《1kV及以下配线工程施工与验收规范》第5.1.1条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r>
              <w:rPr>
                <w:rFonts w:hint="eastAsia" w:ascii="宋体" w:hAnsi="宋体"/>
                <w:kern w:val="0"/>
                <w:szCs w:val="20"/>
              </w:rPr>
              <w:t>设备设施及物料</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其他设备设施类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照明灯具直接安装在可燃装修材料或可燃构件上，普通灯具与可燃物品的距离小于0.3 m。</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DB11/065-2010《电气防火检测技术规范》第6.1.2.3条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其他设备设施类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插座、开关无3C认证标志，使用破损、烧焦的插座、开关。</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《中华人民共和国认证认可条例》第三十条</w:t>
            </w:r>
          </w:p>
          <w:p>
            <w:pPr>
              <w:pStyle w:val="40"/>
              <w:ind w:left="100" w:right="100"/>
            </w:pPr>
            <w:r>
              <w:rPr>
                <w:rFonts w:hint="eastAsia"/>
              </w:rPr>
              <w:t>GB 26164.1-2010《电业安全工作规 第1部分：热力和机械》第3.5.5条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其他设备设施类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插座的安装未符合下列要求：</w:t>
            </w:r>
          </w:p>
          <w:p>
            <w:pPr>
              <w:pStyle w:val="40"/>
              <w:ind w:left="100" w:right="100"/>
            </w:pPr>
            <w:r>
              <w:rPr>
                <w:rFonts w:hint="eastAsia"/>
              </w:rPr>
              <w:t>a）插座安装盒应固定牢固，不应将安装盒吊挂着使用；</w:t>
            </w:r>
          </w:p>
          <w:p>
            <w:pPr>
              <w:pStyle w:val="40"/>
              <w:ind w:left="100" w:right="100"/>
            </w:pPr>
            <w:r>
              <w:rPr>
                <w:rFonts w:hint="eastAsia"/>
              </w:rPr>
              <w:t>b）潮湿场所应采用防溅型插座；</w:t>
            </w:r>
          </w:p>
          <w:p>
            <w:pPr>
              <w:pStyle w:val="40"/>
              <w:ind w:left="100" w:right="100"/>
            </w:pPr>
            <w:r>
              <w:rPr>
                <w:rFonts w:hint="eastAsia"/>
              </w:rPr>
              <w:t>c）地面插座应紧贴地面，盖板固定牢固，密封良好，且用配线接线盒；</w:t>
            </w:r>
          </w:p>
          <w:p>
            <w:pPr>
              <w:pStyle w:val="40"/>
              <w:ind w:left="100" w:right="100"/>
            </w:pPr>
            <w:r>
              <w:rPr>
                <w:rFonts w:hint="eastAsia"/>
              </w:rPr>
              <w:t>d）插座及其电源线靠近可燃物时，应采取隔热、散热等防火保护措施。</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DB11/065-2010《电气防火检测技术规范》第5.4.1条b）款、c）款、d）款、f）款</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其他设备设施类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将电线直接钩挂在闸刀上或直接插入插座内使用。</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50617-2010《建筑电气照明装置施工与验收规范》第5.1.2条4款</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kern w:val="0"/>
                <w:szCs w:val="20"/>
              </w:rPr>
              <w:t>设备设施及物料类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其他设备设施类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移动式插座的使用未符合下列要求：</w:t>
            </w:r>
          </w:p>
          <w:p>
            <w:pPr>
              <w:pStyle w:val="40"/>
              <w:ind w:left="100" w:right="100"/>
            </w:pPr>
            <w:r>
              <w:rPr>
                <w:rFonts w:hint="eastAsia"/>
              </w:rPr>
              <w:t>a）不应放置在可燃物上或被可燃物覆盖；</w:t>
            </w:r>
          </w:p>
          <w:p>
            <w:pPr>
              <w:pStyle w:val="40"/>
              <w:ind w:left="100" w:right="100"/>
            </w:pPr>
            <w:r>
              <w:rPr>
                <w:rFonts w:hint="eastAsia"/>
              </w:rPr>
              <w:t>b）不应串接使用；</w:t>
            </w:r>
          </w:p>
          <w:p>
            <w:pPr>
              <w:pStyle w:val="40"/>
              <w:ind w:left="100" w:right="100"/>
            </w:pPr>
            <w:r>
              <w:rPr>
                <w:rFonts w:hint="eastAsia"/>
              </w:rPr>
              <w:t>c）插孔的双头插头和三头插头应分开。</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DB11/065-2010《电气防火检测技术规范》第5.4.1条k）款</w:t>
            </w:r>
          </w:p>
          <w:p>
            <w:pPr>
              <w:pStyle w:val="40"/>
              <w:ind w:left="100" w:right="100"/>
            </w:pPr>
            <w:r>
              <w:rPr>
                <w:rFonts w:hint="eastAsia"/>
              </w:rPr>
              <w:t>GB 2099.3-2015《家用和类似用途插头插座 第2-5部分：转换器的特殊要求》第9.1条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bCs/>
                <w:szCs w:val="20"/>
                <w:lang w:bidi="mn-Mong-CN"/>
              </w:rPr>
            </w:pPr>
            <w:r>
              <w:rPr>
                <w:rFonts w:hint="eastAsia" w:ascii="宋体" w:hAnsi="宋体"/>
                <w:kern w:val="0"/>
                <w:szCs w:val="20"/>
              </w:rPr>
              <w:t>人员类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其他设备设施类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未坚持三检制，出车前、行车中、收车后未检视车辆；未经安全检查或者检查不合格的，直接出车。</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《道路运输车辆技术管理规定》第15条</w:t>
            </w:r>
          </w:p>
          <w:p>
            <w:pPr>
              <w:pStyle w:val="40"/>
              <w:ind w:left="100" w:right="100"/>
            </w:pPr>
            <w:r>
              <w:rPr>
                <w:rFonts w:hint="eastAsia"/>
              </w:rPr>
              <w:t>《道路运输从业人员管理规定》第38、40条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其他设备设施类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停车场、停车库内有吸烟和动用明火情况，有加油、修车情况；在停车场、停车库内存放汽油、柴油等燃料以及其他易燃、可燃物品。3333</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《汽车库、修车库、停车场设计防火规范》第6.0.11条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资格资质类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配电室值班人员未取得合格有效的电工作业操作资格，资格证书原件由值班人员上岗时随身携带或由医疗卫生机构统一进行管理。</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《中华人民共和国安全生产法》第三十条</w:t>
            </w:r>
          </w:p>
          <w:p>
            <w:pPr>
              <w:pStyle w:val="40"/>
              <w:ind w:left="100" w:right="100"/>
            </w:pPr>
            <w:r>
              <w:rPr>
                <w:rFonts w:hint="eastAsia"/>
              </w:rPr>
              <w:t>《生产经营单位安全培训规定》第十八条</w:t>
            </w:r>
          </w:p>
          <w:p>
            <w:pPr>
              <w:pStyle w:val="40"/>
              <w:ind w:left="100" w:right="100"/>
            </w:pPr>
            <w:r>
              <w:rPr>
                <w:rFonts w:hint="eastAsia"/>
              </w:rPr>
              <w:t>DB11/527-2021《配电室安全管理规范》第8.1.1条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操作行为类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值班人员的配置未符合下列要求：</w:t>
            </w:r>
          </w:p>
          <w:p>
            <w:pPr>
              <w:pStyle w:val="40"/>
              <w:ind w:left="100" w:right="100"/>
            </w:pPr>
            <w:r>
              <w:rPr>
                <w:rFonts w:hint="eastAsia"/>
              </w:rPr>
              <w:t>a）35 kV电压等级的变配电室，10/6 kV电压等级、变压器容量在630 kVA及以上的主变配电室，应安排专人值班，值班人员不少于2人，且应明确其中1人为值长；</w:t>
            </w:r>
          </w:p>
          <w:p>
            <w:pPr>
              <w:pStyle w:val="40"/>
              <w:ind w:left="100" w:right="100"/>
            </w:pPr>
            <w:r>
              <w:rPr>
                <w:rFonts w:hint="eastAsia"/>
              </w:rPr>
              <w:t>b）10/6 kV电压等级、变压器容量在500 kVA及以下的变配电室，可不设专人值班，但应由电工人员负责运行检查工作。</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DB11/527-2021《配电室安全管理规范》第8.1.3条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配电室值班人员上岗期间未穿全棉长袖工作服和绝缘鞋，未坚守工作岗位，且有以下行为：</w:t>
            </w:r>
          </w:p>
          <w:p>
            <w:pPr>
              <w:pStyle w:val="40"/>
              <w:ind w:left="100" w:right="100"/>
            </w:pPr>
            <w:r>
              <w:rPr>
                <w:rFonts w:hint="eastAsia"/>
              </w:rPr>
              <w:t>a) 接班前及当班期间违反章程、违反劳动纪律；</w:t>
            </w:r>
          </w:p>
          <w:p>
            <w:pPr>
              <w:pStyle w:val="40"/>
              <w:ind w:left="100" w:right="100"/>
            </w:pPr>
            <w:r>
              <w:rPr>
                <w:rFonts w:hint="eastAsia"/>
              </w:rPr>
              <w:t>b) 利用供电企业停电期间，未经供电企业同意，在自己所不能控制的电气设备或线路上，装设短路线、接地线或进行检修维护等工作；</w:t>
            </w:r>
          </w:p>
          <w:p>
            <w:pPr>
              <w:pStyle w:val="40"/>
              <w:ind w:left="100" w:right="100"/>
            </w:pPr>
            <w:r>
              <w:rPr>
                <w:rFonts w:hint="eastAsia"/>
              </w:rPr>
              <w:t>c) 约时停、送电；</w:t>
            </w:r>
          </w:p>
          <w:p>
            <w:pPr>
              <w:pStyle w:val="40"/>
              <w:ind w:left="100" w:right="100"/>
            </w:pPr>
            <w:r>
              <w:rPr>
                <w:rFonts w:hint="eastAsia"/>
              </w:rPr>
              <w:t>d) 擅自拆除闭锁装置或者使其失效；</w:t>
            </w:r>
          </w:p>
          <w:p>
            <w:pPr>
              <w:pStyle w:val="40"/>
              <w:ind w:left="100" w:right="100"/>
            </w:pPr>
            <w:r>
              <w:rPr>
                <w:rFonts w:hint="eastAsia"/>
              </w:rPr>
              <w:t>e) 其他与工作无关的活动。</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DB11/527-2021《配电室安全管理规范第》第8.2.1条、第8.2.2条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rPr>
                <w:rFonts w:ascii="宋体" w:hAnsi="宋体"/>
                <w:kern w:val="0"/>
                <w:szCs w:val="20"/>
              </w:rPr>
            </w:pPr>
            <w:r>
              <w:rPr>
                <w:rFonts w:hint="eastAsia" w:ascii="宋体" w:hAnsi="宋体"/>
                <w:kern w:val="0"/>
                <w:szCs w:val="20"/>
              </w:rPr>
              <w:t>操作行为类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消防控制室值班和人员管理未符合下列要求：</w:t>
            </w:r>
          </w:p>
          <w:p>
            <w:pPr>
              <w:pStyle w:val="40"/>
              <w:ind w:left="100" w:right="100"/>
            </w:pPr>
            <w:r>
              <w:rPr>
                <w:rFonts w:hint="eastAsia"/>
              </w:rPr>
              <w:t>a）消防控制室实行每日24 h专人值班制度，每班不应少于2人，值班人员应持有消防控制室操作职业资格证书；</w:t>
            </w:r>
          </w:p>
          <w:p>
            <w:pPr>
              <w:pStyle w:val="40"/>
              <w:ind w:left="100" w:right="100"/>
            </w:pPr>
            <w:r>
              <w:rPr>
                <w:rFonts w:hint="eastAsia"/>
              </w:rPr>
              <w:t>b）消防控制室值班人员对火灾报警控制器进行检查、接班、交班时，应填写《消防控制室值班记录表》的相关内容。值班期间应每2 h记录1次消防控制室内消防设备的运行情况；</w:t>
            </w:r>
          </w:p>
          <w:p>
            <w:pPr>
              <w:pStyle w:val="40"/>
              <w:ind w:left="100" w:right="100"/>
            </w:pPr>
            <w:r>
              <w:rPr>
                <w:rFonts w:hint="eastAsia"/>
              </w:rPr>
              <w:t>c）室内不应堆放杂物，应保证其环境满足设备正常运行的要求。</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《机关、团体、企业、事业单位消防安全管理规定》第三十八条</w:t>
            </w:r>
          </w:p>
          <w:p>
            <w:pPr>
              <w:pStyle w:val="40"/>
              <w:ind w:left="100" w:right="100"/>
            </w:pPr>
            <w:r>
              <w:rPr>
                <w:rFonts w:hint="eastAsia"/>
              </w:rPr>
              <w:t>GB 25506-2010《消防控制室通用技术要求》第4.2.1条</w:t>
            </w:r>
          </w:p>
          <w:p>
            <w:pPr>
              <w:pStyle w:val="40"/>
              <w:ind w:left="100" w:right="100"/>
            </w:pPr>
            <w:r>
              <w:rPr>
                <w:rFonts w:hint="eastAsia"/>
              </w:rPr>
              <w:t>GB 25201-2010《建筑消防设施的维护管理》第5.2条</w:t>
            </w:r>
          </w:p>
          <w:p>
            <w:pPr>
              <w:pStyle w:val="40"/>
              <w:ind w:left="100" w:right="100"/>
            </w:pPr>
            <w:r>
              <w:rPr>
                <w:rFonts w:hint="eastAsia"/>
              </w:rPr>
              <w:t>GB/T 40248-2021《人员密集场所消防安全管理》第7.6.10条、第7.6.11条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bCs/>
                <w:szCs w:val="20"/>
                <w:lang w:bidi="mn-Mong-CN"/>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个人防护用品使用类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现场检查发现采购的劳动防护用品的质量不符合《个体防护装备配备规范 第1部分：总则》等国家、行业的相关标准要求。</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《中华人民共和国安全生产法》第四十五条</w:t>
            </w:r>
          </w:p>
          <w:p>
            <w:pPr>
              <w:pStyle w:val="40"/>
              <w:ind w:left="100" w:right="100"/>
            </w:pPr>
            <w:r>
              <w:rPr>
                <w:rFonts w:hint="eastAsia"/>
              </w:rPr>
              <w:t>GB 39800.1-2020 《个体防护装备配备规范_第1部分：总则》第4.3条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Times New Roman" w:hAnsi="Times New Roman"/>
                <w:bCs/>
                <w:kern w:val="0"/>
                <w:szCs w:val="20"/>
              </w:rPr>
              <w:t>人员类</w:t>
            </w: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未为从业人员提供劳动防护用品，未确保从业人员正确佩戴和使用劳动防护用品。</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《中华人民共和国安全生产法》第四十五条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Times New Roman" w:hAnsi="Times New Roman"/>
                <w:bCs/>
                <w:kern w:val="0"/>
                <w:szCs w:val="20"/>
              </w:rPr>
              <w:t>场所环境类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新建、改建、扩建建筑使用彩钢板。既有建筑使用低于A类燃烧性能的彩钢板。</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1322.56-2018《安全生产等级评定技术规范 第56部分：医疗卫生机构》第3.2.2.1条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调度指挥用房等功能用房未采用耐火极限为2h的不燃烧体隔墙，其隔墙上的门窗未采用乙级防火门窗。</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50939-2013《急救中心建筑设计规范》第5.0.1条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急救中心建筑耐火等级低于二级。</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50939-2013《急救中心建筑设计规范》第5.0.2条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药品库房未设在独立建筑内或建筑内的独立区域内，与其他场所未采取防火分隔措施。</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药品库房内设置休息室、办公室，值班室夜间留人住宿。</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未按规定设置建筑物防雷装置，并未保持完好有效。防雷装置至少每年未检测1次，对爆炸危险环境场所的防雷装置至少每半年未检测1次，检测由未具有防雷检测资质的单位进行，并未出具检测报告。</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《防雷减灾管理办法（修订）》（中国气象局第24号令）第十九条、第二十一条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r>
              <w:rPr>
                <w:rFonts w:hint="eastAsia" w:ascii="Times New Roman" w:hAnsi="Times New Roman"/>
                <w:bCs/>
                <w:kern w:val="0"/>
                <w:szCs w:val="20"/>
              </w:rPr>
              <w:t>场所环境类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变配电系统的门、窗未符合下列要求：</w:t>
            </w:r>
          </w:p>
          <w:p>
            <w:pPr>
              <w:pStyle w:val="40"/>
              <w:ind w:left="100" w:right="100"/>
            </w:pPr>
            <w:r>
              <w:rPr>
                <w:rFonts w:hint="eastAsia"/>
              </w:rPr>
              <w:t>a）出入口的门为防火门，向外开启，并应装锁，且门锁应便于值班人员在紧急情况下打开；</w:t>
            </w:r>
          </w:p>
          <w:p>
            <w:pPr>
              <w:pStyle w:val="40"/>
              <w:ind w:left="100" w:right="100"/>
            </w:pPr>
            <w:r>
              <w:rPr>
                <w:rFonts w:hint="eastAsia"/>
              </w:rPr>
              <w:t>b）设备间与附属房间之间的门应向附属房间方向开启。高压间与低压间之间的门，应向低压间方向开启。配电装置室的中间门应采用双向开启门；</w:t>
            </w:r>
          </w:p>
          <w:p>
            <w:pPr>
              <w:pStyle w:val="40"/>
              <w:ind w:left="100" w:right="100"/>
            </w:pPr>
            <w:r>
              <w:rPr>
                <w:rFonts w:hint="eastAsia"/>
              </w:rPr>
              <w:t>c）地面变配电室的通往室外的门、窗应装有纱门且门上方应装设雨罩；</w:t>
            </w:r>
          </w:p>
          <w:p>
            <w:pPr>
              <w:pStyle w:val="40"/>
              <w:ind w:left="100" w:right="100"/>
            </w:pPr>
            <w:r>
              <w:rPr>
                <w:rFonts w:hint="eastAsia"/>
              </w:rPr>
              <w:t>d）应设置防止雨、雪和小动物从采光窗、通风窗、门、通风管道、桥架、电缆保护管等进入室内的设施；</w:t>
            </w:r>
          </w:p>
          <w:p>
            <w:pPr>
              <w:pStyle w:val="40"/>
              <w:ind w:left="100" w:right="100"/>
            </w:pPr>
            <w:r>
              <w:rPr>
                <w:rFonts w:hint="eastAsia"/>
              </w:rPr>
              <w:t>e）出入口应设置高度不低于400 mm的防小动物挡板。</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JGJ 16-2008《民用建筑电气设计规范》第4.9.2条</w:t>
            </w:r>
          </w:p>
          <w:p>
            <w:pPr>
              <w:pStyle w:val="40"/>
              <w:ind w:left="100" w:right="100"/>
            </w:pPr>
            <w:r>
              <w:rPr>
                <w:rFonts w:hint="eastAsia"/>
              </w:rPr>
              <w:t>GB 50053-2013《20kV及以下变电所设计规范》第6.1.3条</w:t>
            </w:r>
          </w:p>
          <w:p>
            <w:pPr>
              <w:pStyle w:val="40"/>
              <w:ind w:left="100" w:right="100"/>
            </w:pPr>
            <w:r>
              <w:rPr>
                <w:rFonts w:hint="eastAsia"/>
              </w:rPr>
              <w:t>GB 50060-2008《3-110kV高压配电装置设计规范》第7.1.4条</w:t>
            </w:r>
          </w:p>
          <w:p>
            <w:pPr>
              <w:pStyle w:val="40"/>
              <w:ind w:left="100" w:right="100"/>
            </w:pPr>
            <w:r>
              <w:rPr>
                <w:rFonts w:hint="eastAsia"/>
              </w:rPr>
              <w:t>DB11/527-2021《配电室安全管理规范》第6.3.9条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建（构）筑物类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常闭式防火门未保持关闭。常开式防火门的关闭装置未完好有效，并未保证火灾等异常情况下能自动关闭。</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308-2009《医疗机构消防安全管理》第4.1.10条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防火卷帘门两侧各0.5 m范围内堆放物品，并未用黄色标识线划定范围。</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40248-2021《人员密集场所消防安全管理》第8.8.2条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lang w:val="zh-CN"/>
              </w:rPr>
              <w:t>院区内未有机动车行车限速5 km和禁止鸣笛的标志，进出大门处未设车辆减速装置。交通视线盲区未设置室外反光镜。</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444.1-2014《医疗机构患者活动场所及坐卧设施安全要求 第1部分：活动场所》第4.13.2条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安全出口及疏散通道类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安全出口和疏散通道未保持畅通，存在占用、堵塞、封闭安全出口和疏散通道或者有其他妨碍安全疏散的行为。</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《中华人民共和国消防法》第十六条</w:t>
            </w:r>
          </w:p>
          <w:p>
            <w:pPr>
              <w:pStyle w:val="40"/>
              <w:ind w:left="100" w:right="100"/>
            </w:pPr>
            <w:r>
              <w:rPr>
                <w:rFonts w:hint="eastAsia"/>
              </w:rPr>
              <w:t>《北京市消防条例》第十二条</w:t>
            </w:r>
          </w:p>
          <w:p>
            <w:pPr>
              <w:pStyle w:val="40"/>
              <w:ind w:left="100" w:right="100"/>
            </w:pPr>
            <w:r>
              <w:rPr>
                <w:rFonts w:hint="eastAsia"/>
              </w:rPr>
              <w:t>《机关、团体、企业、事业单位消防安全管理规定》第七条、第二十一条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标志及标识类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生产设备设施处，未按规定设置安全警示标志，并在设备设施附近悬挂操作规程。</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33000-2016《企业安全生产标准化基本规范》第5.2.3条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r>
              <w:rPr>
                <w:rFonts w:hint="eastAsia" w:ascii="Times New Roman" w:hAnsi="Times New Roman"/>
                <w:bCs/>
                <w:kern w:val="0"/>
                <w:szCs w:val="20"/>
              </w:rPr>
              <w:t>场所环境类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标志及标识类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变配电系统内标志标识未齐全、清楚、正确，还未符合下列要求：</w:t>
            </w:r>
          </w:p>
          <w:p>
            <w:pPr>
              <w:pStyle w:val="40"/>
              <w:ind w:left="100" w:right="100"/>
            </w:pPr>
            <w:r>
              <w:rPr>
                <w:rFonts w:hint="eastAsia"/>
              </w:rPr>
              <w:t>安全标示牌的悬挂位置和式样要求应符合表G.3的规定；</w:t>
            </w:r>
          </w:p>
          <w:p>
            <w:pPr>
              <w:pStyle w:val="40"/>
              <w:ind w:left="100" w:right="100"/>
            </w:pPr>
            <w:r>
              <w:rPr>
                <w:rFonts w:hint="eastAsia"/>
              </w:rPr>
              <w:t>部分停电的工作，工作人员与未停电设备安全距离不符合表 2 规定时应装设临时遮栏，表中未列电压等级按高一档电压等级安全距离。（见附页表2）</w:t>
            </w:r>
          </w:p>
          <w:p>
            <w:pPr>
              <w:pStyle w:val="40"/>
              <w:ind w:left="100" w:right="100"/>
            </w:pPr>
            <w:r>
              <w:rPr>
                <w:rFonts w:hint="eastAsia"/>
              </w:rPr>
              <w:t>每面配电盘柜应标明路名和调度操作编号，双面维护的配电盘柜前和盘柜后均应标明路名和调度操作编号，且路名、编号应与模拟屏、自动化监控系统、运行资料等保持一致；</w:t>
            </w:r>
          </w:p>
          <w:p>
            <w:pPr>
              <w:pStyle w:val="40"/>
              <w:ind w:left="100" w:right="100"/>
            </w:pPr>
            <w:r>
              <w:rPr>
                <w:rFonts w:hint="eastAsia"/>
              </w:rPr>
              <w:t>配电装置前应标注警戒线，警戒线距配电装置应不小于800 mm；</w:t>
            </w:r>
          </w:p>
          <w:p>
            <w:pPr>
              <w:pStyle w:val="40"/>
              <w:ind w:left="100" w:right="100"/>
            </w:pPr>
            <w:r>
              <w:rPr>
                <w:rFonts w:hint="eastAsia"/>
              </w:rPr>
              <w:t>设备上不应粘贴与运行无关的标志，不应悬挂、堆放杂物；</w:t>
            </w:r>
          </w:p>
          <w:p>
            <w:pPr>
              <w:pStyle w:val="40"/>
              <w:ind w:left="100" w:right="100"/>
            </w:pPr>
            <w:r>
              <w:rPr>
                <w:rFonts w:hint="eastAsia"/>
              </w:rPr>
              <w:t>变配电室的出入口应设置明显的安全警示标志牌。</w:t>
            </w:r>
          </w:p>
          <w:p>
            <w:pPr>
              <w:pStyle w:val="40"/>
              <w:ind w:left="100" w:right="100"/>
            </w:pPr>
            <w:r>
              <w:rPr>
                <w:rFonts w:hint="eastAsia"/>
              </w:rPr>
              <w:t>电缆的首端、末端和分支处应设标志牌。</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DB11/527-2021《配电室安全管理规范》第6.2.1条、第6.2.2条、第6.2.3条、第6.2.4条、第6.2.5条、第6.2.6条、第6.2.7条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消防安全疏散标志未设置在下列位置：</w:t>
            </w:r>
          </w:p>
          <w:p>
            <w:pPr>
              <w:pStyle w:val="40"/>
              <w:ind w:left="100" w:right="100"/>
            </w:pPr>
            <w:r>
              <w:rPr>
                <w:rFonts w:hint="eastAsia"/>
              </w:rPr>
              <w:t>a）安全出口；</w:t>
            </w:r>
          </w:p>
          <w:p>
            <w:pPr>
              <w:pStyle w:val="40"/>
              <w:ind w:left="100" w:right="100"/>
            </w:pPr>
            <w:r>
              <w:rPr>
                <w:rFonts w:hint="eastAsia"/>
              </w:rPr>
              <w:t xml:space="preserve">b）防烟楼梯间的前室或合用前室； </w:t>
            </w:r>
          </w:p>
          <w:p>
            <w:pPr>
              <w:pStyle w:val="40"/>
              <w:ind w:left="100" w:right="100"/>
            </w:pPr>
            <w:r>
              <w:rPr>
                <w:rFonts w:hint="eastAsia"/>
              </w:rPr>
              <w:t>c）超过20 m的走道、超过10 m的袋形走道；</w:t>
            </w:r>
          </w:p>
          <w:p>
            <w:pPr>
              <w:pStyle w:val="40"/>
              <w:ind w:left="100" w:right="100"/>
            </w:pPr>
            <w:r>
              <w:rPr>
                <w:rFonts w:hint="eastAsia"/>
              </w:rPr>
              <w:t>d）疏散走道拐弯处；</w:t>
            </w:r>
          </w:p>
          <w:p>
            <w:pPr>
              <w:pStyle w:val="40"/>
              <w:ind w:left="100" w:right="100"/>
            </w:pPr>
            <w:r>
              <w:rPr>
                <w:rFonts w:hint="eastAsia"/>
              </w:rPr>
              <w:t>e）高层建筑或多层建筑中建筑面积大于300 m2的会议室、多功能厅等公共活动用房；地下建筑中各房间总面积超过200m2且经常有人停留的活动场所的房间疏散门；</w:t>
            </w:r>
          </w:p>
          <w:p>
            <w:pPr>
              <w:pStyle w:val="40"/>
              <w:ind w:left="100" w:right="100"/>
            </w:pPr>
            <w:r>
              <w:rPr>
                <w:rFonts w:hint="eastAsia"/>
              </w:rPr>
              <w:t>f）避难层（间）。</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DB11/1024-2013《消防安全疏散标志设置标准》第3.2.2条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r>
              <w:rPr>
                <w:rFonts w:hint="eastAsia" w:ascii="Times New Roman" w:hAnsi="Times New Roman"/>
                <w:bCs/>
                <w:kern w:val="0"/>
                <w:szCs w:val="20"/>
              </w:rPr>
              <w:t>场所环境类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标志及标识类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非联动控制的安全出口或疏散通道中的门扇未设置“禁止锁闭”标志。室内疏散走道或室外通道醒目处未设置“禁止阻塞”标志。</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DB11/1024-2013《消防安全疏散标志设置标准》第3.3.3条</w:t>
            </w:r>
          </w:p>
          <w:p>
            <w:pPr>
              <w:pStyle w:val="40"/>
              <w:ind w:left="100" w:right="100"/>
            </w:pPr>
            <w:r>
              <w:rPr>
                <w:rFonts w:hint="eastAsia"/>
              </w:rPr>
              <w:t>GB 15630-1995《消防安全标志设置要求》第5.3条、第5.4条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消防安全疏散标志的设置未符合下列要求：</w:t>
            </w:r>
          </w:p>
          <w:p>
            <w:pPr>
              <w:pStyle w:val="40"/>
              <w:ind w:left="100" w:right="100"/>
            </w:pPr>
            <w:r>
              <w:rPr>
                <w:rFonts w:hint="eastAsia"/>
              </w:rPr>
              <w:t>a）消防疏散导流标志应沿疏散通道和疏散路线设置；疏散走道转角区域1 m范围内应设置消防安全疏散标志；疏散走道和主要疏散路线的地面或靠近地面的墙上应设置消防安全疏散标志；</w:t>
            </w:r>
          </w:p>
          <w:p>
            <w:pPr>
              <w:pStyle w:val="40"/>
              <w:ind w:left="100" w:right="100"/>
            </w:pPr>
            <w:r>
              <w:rPr>
                <w:rFonts w:hint="eastAsia"/>
              </w:rPr>
              <w:t>b）消防安全疏散标志设置在距地面高度1 m以下的墙面上，间距不应大于10 m；设置在疏散走道上空，间距不应大于20 m，其标志面应与疏散方向垂直，标志下边缘距室内地面距离宜为2.2 m～2.5 m；增设的电光源型消防疏散导流标志间距不应小于3 m，且不应超过5 m。设置在墙面上时，底边距地不大于0.2 m；非电光源型消防安全疏散标志应设置在电光源型疏散标志之间，且间距不应小于2 m，不应大于3 m；</w:t>
            </w:r>
          </w:p>
          <w:p>
            <w:pPr>
              <w:pStyle w:val="40"/>
              <w:ind w:left="100" w:right="100"/>
            </w:pPr>
            <w:r>
              <w:rPr>
                <w:rFonts w:hint="eastAsia"/>
              </w:rPr>
              <w:t>c）非电光源型消防安全疏散标志只能作为电光源型消防安全疏散标志的辅助指示设施；</w:t>
            </w:r>
          </w:p>
          <w:p>
            <w:pPr>
              <w:pStyle w:val="40"/>
              <w:ind w:left="100" w:right="100"/>
            </w:pPr>
            <w:r>
              <w:rPr>
                <w:rFonts w:hint="eastAsia"/>
              </w:rPr>
              <w:t>d）消防安全疏散标志应独立设置在醒目位置。疏散出口和安全出口标志不应设置在可开启的门、窗扇上或其他可移动的物体上，应设在靠近其出口一侧的门上方或门洞两侧的墙面上，标志的下边缘距门的上边缘不宜大于0.3 m。在远离安全出口的地方，应将安全出口标志和疏散通道方向标志联合设置，箭头应指向最近的安全出口。</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DB11/1024-2013《消防安全疏散标志设置标准》第3.1.4条、第3.1.5条、第3.2.3条、第3.2.5条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r>
              <w:rPr>
                <w:rFonts w:hint="eastAsia" w:ascii="Times New Roman" w:hAnsi="Times New Roman"/>
                <w:bCs/>
                <w:kern w:val="0"/>
                <w:szCs w:val="20"/>
              </w:rPr>
              <w:t>场所环境类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标志及标识类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消防安全疏散标志管理和维护不符合规范要求，未确保完好有效。</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15630-1995《消防安全标志设置要求》第6.1条</w:t>
            </w:r>
          </w:p>
          <w:p>
            <w:pPr>
              <w:pStyle w:val="40"/>
              <w:ind w:left="100" w:right="100"/>
            </w:pPr>
            <w:r>
              <w:rPr>
                <w:rFonts w:hint="eastAsia"/>
              </w:rPr>
              <w:t>DB11/1024-2013《消防安全疏散标志设置标准》第5.1条</w:t>
            </w:r>
          </w:p>
          <w:p>
            <w:pPr>
              <w:pStyle w:val="40"/>
              <w:ind w:left="100" w:right="100"/>
            </w:pPr>
            <w:r>
              <w:rPr>
                <w:rFonts w:hint="eastAsia"/>
              </w:rPr>
              <w:t>《中华人民共和国消防法》第十六条第一款第二项</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标志及标识类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pStyle w:val="40"/>
              <w:ind w:left="100" w:right="100"/>
            </w:pPr>
            <w:r>
              <w:rPr>
                <w:rFonts w:hint="eastAsia"/>
              </w:rPr>
              <w:t>消防水泵房门未设置明显的标志，未标明“消防安全重点部位”及其消防安全责任人，未落实相应管理规定。并未符合下列规定：</w:t>
            </w:r>
          </w:p>
          <w:p>
            <w:pPr>
              <w:pStyle w:val="40"/>
              <w:ind w:left="100" w:right="100"/>
            </w:pPr>
            <w:r>
              <w:rPr>
                <w:rFonts w:hint="eastAsia"/>
              </w:rPr>
              <w:t>根据实际需要配备相应的灭火器材、装备和个人防护器材；</w:t>
            </w:r>
          </w:p>
          <w:p>
            <w:pPr>
              <w:pStyle w:val="40"/>
              <w:ind w:left="100" w:right="100"/>
            </w:pPr>
            <w:r>
              <w:rPr>
                <w:rFonts w:hint="eastAsia"/>
              </w:rPr>
              <w:t>制定和完善事故应急处置操作程序；</w:t>
            </w:r>
          </w:p>
          <w:p>
            <w:pPr>
              <w:pStyle w:val="40"/>
              <w:ind w:left="100" w:right="100"/>
            </w:pPr>
            <w:r>
              <w:rPr>
                <w:rFonts w:hint="eastAsia"/>
              </w:rPr>
              <w:t>每日进行防火巡查，每月定期开展防火检查。</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308-2019《医疗机构消防安全管理》第5.1.2条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r>
              <w:rPr>
                <w:rFonts w:hint="eastAsia" w:ascii="Times New Roman" w:hAnsi="Times New Roman"/>
                <w:bCs/>
                <w:kern w:val="0"/>
                <w:szCs w:val="20"/>
              </w:rPr>
              <w:t>场所环境类</w:t>
            </w: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标志及标识类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未在急救中心建筑内不同区域的明显位置设置安全疏散指示图，指示图上未标明疏散路线、安全出口、人员所在位置和必要的文字说明。</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308-2009《医疗机构消防安全管理》第4.1.9条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未在危化品储存场所的显著位置张贴或悬挂现场处置方案。</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DB11/T 1322.2-2017《安全生产等级评定技术规范 第2部分：安全生产通用要求》第3.8.1.14条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标志及标识类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存放废弃危险化学品的场所、设施、包装容器未设置危险废弃物识别标志，且并未设置安全监护措施。</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DB11/1578-2018《医疗机构危险化学品安全管理规范》第9.3条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医疗废物产生地点未有医疗废物分类收集方法的示意图或者文字说明。</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《医疗卫生机构医疗废物管理办法》第十二条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作业环境类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药品库房内的升降机载人，其附近堆放纱布、药箱等可燃物。</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WS 308-2009《医疗机构消防安全管理》第5.5.4条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left="100" w:right="100"/>
              <w:rPr>
                <w:rFonts w:ascii="宋体" w:hAnsi="宋体"/>
                <w:kern w:val="0"/>
                <w:szCs w:val="20"/>
              </w:rPr>
            </w:pP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库房内堆放物品符合下列要求：</w:t>
            </w:r>
          </w:p>
          <w:p>
            <w:pPr>
              <w:pStyle w:val="40"/>
              <w:ind w:left="100" w:right="100"/>
            </w:pPr>
            <w:r>
              <w:rPr>
                <w:rFonts w:hint="eastAsia"/>
              </w:rPr>
              <w:t>a）堆垛上部与楼板、平屋顶之间的距离不小于0.3 m（人字屋架从横梁算起）；</w:t>
            </w:r>
          </w:p>
          <w:p>
            <w:pPr>
              <w:pStyle w:val="40"/>
              <w:ind w:left="100" w:right="100"/>
            </w:pPr>
            <w:r>
              <w:rPr>
                <w:rFonts w:hint="eastAsia"/>
              </w:rPr>
              <w:t>b）物品与照明灯之间的距离不小于0.5 m；</w:t>
            </w:r>
          </w:p>
          <w:p>
            <w:pPr>
              <w:pStyle w:val="40"/>
              <w:ind w:left="100" w:right="100"/>
            </w:pPr>
            <w:r>
              <w:rPr>
                <w:rFonts w:hint="eastAsia"/>
              </w:rPr>
              <w:t>c）物品与墙之间的距离不小于0.5 m；</w:t>
            </w:r>
          </w:p>
          <w:p>
            <w:pPr>
              <w:pStyle w:val="40"/>
              <w:ind w:left="100" w:right="100"/>
            </w:pPr>
            <w:r>
              <w:rPr>
                <w:rFonts w:hint="eastAsia"/>
              </w:rPr>
              <w:t>d）物品堆垛与柱之间的距离不小于0.3 m；</w:t>
            </w:r>
          </w:p>
          <w:p>
            <w:pPr>
              <w:pStyle w:val="40"/>
              <w:ind w:left="100" w:right="100"/>
            </w:pPr>
            <w:r>
              <w:rPr>
                <w:rFonts w:hint="eastAsia"/>
              </w:rPr>
              <w:t>e）物品堆垛与堆垛之间的距离不小于1 m。</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XF 1131-2014《仓储场所消防安全管理通则》第6.8条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Times New Roman" w:hAnsi="Times New Roman"/>
                <w:bCs/>
                <w:kern w:val="0"/>
                <w:szCs w:val="20"/>
              </w:rPr>
              <w:t>场所环境类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作业环境类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设备设施使用科室未保持工作环境清洁、干燥，未根据设备设施的使用安全要求做好防尘、防潮、防爆、防水、防电磁波、防静电工作。</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GB/T 33000-2016《企业安全生产标准化基本规范》第5.4.2.1条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Times New Roman" w:hAnsi="Times New Roman"/>
                <w:bCs/>
                <w:kern w:val="0"/>
                <w:szCs w:val="20"/>
              </w:rPr>
              <w:t>场所环境类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作业环境类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变配电系统的室内环境未符合下列要求：</w:t>
            </w:r>
          </w:p>
          <w:p>
            <w:pPr>
              <w:pStyle w:val="40"/>
              <w:ind w:left="100" w:right="100"/>
            </w:pPr>
            <w:r>
              <w:rPr>
                <w:rFonts w:hint="eastAsia"/>
              </w:rPr>
              <w:t>a）变压器、高压配电装置、低压配电装置的操作区、维护通道应铺设绝缘胶垫；</w:t>
            </w:r>
          </w:p>
          <w:p>
            <w:pPr>
              <w:pStyle w:val="40"/>
              <w:ind w:left="100" w:right="100"/>
            </w:pPr>
            <w:r>
              <w:rPr>
                <w:rFonts w:hint="eastAsia"/>
              </w:rPr>
              <w:t>b）室内环境整洁，场地平整，设备间不应存放与运行无关的物品，设备间内不应有与其无关的管道和线路通过，巡视道路畅通；</w:t>
            </w:r>
          </w:p>
          <w:p>
            <w:pPr>
              <w:pStyle w:val="40"/>
              <w:ind w:left="100" w:right="100"/>
            </w:pPr>
            <w:r>
              <w:rPr>
                <w:rFonts w:hint="eastAsia"/>
              </w:rPr>
              <w:t>c）设备构架、基础无严重腐蚀，房屋不漏雨，无应封堵的孔洞、沟道；</w:t>
            </w:r>
          </w:p>
          <w:p>
            <w:pPr>
              <w:pStyle w:val="40"/>
              <w:ind w:left="100" w:right="100"/>
            </w:pPr>
            <w:r>
              <w:rPr>
                <w:rFonts w:hint="eastAsia"/>
              </w:rPr>
              <w:t>d）电缆沟盖板齐全，电缆夹层、电缆沟和电缆室设置的防水、排水措施完好有效。e）设备区域内应配有温、湿度计；</w:t>
            </w:r>
          </w:p>
          <w:p>
            <w:pPr>
              <w:pStyle w:val="40"/>
              <w:ind w:left="100" w:right="100"/>
            </w:pPr>
            <w:r>
              <w:rPr>
                <w:rFonts w:hint="eastAsia"/>
              </w:rPr>
              <w:t>f）有专人值班的变配电室应配备专用电话，电话畅通，时钟准确。</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DB11/527-2021《配电室安全管理规范》第6.3.1条、第6.3.2条、第6.3.3条、第6.3.4条、第6.3.9条、第6.3.10条</w:t>
            </w:r>
          </w:p>
          <w:p>
            <w:pPr>
              <w:pStyle w:val="40"/>
              <w:ind w:left="100" w:right="100"/>
            </w:pPr>
            <w:r>
              <w:rPr>
                <w:rFonts w:hint="eastAsia"/>
              </w:rPr>
              <w:t>GB 50575-2010《1kV及以下配线工程施工与验收规范》第3.0.5条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4"/>
              <w:numPr>
                <w:ilvl w:val="0"/>
                <w:numId w:val="8"/>
              </w:numPr>
              <w:adjustRightInd w:val="0"/>
              <w:snapToGrid w:val="0"/>
              <w:spacing w:line="240" w:lineRule="auto"/>
              <w:ind w:left="100" w:right="100" w:firstLine="0" w:firstLineChars="0"/>
              <w:rPr>
                <w:rFonts w:ascii="宋体" w:hAnsi="宋体"/>
                <w:szCs w:val="20"/>
                <w:lang w:bidi="mn-Mong-CN"/>
              </w:rPr>
            </w:pPr>
          </w:p>
        </w:tc>
        <w:tc>
          <w:tcPr>
            <w:tcW w:w="87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Times New Roman" w:hAnsi="Times New Roman"/>
                <w:bCs/>
                <w:kern w:val="0"/>
                <w:szCs w:val="20"/>
              </w:rPr>
              <w:t>场所环境类</w:t>
            </w:r>
          </w:p>
        </w:tc>
        <w:tc>
          <w:tcPr>
            <w:tcW w:w="11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kern w:val="0"/>
                <w:szCs w:val="20"/>
              </w:rPr>
            </w:pPr>
            <w:r>
              <w:rPr>
                <w:rFonts w:hint="eastAsia" w:ascii="宋体" w:hAnsi="宋体"/>
                <w:kern w:val="0"/>
                <w:szCs w:val="20"/>
              </w:rPr>
              <w:t>作业环境类</w:t>
            </w:r>
          </w:p>
        </w:tc>
        <w:tc>
          <w:tcPr>
            <w:tcW w:w="610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柴油发电机房未符合下列要求：</w:t>
            </w:r>
          </w:p>
          <w:p>
            <w:pPr>
              <w:pStyle w:val="40"/>
              <w:ind w:left="100" w:right="100"/>
            </w:pPr>
            <w:r>
              <w:rPr>
                <w:rFonts w:hint="eastAsia"/>
              </w:rPr>
              <w:t>a）机房应有良好的通风；</w:t>
            </w:r>
          </w:p>
          <w:p>
            <w:pPr>
              <w:pStyle w:val="40"/>
              <w:ind w:left="100" w:right="100"/>
            </w:pPr>
            <w:r>
              <w:rPr>
                <w:rFonts w:hint="eastAsia"/>
              </w:rPr>
              <w:t>b）机房面积在50㎡及以下时宜设置不少于一个出入口，在50㎡以上时宜设置不少于两个出入口，其中一个应满足搬运机组的需要；门应为向外开启的甲级防火门；发电机间与控制室、配电室之间的门和观察窗应采取防火、隔声措施，门应为甲级防火门，并应开向发电机间；</w:t>
            </w:r>
          </w:p>
          <w:p>
            <w:pPr>
              <w:pStyle w:val="40"/>
              <w:ind w:left="100" w:right="100"/>
            </w:pPr>
            <w:r>
              <w:rPr>
                <w:rFonts w:hint="eastAsia"/>
              </w:rPr>
              <w:t>c）储油间应采用防火墙与发电机间隔开；当必须在防火墙上开门时，应设置能自行关闭的甲级防火门。</w:t>
            </w:r>
          </w:p>
        </w:tc>
        <w:tc>
          <w:tcPr>
            <w:tcW w:w="354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0"/>
              <w:ind w:left="100" w:right="100"/>
            </w:pPr>
            <w:r>
              <w:rPr>
                <w:rFonts w:hint="eastAsia"/>
              </w:rPr>
              <w:t>GB 51348-2019《民用建筑电气设计标准》第6.1.11条</w:t>
            </w:r>
          </w:p>
        </w:tc>
        <w:tc>
          <w:tcPr>
            <w:tcW w:w="7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left="100" w:right="100"/>
              <w:jc w:val="center"/>
              <w:rPr>
                <w:rFonts w:ascii="宋体" w:hAnsi="宋体"/>
                <w:szCs w:val="20"/>
                <w:lang w:bidi="mn-Mong-CN"/>
              </w:rPr>
            </w:pPr>
          </w:p>
        </w:tc>
      </w:tr>
    </w:tbl>
    <w:p>
      <w:pPr>
        <w:adjustRightInd w:val="0"/>
        <w:snapToGrid w:val="0"/>
        <w:ind w:left="100" w:right="100"/>
        <w:rPr>
          <w:rFonts w:ascii="宋体" w:hAnsi="宋体"/>
          <w:b/>
          <w:bCs/>
          <w:sz w:val="30"/>
          <w:szCs w:val="30"/>
        </w:rPr>
      </w:pPr>
      <w:r>
        <w:rPr>
          <w:rFonts w:hint="eastAsia" w:ascii="宋体" w:hAnsi="宋体"/>
          <w:b/>
          <w:bCs/>
          <w:sz w:val="30"/>
          <w:szCs w:val="30"/>
        </w:rPr>
        <w:t>附页：</w:t>
      </w:r>
    </w:p>
    <w:p>
      <w:pPr>
        <w:pStyle w:val="27"/>
        <w:numPr>
          <w:ilvl w:val="0"/>
          <w:numId w:val="0"/>
        </w:numPr>
        <w:adjustRightInd w:val="0"/>
        <w:snapToGrid w:val="0"/>
        <w:spacing w:before="0" w:beforeLines="0" w:after="0" w:afterLines="0"/>
        <w:ind w:left="100" w:leftChars="50" w:right="100"/>
      </w:pPr>
      <w:r>
        <w:rPr>
          <w:rFonts w:hint="eastAsia"/>
        </w:rPr>
        <w:t>表G.2  安全工器具的试验项目和试验周期</w:t>
      </w:r>
    </w:p>
    <w:tbl>
      <w:tblPr>
        <w:tblStyle w:val="13"/>
        <w:tblW w:w="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0"/>
        <w:gridCol w:w="4075"/>
        <w:gridCol w:w="5360"/>
        <w:gridCol w:w="3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序号</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器具</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试验项目</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试验周期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w:t>
            </w:r>
          </w:p>
        </w:tc>
        <w:tc>
          <w:tcPr>
            <w:tcW w:w="4075"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电容型验电器</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启动电压试验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4075"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680"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2</w:t>
            </w:r>
          </w:p>
        </w:tc>
        <w:tc>
          <w:tcPr>
            <w:tcW w:w="4075"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携带型短路接地线</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成组直流电阻试验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4075"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操作棒的工频耐压试验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3</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绝缘杆</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4</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绝缘胶垫</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5</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绝缘靴</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6</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绝缘手套</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7</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绝缘夹钳</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8</w:t>
            </w:r>
          </w:p>
        </w:tc>
        <w:tc>
          <w:tcPr>
            <w:tcW w:w="407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绝缘绳</w:t>
            </w:r>
          </w:p>
        </w:tc>
        <w:tc>
          <w:tcPr>
            <w:tcW w:w="53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工频耐压试验</w:t>
            </w:r>
          </w:p>
        </w:tc>
        <w:tc>
          <w:tcPr>
            <w:tcW w:w="33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半年</w:t>
            </w:r>
          </w:p>
        </w:tc>
      </w:tr>
    </w:tbl>
    <w:p>
      <w:pPr>
        <w:pStyle w:val="27"/>
        <w:numPr>
          <w:ilvl w:val="0"/>
          <w:numId w:val="0"/>
        </w:numPr>
        <w:adjustRightInd w:val="0"/>
        <w:snapToGrid w:val="0"/>
        <w:spacing w:before="0" w:beforeLines="0" w:after="0" w:afterLines="0"/>
        <w:ind w:left="100" w:leftChars="50" w:right="100"/>
      </w:pPr>
      <w:r>
        <w:rPr>
          <w:rFonts w:hint="eastAsia"/>
        </w:rPr>
        <w:t>表G.3  安全标示牌悬挂位置和式样要求</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62"/>
        <w:gridCol w:w="7497"/>
        <w:gridCol w:w="2811"/>
        <w:gridCol w:w="19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4" w:space="0"/>
              <w:left w:val="single" w:color="auto" w:sz="8"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名称</w:t>
            </w:r>
          </w:p>
        </w:tc>
        <w:tc>
          <w:tcPr>
            <w:tcW w:w="749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使用方法</w:t>
            </w:r>
          </w:p>
        </w:tc>
        <w:tc>
          <w:tcPr>
            <w:tcW w:w="4776" w:type="dxa"/>
            <w:gridSpan w:val="2"/>
            <w:tcBorders>
              <w:top w:val="single" w:color="auto" w:sz="4" w:space="0"/>
              <w:left w:val="single" w:color="auto" w:sz="4" w:space="0"/>
              <w:bottom w:val="single" w:color="auto" w:sz="4" w:space="0"/>
              <w:right w:val="single" w:color="auto" w:sz="8" w:space="0"/>
            </w:tcBorders>
            <w:vAlign w:val="center"/>
          </w:tcPr>
          <w:p>
            <w:pPr>
              <w:pStyle w:val="25"/>
              <w:adjustRightInd w:val="0"/>
              <w:snapToGrid w:val="0"/>
              <w:ind w:left="100" w:leftChars="50" w:right="100" w:rightChars="50" w:firstLine="0" w:firstLineChars="0"/>
              <w:jc w:val="center"/>
              <w:rPr>
                <w:rFonts w:hAnsi="宋体"/>
                <w:sz w:val="18"/>
                <w:szCs w:val="18"/>
              </w:rPr>
            </w:pPr>
            <w:r>
              <w:rPr>
                <w:rFonts w:hint="eastAsia" w:hAnsi="宋体"/>
                <w:sz w:val="18"/>
                <w:szCs w:val="18"/>
              </w:rPr>
              <w:t>式样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禁止合闸，</w:t>
            </w:r>
          </w:p>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有人工作！</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一经合闸即可送电到设备的断路器或隔离开关操作把手上</w:t>
            </w:r>
          </w:p>
        </w:tc>
        <w:tc>
          <w:tcPr>
            <w:tcW w:w="2811"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白底，红色圆形斜杠，黑色禁止标志符号</w:t>
            </w:r>
          </w:p>
        </w:tc>
        <w:tc>
          <w:tcPr>
            <w:tcW w:w="1965"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黑字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禁止合闸，</w:t>
            </w:r>
          </w:p>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线路有人工作！</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线路断路器或隔离开关把手上</w:t>
            </w:r>
          </w:p>
        </w:tc>
        <w:tc>
          <w:tcPr>
            <w:tcW w:w="4776"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c>
          <w:tcPr>
            <w:tcW w:w="1965"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禁止攀登，</w:t>
            </w:r>
          </w:p>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高压危险！</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高压配电装置构架的爬梯上，变压器、电抗器等设备的爬梯上</w:t>
            </w:r>
          </w:p>
        </w:tc>
        <w:tc>
          <w:tcPr>
            <w:tcW w:w="4776"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c>
          <w:tcPr>
            <w:tcW w:w="1965"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止    步，</w:t>
            </w:r>
          </w:p>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高压危险！</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施工地点临近带电设备的遮栏上；室外工作地点的围栏上；禁止通行的过道上；高压试验地点；室外构架上；工作地点临近带电设备的横梁上</w:t>
            </w:r>
          </w:p>
        </w:tc>
        <w:tc>
          <w:tcPr>
            <w:tcW w:w="2811"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白底，黑色正三角形及标志符号，衬底为黄色</w:t>
            </w:r>
          </w:p>
        </w:tc>
        <w:tc>
          <w:tcPr>
            <w:tcW w:w="1965"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黑字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从此上下！</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工作人员可上下的铁架、爬梯上</w:t>
            </w:r>
          </w:p>
        </w:tc>
        <w:tc>
          <w:tcPr>
            <w:tcW w:w="2811"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衬底为绿色，中有白圆圈</w:t>
            </w:r>
          </w:p>
        </w:tc>
        <w:tc>
          <w:tcPr>
            <w:tcW w:w="1965"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黑字，写于白圆圈中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在此工作！</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工作地点或检修设备上</w:t>
            </w:r>
          </w:p>
        </w:tc>
        <w:tc>
          <w:tcPr>
            <w:tcW w:w="4776"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c>
          <w:tcPr>
            <w:tcW w:w="1965" w:type="dxa"/>
            <w:vMerge w:val="continue"/>
            <w:tcBorders>
              <w:top w:val="single" w:color="auto" w:sz="6" w:space="0"/>
              <w:left w:val="single" w:color="auto" w:sz="6" w:space="0"/>
              <w:bottom w:val="single" w:color="auto" w:sz="6" w:space="0"/>
              <w:right w:val="single" w:color="auto" w:sz="6"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26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00" w:right="100"/>
              <w:jc w:val="center"/>
              <w:textAlignment w:val="auto"/>
              <w:rPr>
                <w:rFonts w:ascii="宋体" w:hAnsi="宋体"/>
                <w:sz w:val="18"/>
                <w:szCs w:val="18"/>
              </w:rPr>
            </w:pPr>
            <w:r>
              <w:rPr>
                <w:rFonts w:hint="eastAsia" w:ascii="宋体" w:hAnsi="宋体"/>
                <w:sz w:val="18"/>
                <w:szCs w:val="18"/>
              </w:rPr>
              <w:t>已接地</w:t>
            </w:r>
          </w:p>
        </w:tc>
        <w:tc>
          <w:tcPr>
            <w:tcW w:w="7497"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悬挂在已接地线的隔离开关操作手把上</w:t>
            </w:r>
          </w:p>
        </w:tc>
        <w:tc>
          <w:tcPr>
            <w:tcW w:w="2811"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rPr>
                <w:rFonts w:ascii="宋体" w:hAnsi="宋体"/>
                <w:sz w:val="18"/>
                <w:szCs w:val="18"/>
              </w:rPr>
            </w:pPr>
            <w:r>
              <w:rPr>
                <w:rFonts w:hint="eastAsia" w:ascii="宋体" w:hAnsi="宋体"/>
                <w:sz w:val="18"/>
                <w:szCs w:val="18"/>
              </w:rPr>
              <w:t>衬底为绿色</w:t>
            </w:r>
          </w:p>
        </w:tc>
        <w:tc>
          <w:tcPr>
            <w:tcW w:w="1965" w:type="dxa"/>
            <w:tcBorders>
              <w:top w:val="single" w:color="auto" w:sz="6" w:space="0"/>
              <w:left w:val="single" w:color="auto" w:sz="6" w:space="0"/>
              <w:bottom w:val="single" w:color="auto" w:sz="6" w:space="0"/>
              <w:right w:val="single" w:color="auto" w:sz="6"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黑字</w:t>
            </w:r>
          </w:p>
        </w:tc>
      </w:tr>
    </w:tbl>
    <w:p>
      <w:pPr>
        <w:pStyle w:val="27"/>
        <w:numPr>
          <w:ilvl w:val="0"/>
          <w:numId w:val="0"/>
        </w:numPr>
        <w:adjustRightInd w:val="0"/>
        <w:snapToGrid w:val="0"/>
        <w:spacing w:before="0" w:beforeLines="0" w:after="0" w:afterLines="0"/>
        <w:ind w:left="100" w:leftChars="50" w:right="100"/>
      </w:pPr>
      <w:r>
        <w:rPr>
          <w:rFonts w:hint="eastAsia"/>
        </w:rPr>
        <w:t>表G.4  护套绝缘导线至地面的最小距离</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26"/>
        <w:gridCol w:w="3545"/>
        <w:gridCol w:w="63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171" w:type="dxa"/>
            <w:gridSpan w:val="2"/>
            <w:tcBorders>
              <w:top w:val="single" w:color="auto" w:sz="4" w:space="0"/>
              <w:left w:val="single" w:color="auto" w:sz="8" w:space="0"/>
              <w:bottom w:val="single" w:color="auto" w:sz="8"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布线方式</w:t>
            </w:r>
          </w:p>
        </w:tc>
        <w:tc>
          <w:tcPr>
            <w:tcW w:w="6332" w:type="dxa"/>
            <w:tcBorders>
              <w:top w:val="single" w:color="auto" w:sz="4" w:space="0"/>
              <w:left w:val="single" w:color="auto" w:sz="4" w:space="0"/>
              <w:bottom w:val="single" w:color="auto" w:sz="8" w:space="0"/>
              <w:right w:val="single" w:color="auto" w:sz="8"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最小距离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26" w:type="dxa"/>
            <w:vMerge w:val="restart"/>
            <w:tcBorders>
              <w:top w:val="single" w:color="auto" w:sz="8" w:space="0"/>
              <w:left w:val="single" w:color="auto" w:sz="8"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水平敷设</w:t>
            </w:r>
          </w:p>
        </w:tc>
        <w:tc>
          <w:tcPr>
            <w:tcW w:w="3545" w:type="dxa"/>
            <w:tcBorders>
              <w:top w:val="single" w:color="auto" w:sz="8" w:space="0"/>
              <w:left w:val="single" w:color="auto" w:sz="4"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屋内</w:t>
            </w:r>
          </w:p>
        </w:tc>
        <w:tc>
          <w:tcPr>
            <w:tcW w:w="6332" w:type="dxa"/>
            <w:tcBorders>
              <w:top w:val="single" w:color="auto" w:sz="8" w:space="0"/>
              <w:left w:val="single" w:color="auto" w:sz="4" w:space="0"/>
              <w:bottom w:val="single" w:color="auto" w:sz="4" w:space="0"/>
              <w:right w:val="single" w:color="auto" w:sz="8"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171" w:type="dxa"/>
            <w:vMerge w:val="continue"/>
            <w:tcBorders>
              <w:top w:val="single" w:color="auto" w:sz="8"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354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rPr>
            </w:pPr>
            <w:r>
              <w:rPr>
                <w:rFonts w:hint="eastAsia" w:ascii="宋体" w:hAnsi="宋体"/>
                <w:sz w:val="18"/>
                <w:szCs w:val="18"/>
              </w:rPr>
              <w:t>屋外</w:t>
            </w:r>
          </w:p>
        </w:tc>
        <w:tc>
          <w:tcPr>
            <w:tcW w:w="63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rPr>
            </w:pPr>
            <w:r>
              <w:rPr>
                <w:rFonts w:hint="eastAsia" w:ascii="宋体" w:hAnsi="宋体"/>
                <w:sz w:val="18"/>
                <w:szCs w:val="18"/>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626" w:type="dxa"/>
            <w:vMerge w:val="restart"/>
            <w:tcBorders>
              <w:top w:val="single" w:color="auto" w:sz="4" w:space="0"/>
              <w:left w:val="single" w:color="auto" w:sz="8"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垂直敷设</w:t>
            </w:r>
          </w:p>
        </w:tc>
        <w:tc>
          <w:tcPr>
            <w:tcW w:w="3545" w:type="dxa"/>
            <w:tcBorders>
              <w:top w:val="single" w:color="auto" w:sz="4" w:space="0"/>
              <w:left w:val="single" w:color="auto" w:sz="4" w:space="0"/>
              <w:bottom w:val="single" w:color="auto" w:sz="4" w:space="0"/>
              <w:right w:val="single" w:color="auto" w:sz="4"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屋内</w:t>
            </w:r>
          </w:p>
        </w:tc>
        <w:tc>
          <w:tcPr>
            <w:tcW w:w="6332" w:type="dxa"/>
            <w:tcBorders>
              <w:top w:val="single" w:color="auto" w:sz="4" w:space="0"/>
              <w:left w:val="single" w:color="auto" w:sz="4" w:space="0"/>
              <w:bottom w:val="single" w:color="auto" w:sz="4" w:space="0"/>
              <w:right w:val="single" w:color="auto" w:sz="8" w:space="0"/>
            </w:tcBorders>
            <w:vAlign w:val="center"/>
          </w:tcPr>
          <w:p>
            <w:pPr>
              <w:pStyle w:val="26"/>
              <w:adjustRightInd w:val="0"/>
              <w:snapToGrid w:val="0"/>
              <w:spacing w:after="0" w:line="240" w:lineRule="auto"/>
              <w:ind w:left="100" w:right="100" w:rightChars="50"/>
              <w:jc w:val="center"/>
              <w:rPr>
                <w:rFonts w:ascii="宋体" w:hAnsi="宋体" w:eastAsia="宋体"/>
                <w:spacing w:val="0"/>
                <w:kern w:val="2"/>
                <w:sz w:val="18"/>
                <w:szCs w:val="18"/>
              </w:rPr>
            </w:pPr>
            <w:r>
              <w:rPr>
                <w:rFonts w:hint="eastAsia" w:ascii="宋体" w:hAnsi="宋体" w:eastAsia="宋体"/>
                <w:spacing w:val="0"/>
                <w:kern w:val="2"/>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171"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354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rPr>
            </w:pPr>
            <w:r>
              <w:rPr>
                <w:rFonts w:hint="eastAsia" w:ascii="宋体" w:hAnsi="宋体"/>
                <w:sz w:val="18"/>
                <w:szCs w:val="18"/>
              </w:rPr>
              <w:t>屋外</w:t>
            </w:r>
          </w:p>
        </w:tc>
        <w:tc>
          <w:tcPr>
            <w:tcW w:w="63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rPr>
            </w:pPr>
            <w:r>
              <w:rPr>
                <w:rFonts w:hint="eastAsia" w:ascii="宋体" w:hAnsi="宋体"/>
                <w:sz w:val="18"/>
                <w:szCs w:val="18"/>
              </w:rPr>
              <w:t>2.7</w:t>
            </w:r>
          </w:p>
        </w:tc>
      </w:tr>
    </w:tbl>
    <w:p>
      <w:pPr>
        <w:pStyle w:val="27"/>
        <w:numPr>
          <w:ilvl w:val="0"/>
          <w:numId w:val="0"/>
        </w:numPr>
        <w:adjustRightInd w:val="0"/>
        <w:snapToGrid w:val="0"/>
        <w:spacing w:before="0" w:beforeLines="0" w:after="0" w:afterLines="0"/>
        <w:ind w:left="100" w:leftChars="50" w:right="100"/>
      </w:pPr>
      <w:r>
        <w:rPr>
          <w:rFonts w:hint="eastAsia"/>
        </w:rPr>
        <w:t>表H.2  高层公共建筑内楼梯间的首层疏散门、首层疏散外门、疏散走道和疏散楼梯的最小净宽度</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3191"/>
        <w:gridCol w:w="2596"/>
        <w:gridCol w:w="2158"/>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建筑类别</w:t>
            </w:r>
          </w:p>
        </w:tc>
        <w:tc>
          <w:tcPr>
            <w:tcW w:w="319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楼梯间的首层疏散门、首层疏散外门</w:t>
            </w:r>
          </w:p>
        </w:tc>
        <w:tc>
          <w:tcPr>
            <w:tcW w:w="47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走  道</w:t>
            </w:r>
          </w:p>
        </w:tc>
        <w:tc>
          <w:tcPr>
            <w:tcW w:w="262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疏散楼梯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319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259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单面布房</w:t>
            </w: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双面布房</w:t>
            </w:r>
          </w:p>
        </w:tc>
        <w:tc>
          <w:tcPr>
            <w:tcW w:w="2622"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高层医疗建筑</w:t>
            </w:r>
          </w:p>
        </w:tc>
        <w:tc>
          <w:tcPr>
            <w:tcW w:w="3191"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1.30</w:t>
            </w:r>
          </w:p>
        </w:tc>
        <w:tc>
          <w:tcPr>
            <w:tcW w:w="259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1.40</w:t>
            </w: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1.50</w:t>
            </w:r>
          </w:p>
        </w:tc>
        <w:tc>
          <w:tcPr>
            <w:tcW w:w="2622" w:type="dxa"/>
            <w:tcBorders>
              <w:top w:val="single" w:color="auto" w:sz="4" w:space="0"/>
              <w:left w:val="single" w:color="auto" w:sz="4" w:space="0"/>
              <w:bottom w:val="single" w:color="auto" w:sz="4" w:space="0"/>
              <w:right w:val="single" w:color="auto" w:sz="4" w:space="0"/>
            </w:tcBorders>
          </w:tcPr>
          <w:p>
            <w:pPr>
              <w:adjustRightInd w:val="0"/>
              <w:snapToGrid w:val="0"/>
              <w:ind w:left="100" w:right="100"/>
              <w:jc w:val="center"/>
              <w:rPr>
                <w:rFonts w:ascii="宋体" w:hAnsi="宋体"/>
                <w:sz w:val="18"/>
                <w:szCs w:val="18"/>
              </w:rPr>
            </w:pPr>
            <w:r>
              <w:rPr>
                <w:rFonts w:hint="eastAsia" w:ascii="宋体" w:hAnsi="宋体"/>
                <w:sz w:val="18"/>
                <w:szCs w:val="18"/>
              </w:rPr>
              <w:t>1.30</w:t>
            </w:r>
          </w:p>
        </w:tc>
      </w:tr>
    </w:tbl>
    <w:p>
      <w:pPr>
        <w:pStyle w:val="25"/>
        <w:adjustRightInd w:val="0"/>
        <w:snapToGrid w:val="0"/>
        <w:ind w:left="100" w:leftChars="50" w:right="100" w:rightChars="50" w:firstLine="0" w:firstLineChars="0"/>
        <w:rPr>
          <w:rFonts w:ascii="黑体" w:hAnsi="黑体" w:eastAsia="黑体"/>
        </w:rPr>
      </w:pPr>
    </w:p>
    <w:p>
      <w:pPr>
        <w:pStyle w:val="27"/>
        <w:numPr>
          <w:ilvl w:val="0"/>
          <w:numId w:val="0"/>
        </w:numPr>
        <w:adjustRightInd w:val="0"/>
        <w:snapToGrid w:val="0"/>
        <w:spacing w:before="0" w:beforeLines="0" w:after="0" w:afterLines="0"/>
        <w:ind w:left="100" w:leftChars="50" w:right="100"/>
      </w:pPr>
      <w:r>
        <w:rPr>
          <w:rFonts w:hint="eastAsia"/>
        </w:rPr>
        <w:t>表H.3  A类火灾场所的灭火器最大保护距离</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4835"/>
        <w:gridCol w:w="4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sz w:val="18"/>
              </w:rPr>
              <w:t>危险等级</w:t>
            </w:r>
          </w:p>
        </w:tc>
        <w:tc>
          <w:tcPr>
            <w:tcW w:w="9667" w:type="dxa"/>
            <w:gridSpan w:val="2"/>
            <w:tcBorders>
              <w:top w:val="single" w:color="auto" w:sz="8"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sz w:val="18"/>
              </w:rPr>
            </w:pPr>
            <w:r>
              <w:rPr>
                <w:rFonts w:hint="eastAsia" w:ascii="宋体"/>
                <w:sz w:val="18"/>
              </w:rPr>
              <w:t>灭火器型式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手提式灭火器</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推车式灭火器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严重危险级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15</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中危险级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20</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轻危险级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25</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50</w:t>
            </w:r>
          </w:p>
        </w:tc>
      </w:tr>
    </w:tbl>
    <w:p>
      <w:pPr>
        <w:pStyle w:val="25"/>
        <w:adjustRightInd w:val="0"/>
        <w:snapToGrid w:val="0"/>
        <w:ind w:left="0" w:leftChars="0" w:right="100" w:rightChars="50" w:firstLine="0" w:firstLineChars="0"/>
        <w:rPr>
          <w:rFonts w:ascii="黑体" w:hAnsi="黑体" w:eastAsia="黑体"/>
        </w:rPr>
      </w:pPr>
    </w:p>
    <w:p>
      <w:pPr>
        <w:pStyle w:val="27"/>
        <w:numPr>
          <w:ilvl w:val="0"/>
          <w:numId w:val="0"/>
        </w:numPr>
        <w:adjustRightInd w:val="0"/>
        <w:snapToGrid w:val="0"/>
        <w:spacing w:before="0" w:beforeLines="0" w:after="0" w:afterLines="0"/>
        <w:ind w:left="100" w:leftChars="50" w:right="100"/>
      </w:pPr>
      <w:r>
        <w:rPr>
          <w:rFonts w:hint="eastAsia"/>
        </w:rPr>
        <w:t>表H.4  B.C类火灾场所的灭火器最大保护距离</w:t>
      </w:r>
    </w:p>
    <w:p>
      <w:pPr>
        <w:pStyle w:val="25"/>
        <w:adjustRightInd w:val="0"/>
        <w:snapToGrid w:val="0"/>
        <w:ind w:left="100" w:leftChars="50" w:right="100" w:rightChars="50" w:firstLine="0" w:firstLineChars="0"/>
        <w:jc w:val="right"/>
        <w:rPr>
          <w:sz w:val="18"/>
          <w:szCs w:val="18"/>
        </w:rPr>
      </w:pPr>
      <w:r>
        <w:rPr>
          <w:rFonts w:hint="eastAsia"/>
          <w:sz w:val="18"/>
          <w:szCs w:val="18"/>
        </w:rPr>
        <w:t>单位为米</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4835"/>
        <w:gridCol w:w="4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sz w:val="18"/>
              </w:rPr>
              <w:t>危险等级</w:t>
            </w:r>
          </w:p>
        </w:tc>
        <w:tc>
          <w:tcPr>
            <w:tcW w:w="9667" w:type="dxa"/>
            <w:gridSpan w:val="2"/>
            <w:tcBorders>
              <w:top w:val="single" w:color="auto" w:sz="8"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sz w:val="18"/>
              </w:rPr>
              <w:t>灭火器型式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hAnsi="宋体"/>
                <w:sz w:val="18"/>
                <w:szCs w:val="18"/>
              </w:rPr>
            </w:pP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手提式灭火器</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推车式灭火器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严重危险级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9</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中危险级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12</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36" w:type="dxa"/>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轻危险级</w:t>
            </w:r>
          </w:p>
        </w:tc>
        <w:tc>
          <w:tcPr>
            <w:tcW w:w="483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15</w:t>
            </w:r>
          </w:p>
        </w:tc>
        <w:tc>
          <w:tcPr>
            <w:tcW w:w="4832" w:type="dxa"/>
            <w:tcBorders>
              <w:top w:val="single" w:color="auto" w:sz="4" w:space="0"/>
              <w:left w:val="single" w:color="auto" w:sz="4" w:space="0"/>
              <w:bottom w:val="single" w:color="auto" w:sz="4" w:space="0"/>
              <w:right w:val="single" w:color="auto" w:sz="8" w:space="0"/>
            </w:tcBorders>
            <w:vAlign w:val="center"/>
          </w:tcPr>
          <w:p>
            <w:pPr>
              <w:adjustRightInd w:val="0"/>
              <w:snapToGrid w:val="0"/>
              <w:ind w:left="100" w:right="100"/>
              <w:jc w:val="center"/>
              <w:rPr>
                <w:rFonts w:ascii="宋体" w:hAnsi="宋体" w:eastAsia="黑体"/>
                <w:sz w:val="18"/>
                <w:szCs w:val="18"/>
              </w:rPr>
            </w:pPr>
            <w:r>
              <w:rPr>
                <w:rFonts w:hint="eastAsia" w:ascii="宋体" w:hAnsi="宋体"/>
                <w:sz w:val="18"/>
                <w:szCs w:val="18"/>
              </w:rPr>
              <w:t>30</w:t>
            </w:r>
          </w:p>
        </w:tc>
      </w:tr>
    </w:tbl>
    <w:p>
      <w:pPr>
        <w:pStyle w:val="27"/>
        <w:numPr>
          <w:ilvl w:val="0"/>
          <w:numId w:val="0"/>
        </w:numPr>
        <w:adjustRightInd w:val="0"/>
        <w:snapToGrid w:val="0"/>
        <w:spacing w:before="0" w:beforeLines="0" w:after="0" w:afterLines="0"/>
        <w:ind w:left="100" w:leftChars="50" w:right="100"/>
      </w:pPr>
      <w:r>
        <w:rPr>
          <w:rFonts w:hint="eastAsia"/>
        </w:rPr>
        <w:t>表H.5  灭火器的维修期限</w:t>
      </w:r>
    </w:p>
    <w:tbl>
      <w:tblPr>
        <w:tblStyle w:val="13"/>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55"/>
        <w:gridCol w:w="5587"/>
        <w:gridCol w:w="5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gridSpan w:val="2"/>
            <w:tcBorders>
              <w:top w:val="single" w:color="auto" w:sz="4" w:space="0"/>
              <w:left w:val="single" w:color="auto" w:sz="8"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灭火器类型</w:t>
            </w:r>
          </w:p>
        </w:tc>
        <w:tc>
          <w:tcPr>
            <w:tcW w:w="5961" w:type="dxa"/>
            <w:tcBorders>
              <w:top w:val="single" w:color="auto" w:sz="4" w:space="0"/>
              <w:left w:val="single" w:color="auto" w:sz="4" w:space="0"/>
              <w:bottom w:val="single" w:color="auto" w:sz="4" w:space="0"/>
              <w:right w:val="single" w:color="auto" w:sz="8"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维修期限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955"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水基型灭火器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手提式水基型灭火器</w:t>
            </w:r>
          </w:p>
        </w:tc>
        <w:tc>
          <w:tcPr>
            <w:tcW w:w="5961" w:type="dxa"/>
            <w:vMerge w:val="restart"/>
            <w:tcBorders>
              <w:top w:val="single" w:color="auto" w:sz="4" w:space="0"/>
              <w:left w:val="single" w:color="auto" w:sz="4" w:space="0"/>
              <w:bottom w:val="single" w:color="auto" w:sz="4" w:space="0"/>
              <w:right w:val="single" w:color="auto" w:sz="8"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出厂期满3年；</w:t>
            </w:r>
          </w:p>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首次维修以后每满1年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推车式水基型灭火器</w:t>
            </w:r>
          </w:p>
        </w:tc>
        <w:tc>
          <w:tcPr>
            <w:tcW w:w="5961" w:type="dxa"/>
            <w:vMerge w:val="continue"/>
            <w:tcBorders>
              <w:top w:val="single" w:color="auto" w:sz="4" w:space="0"/>
              <w:left w:val="single" w:color="auto" w:sz="4" w:space="0"/>
              <w:bottom w:val="single" w:color="auto" w:sz="4"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955"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干粉灭火器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手提式（贮压式）干粉灭火器</w:t>
            </w:r>
          </w:p>
        </w:tc>
        <w:tc>
          <w:tcPr>
            <w:tcW w:w="5961" w:type="dxa"/>
            <w:vMerge w:val="restart"/>
            <w:tcBorders>
              <w:top w:val="single" w:color="auto" w:sz="4" w:space="0"/>
              <w:left w:val="single" w:color="auto" w:sz="4" w:space="0"/>
              <w:bottom w:val="single" w:color="auto" w:sz="8" w:space="0"/>
              <w:right w:val="single" w:color="auto" w:sz="8"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出厂期满5年；</w:t>
            </w:r>
          </w:p>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首次维修以后每满2年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手提式（储气瓶式）干粉灭火器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推车式（贮压式）干粉灭火器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推车式（储气瓶式）干粉灭火器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955"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洁净气体灭火器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手提式洁净气体灭火器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4"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推车式洁净气体灭火器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955" w:type="dxa"/>
            <w:vMerge w:val="restart"/>
            <w:tcBorders>
              <w:top w:val="single" w:color="auto" w:sz="4" w:space="0"/>
              <w:left w:val="single" w:color="auto" w:sz="8" w:space="0"/>
              <w:bottom w:val="single" w:color="auto" w:sz="8" w:space="0"/>
              <w:right w:val="single" w:color="auto" w:sz="4" w:space="0"/>
            </w:tcBorders>
            <w:vAlign w:val="center"/>
          </w:tcPr>
          <w:p>
            <w:pPr>
              <w:adjustRightInd w:val="0"/>
              <w:snapToGrid w:val="0"/>
              <w:ind w:left="100" w:right="100"/>
              <w:jc w:val="center"/>
              <w:rPr>
                <w:rFonts w:ascii="宋体"/>
                <w:sz w:val="18"/>
              </w:rPr>
            </w:pPr>
            <w:r>
              <w:rPr>
                <w:rFonts w:hint="eastAsia" w:ascii="宋体" w:hAnsi="宋体"/>
                <w:sz w:val="18"/>
                <w:szCs w:val="18"/>
              </w:rPr>
              <w:t>二氧化碳灭火器</w:t>
            </w:r>
          </w:p>
        </w:tc>
        <w:tc>
          <w:tcPr>
            <w:tcW w:w="5587" w:type="dxa"/>
            <w:tcBorders>
              <w:top w:val="single" w:color="auto" w:sz="4" w:space="0"/>
              <w:left w:val="single" w:color="auto" w:sz="4" w:space="0"/>
              <w:bottom w:val="single" w:color="auto" w:sz="4"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手提式二氧化碳灭火器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42" w:type="dxa"/>
            <w:vMerge w:val="continue"/>
            <w:tcBorders>
              <w:top w:val="single" w:color="auto" w:sz="4" w:space="0"/>
              <w:left w:val="single" w:color="auto" w:sz="8" w:space="0"/>
              <w:bottom w:val="single" w:color="auto" w:sz="8" w:space="0"/>
              <w:right w:val="single" w:color="auto" w:sz="4" w:space="0"/>
            </w:tcBorders>
            <w:vAlign w:val="center"/>
          </w:tcPr>
          <w:p>
            <w:pPr>
              <w:widowControl/>
              <w:adjustRightInd w:val="0"/>
              <w:snapToGrid w:val="0"/>
              <w:ind w:left="100" w:right="100"/>
              <w:rPr>
                <w:rFonts w:ascii="宋体"/>
                <w:sz w:val="18"/>
              </w:rPr>
            </w:pPr>
          </w:p>
        </w:tc>
        <w:tc>
          <w:tcPr>
            <w:tcW w:w="5587" w:type="dxa"/>
            <w:tcBorders>
              <w:top w:val="single" w:color="auto" w:sz="4" w:space="0"/>
              <w:left w:val="single" w:color="auto" w:sz="4" w:space="0"/>
              <w:bottom w:val="single" w:color="auto" w:sz="8" w:space="0"/>
              <w:right w:val="single" w:color="auto" w:sz="4" w:space="0"/>
            </w:tcBorders>
            <w:vAlign w:val="center"/>
          </w:tcPr>
          <w:p>
            <w:pPr>
              <w:pStyle w:val="25"/>
              <w:adjustRightInd w:val="0"/>
              <w:snapToGrid w:val="0"/>
              <w:ind w:left="100" w:leftChars="50" w:right="100" w:rightChars="50" w:firstLine="0" w:firstLineChars="0"/>
              <w:jc w:val="center"/>
              <w:rPr>
                <w:rFonts w:hAnsi="宋体"/>
                <w:kern w:val="2"/>
                <w:sz w:val="18"/>
                <w:szCs w:val="18"/>
              </w:rPr>
            </w:pPr>
            <w:r>
              <w:rPr>
                <w:rFonts w:hint="eastAsia" w:hAnsi="宋体"/>
                <w:sz w:val="18"/>
                <w:szCs w:val="18"/>
              </w:rPr>
              <w:t>推车式二氧化碳灭火器</w:t>
            </w:r>
          </w:p>
        </w:tc>
        <w:tc>
          <w:tcPr>
            <w:tcW w:w="5961" w:type="dxa"/>
            <w:vMerge w:val="continue"/>
            <w:tcBorders>
              <w:top w:val="single" w:color="auto" w:sz="4" w:space="0"/>
              <w:left w:val="single" w:color="auto" w:sz="4" w:space="0"/>
              <w:bottom w:val="single" w:color="auto" w:sz="8" w:space="0"/>
              <w:right w:val="single" w:color="auto" w:sz="8" w:space="0"/>
            </w:tcBorders>
            <w:vAlign w:val="center"/>
          </w:tcPr>
          <w:p>
            <w:pPr>
              <w:widowControl/>
              <w:adjustRightInd w:val="0"/>
              <w:snapToGrid w:val="0"/>
              <w:ind w:left="100" w:right="100"/>
              <w:rPr>
                <w:rFonts w:ascii="宋体" w:hAnsi="宋体"/>
                <w:sz w:val="18"/>
                <w:szCs w:val="18"/>
              </w:rPr>
            </w:pPr>
          </w:p>
        </w:tc>
      </w:tr>
    </w:tbl>
    <w:p>
      <w:pPr>
        <w:pStyle w:val="25"/>
        <w:adjustRightInd w:val="0"/>
        <w:snapToGrid w:val="0"/>
        <w:ind w:left="100" w:leftChars="50" w:right="100" w:rightChars="50" w:firstLine="0" w:firstLineChars="0"/>
      </w:pPr>
    </w:p>
    <w:p>
      <w:pPr>
        <w:pStyle w:val="27"/>
        <w:numPr>
          <w:ilvl w:val="0"/>
          <w:numId w:val="0"/>
        </w:numPr>
        <w:adjustRightInd w:val="0"/>
        <w:snapToGrid w:val="0"/>
        <w:spacing w:before="0" w:beforeLines="0" w:after="0" w:afterLines="0"/>
        <w:ind w:left="100" w:leftChars="50" w:right="100"/>
      </w:pPr>
      <w:r>
        <w:rPr>
          <w:rFonts w:hint="eastAsia"/>
        </w:rPr>
        <w:t>表K.2  其他作业类别劳动防护用品的选用要求</w:t>
      </w:r>
    </w:p>
    <w:tbl>
      <w:tblPr>
        <w:tblStyle w:val="13"/>
        <w:tblW w:w="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5"/>
        <w:gridCol w:w="3121"/>
        <w:gridCol w:w="5816"/>
        <w:gridCol w:w="4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956"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作业类别</w:t>
            </w:r>
          </w:p>
        </w:tc>
        <w:tc>
          <w:tcPr>
            <w:tcW w:w="5816"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可以使用的防护用品</w:t>
            </w:r>
          </w:p>
        </w:tc>
        <w:tc>
          <w:tcPr>
            <w:tcW w:w="4731"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建议使用的防护用品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编号</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类别名称</w:t>
            </w:r>
          </w:p>
        </w:tc>
        <w:tc>
          <w:tcPr>
            <w:tcW w:w="5816"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c>
          <w:tcPr>
            <w:tcW w:w="4731"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left="100" w:right="10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A01</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存在物体坠落、撞击的作业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B02安全帽；B39防砸鞋（靴）；B41防刺穿鞋；B68安全网</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B40防滑鞋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A09</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低压带电作业（1 kV以下）</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B31绝缘手套；B42绝缘鞋；B64绝缘服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B02安全帽（带电绝缘性能）；B10防冲击护目镜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A10</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在1 kV ～ 10 kV带电设备上进行高压带电作业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B02安全帽（带电绝缘性能）；B31绝缘手套；B42绝缘鞋；B64绝缘服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B10防冲击护目镜；B63带电作业屏蔽服；B65防电弧服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A11</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高温作业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B02安全帽；B13防强光、紫外线、红外线护目镜或面罩；B34隔热阻燃鞋；B56白帆布类隔热服；B58热防护服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B57镀反射膜类隔热服；B71其他零星防护用品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A12</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易燃易爆场所作业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B23防静电手套；B35防静电鞋；B52化学品防护服；B53阻燃防护服；B54防静电服；B66棉布工作服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B05防尘口罩（防颗粒物呼吸器）；B06防毒面具；B47防尘服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A20</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密闭场所作业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B06防毒面具（供气或携气）；B21防化学品手套；B52化学品防护服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B07空气呼吸器；B69劳动护肤剂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A24</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噪声作业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B18耳塞</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B19耳罩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A29</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射线作业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B12防放射性护目镜；B25防放射性手套；B59防放射性服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A30</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腐蚀性作业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B01工作帽；B16防腐蚀液护目镜；B26耐酸（碱）手套；B43耐酸（碱）鞋；B60防酸（碱）服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B36防化学品鞋（靴）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jc w:val="center"/>
              <w:rPr>
                <w:rFonts w:ascii="宋体" w:hAnsi="宋体"/>
                <w:sz w:val="18"/>
                <w:szCs w:val="18"/>
              </w:rPr>
            </w:pPr>
            <w:r>
              <w:rPr>
                <w:rFonts w:hint="eastAsia" w:ascii="宋体" w:hAnsi="宋体"/>
                <w:sz w:val="18"/>
                <w:szCs w:val="18"/>
              </w:rPr>
              <w:t>A31</w:t>
            </w:r>
          </w:p>
        </w:tc>
        <w:tc>
          <w:tcPr>
            <w:tcW w:w="312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易污作业</w:t>
            </w:r>
          </w:p>
        </w:tc>
        <w:tc>
          <w:tcPr>
            <w:tcW w:w="581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B01工作帽；B06防毒面具；B05防尘口罩（防颗粒物呼吸器）；B26耐酸碱手套；B35防静电鞋；B46一般防护服；B52化学品防护服</w:t>
            </w:r>
          </w:p>
        </w:tc>
        <w:tc>
          <w:tcPr>
            <w:tcW w:w="4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00" w:right="100"/>
              <w:rPr>
                <w:rFonts w:ascii="宋体" w:hAnsi="宋体"/>
                <w:sz w:val="18"/>
                <w:szCs w:val="18"/>
              </w:rPr>
            </w:pPr>
            <w:r>
              <w:rPr>
                <w:rFonts w:hint="eastAsia" w:ascii="宋体" w:hAnsi="宋体"/>
                <w:sz w:val="18"/>
                <w:szCs w:val="18"/>
              </w:rPr>
              <w:t>B27耐油手套；B37耐油鞋；B61防油服；B69劳动护肤剂；B71其他零星防护用品</w:t>
            </w:r>
          </w:p>
        </w:tc>
      </w:tr>
    </w:tbl>
    <w:p>
      <w:pPr>
        <w:adjustRightInd w:val="0"/>
        <w:snapToGrid w:val="0"/>
        <w:ind w:left="100" w:right="100"/>
        <w:jc w:val="center"/>
        <w:rPr>
          <w:rFonts w:ascii="宋体" w:hAnsi="宋体"/>
          <w:szCs w:val="20"/>
        </w:rPr>
      </w:pPr>
    </w:p>
    <w:p>
      <w:pPr>
        <w:adjustRightInd w:val="0"/>
        <w:snapToGrid w:val="0"/>
        <w:ind w:left="100" w:right="100"/>
        <w:jc w:val="center"/>
        <w:rPr>
          <w:rFonts w:ascii="宋体" w:hAnsi="宋体"/>
          <w:szCs w:val="20"/>
        </w:rPr>
      </w:pPr>
      <w:r>
        <w:rPr>
          <w:rFonts w:ascii="宋体" w:hAnsi="宋体"/>
          <w:szCs w:val="20"/>
        </w:rPr>
        <w:drawing>
          <wp:inline distT="0" distB="0" distL="0" distR="0">
            <wp:extent cx="4965700" cy="4965700"/>
            <wp:effectExtent l="0" t="0" r="6350" b="6350"/>
            <wp:docPr id="10" name="图片 10" descr="表B.1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表B.1_00"/>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l="11775" t="26884" r="10269" b="11555"/>
                    <a:stretch>
                      <a:fillRect/>
                    </a:stretch>
                  </pic:blipFill>
                  <pic:spPr>
                    <a:xfrm>
                      <a:off x="0" y="0"/>
                      <a:ext cx="4965700" cy="4965700"/>
                    </a:xfrm>
                    <a:prstGeom prst="rect">
                      <a:avLst/>
                    </a:prstGeom>
                    <a:noFill/>
                    <a:ln>
                      <a:noFill/>
                    </a:ln>
                  </pic:spPr>
                </pic:pic>
              </a:graphicData>
            </a:graphic>
          </wp:inline>
        </w:drawing>
      </w:r>
    </w:p>
    <w:p>
      <w:pPr>
        <w:tabs>
          <w:tab w:val="left" w:pos="8837"/>
        </w:tabs>
        <w:adjustRightInd w:val="0"/>
        <w:snapToGrid w:val="0"/>
        <w:ind w:left="100" w:right="100"/>
        <w:jc w:val="center"/>
        <w:rPr>
          <w:rFonts w:ascii="宋体" w:hAnsi="宋体"/>
          <w:szCs w:val="20"/>
        </w:rPr>
      </w:pPr>
      <w:r>
        <w:rPr>
          <w:rFonts w:ascii="宋体" w:hAnsi="宋体"/>
          <w:szCs w:val="20"/>
        </w:rPr>
        <w:drawing>
          <wp:inline distT="0" distB="0" distL="0" distR="0">
            <wp:extent cx="4942205" cy="4977130"/>
            <wp:effectExtent l="0" t="0" r="0" b="0"/>
            <wp:docPr id="9" name="图片 9" descr="f6e1341133e51f9ce4e7d8e4fb474f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f6e1341133e51f9ce4e7d8e4fb474f9"/>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942205" cy="4977130"/>
                    </a:xfrm>
                    <a:prstGeom prst="rect">
                      <a:avLst/>
                    </a:prstGeom>
                    <a:noFill/>
                    <a:ln>
                      <a:noFill/>
                    </a:ln>
                  </pic:spPr>
                </pic:pic>
              </a:graphicData>
            </a:graphic>
          </wp:inline>
        </w:drawing>
      </w:r>
    </w:p>
    <w:p>
      <w:pPr>
        <w:adjustRightInd w:val="0"/>
        <w:snapToGrid w:val="0"/>
        <w:ind w:left="100" w:right="100"/>
      </w:pPr>
    </w:p>
    <w:sectPr>
      <w:headerReference r:id="rId7" w:type="first"/>
      <w:footerReference r:id="rId10" w:type="first"/>
      <w:headerReference r:id="rId5" w:type="default"/>
      <w:footerReference r:id="rId8" w:type="default"/>
      <w:headerReference r:id="rId6" w:type="even"/>
      <w:footerReference r:id="rId9" w:type="even"/>
      <w:pgSz w:w="16838" w:h="11906" w:orient="landscape"/>
      <w:pgMar w:top="1797" w:right="1440" w:bottom="1797" w:left="1440" w:header="851" w:footer="992" w:gutter="0"/>
      <w:cols w:space="425" w:num="1"/>
      <w:vAlign w:val="center"/>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100" w:right="100"/>
      </w:pPr>
      <w:r>
        <w:separator/>
      </w:r>
    </w:p>
  </w:endnote>
  <w:endnote w:type="continuationSeparator" w:id="1">
    <w:p>
      <w:pPr>
        <w:spacing w:line="240" w:lineRule="auto"/>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Noto Sans CJK SC"/>
    <w:panose1 w:val="00000000000000000000"/>
    <w:charset w:val="86"/>
    <w:family w:val="auto"/>
    <w:pitch w:val="default"/>
    <w:sig w:usb0="00000000" w:usb1="0000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ESI仿宋-GB2312">
    <w:panose1 w:val="02000500000000000000"/>
    <w:charset w:val="86"/>
    <w:family w:val="auto"/>
    <w:pitch w:val="default"/>
    <w:sig w:usb0="800002AF" w:usb1="084F6CF8" w:usb2="00000010" w:usb3="00000000" w:csb0="0004000F" w:csb1="00000000"/>
  </w:font>
  <w:font w:name="等线">
    <w:altName w:val="汉仪中宋简"/>
    <w:panose1 w:val="02010600030101010101"/>
    <w:charset w:val="86"/>
    <w:family w:val="auto"/>
    <w:pitch w:val="default"/>
    <w:sig w:usb0="00000000" w:usb1="00000000" w:usb2="00000016" w:usb3="00000000" w:csb0="0004000F" w:csb1="00000000"/>
  </w:font>
  <w:font w:name="等线">
    <w:altName w:val="仿宋_GB2312"/>
    <w:panose1 w:val="00000000000000000000"/>
    <w:charset w:val="86"/>
    <w:family w:val="auto"/>
    <w:pitch w:val="default"/>
    <w:sig w:usb0="00000000" w:usb1="00000000" w:usb2="00000000" w:usb3="00000000" w:csb0="00000000" w:csb1="00000000"/>
  </w:font>
  <w:font w:name="等线">
    <w:altName w:val="仿宋_GB2312"/>
    <w:panose1 w:val="00000000000000000000"/>
    <w:charset w:val="00"/>
    <w:family w:val="auto"/>
    <w:pitch w:val="default"/>
    <w:sig w:usb0="00000000" w:usb1="00000000" w:usb2="00000000" w:usb3="00000000" w:csb0="00000000" w:csb1="00000000"/>
  </w:font>
  <w:font w:name="等线 Light">
    <w:altName w:val="汉仪中宋简"/>
    <w:panose1 w:val="02010600030101010101"/>
    <w:charset w:val="86"/>
    <w:family w:val="auto"/>
    <w:pitch w:val="default"/>
    <w:sig w:usb0="00000000" w:usb1="00000000" w:usb2="00000016" w:usb3="00000000" w:csb0="0004000F" w:csb1="00000000"/>
  </w:font>
  <w:font w:name="方正书宋简体">
    <w:altName w:val="方正书宋_GBK"/>
    <w:panose1 w:val="00000000000000000000"/>
    <w:charset w:val="00"/>
    <w:family w:val="auto"/>
    <w:pitch w:val="default"/>
    <w:sig w:usb0="00000000" w:usb1="00000000" w:usb2="00000010" w:usb3="00000000" w:csb0="00040000" w:csb1="00000000"/>
  </w:font>
  <w:font w:name="Mongolian Baiti">
    <w:altName w:val="DejaVu Math TeX Gyre"/>
    <w:panose1 w:val="03000500000000000000"/>
    <w:charset w:val="00"/>
    <w:family w:val="script"/>
    <w:pitch w:val="default"/>
    <w:sig w:usb0="00000000" w:usb1="00000000" w:usb2="00020000" w:usb3="00000000" w:csb0="00000001" w:csb1="00000000"/>
  </w:font>
  <w:font w:name="仿宋_GB2312">
    <w:panose1 w:val="02010609030101010101"/>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等线 Light">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100" w:right="10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100" w:right="1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100" w:right="1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left="100" w:right="100"/>
      </w:pPr>
      <w:r>
        <w:separator/>
      </w:r>
    </w:p>
  </w:footnote>
  <w:footnote w:type="continuationSeparator" w:id="1">
    <w:p>
      <w:pPr>
        <w:spacing w:line="240" w:lineRule="auto"/>
        <w:ind w:left="100" w:right="1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100" w:right="1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100" w:right="1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100" w:right="1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F141D3"/>
    <w:multiLevelType w:val="multilevel"/>
    <w:tmpl w:val="0BF141D3"/>
    <w:lvl w:ilvl="0" w:tentative="0">
      <w:start w:val="1"/>
      <mc:AlternateContent>
        <mc:Choice Requires="w14">
          <w:numFmt w:val="custom" w:format="001, 002, 003, ..."/>
        </mc:Choice>
        <mc:Fallback>
          <w:numFmt w:val="decimal"/>
        </mc:Fallback>
      </mc:AlternateContent>
      <w:lvlText w:val="2022.018.02.%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17CE711A"/>
    <w:multiLevelType w:val="multilevel"/>
    <w:tmpl w:val="17CE711A"/>
    <w:lvl w:ilvl="0" w:tentative="0">
      <w:start w:val="1"/>
      <mc:AlternateContent>
        <mc:Choice Requires="w14">
          <w:numFmt w:val="custom" w:format="001, 002, 003, ..."/>
        </mc:Choice>
        <mc:Fallback>
          <w:numFmt w:val="decimal"/>
        </mc:Fallback>
      </mc:AlternateContent>
      <w:lvlText w:val="2022.018.02.%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41A80ACE"/>
    <w:multiLevelType w:val="multilevel"/>
    <w:tmpl w:val="41A80ACE"/>
    <w:lvl w:ilvl="0" w:tentative="0">
      <w:start w:val="1"/>
      <mc:AlternateContent>
        <mc:Choice Requires="w14">
          <w:numFmt w:val="custom" w:format="001, 002, 003, ..."/>
        </mc:Choice>
        <mc:Fallback>
          <w:numFmt w:val="decimal"/>
        </mc:Fallback>
      </mc:AlternateContent>
      <w:lvlText w:val="2022.018.05.%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27"/>
      <w:suff w:val="nothing"/>
      <w:lvlText w:val="表%1.%2　"/>
      <w:lvlJc w:val="left"/>
      <w:pPr>
        <w:ind w:left="6521"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4">
    <w:nsid w:val="60DB050F"/>
    <w:multiLevelType w:val="multilevel"/>
    <w:tmpl w:val="60DB050F"/>
    <w:lvl w:ilvl="0" w:tentative="0">
      <w:start w:val="1"/>
      <mc:AlternateContent>
        <mc:Choice Requires="w14">
          <w:numFmt w:val="custom" w:format="001, 002, 003, ..."/>
        </mc:Choice>
        <mc:Fallback>
          <w:numFmt w:val="decimal"/>
        </mc:Fallback>
      </mc:AlternateContent>
      <w:lvlText w:val="2022.018.04.%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65301CFA"/>
    <w:multiLevelType w:val="multilevel"/>
    <w:tmpl w:val="65301CFA"/>
    <w:lvl w:ilvl="0" w:tentative="0">
      <w:start w:val="1"/>
      <mc:AlternateContent>
        <mc:Choice Requires="w14">
          <w:numFmt w:val="custom" w:format="001, 002, 003, ..."/>
        </mc:Choice>
        <mc:Fallback>
          <w:numFmt w:val="decimal"/>
        </mc:Fallback>
      </mc:AlternateContent>
      <w:lvlText w:val="2022.018.03.%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6DBF04F4"/>
    <w:multiLevelType w:val="multilevel"/>
    <w:tmpl w:val="6DBF04F4"/>
    <w:lvl w:ilvl="0" w:tentative="0">
      <w:start w:val="1"/>
      <w:numFmt w:val="none"/>
      <w:pStyle w:val="31"/>
      <w:suff w:val="nothing"/>
      <w:lvlText w:val="%1注："/>
      <w:lvlJc w:val="left"/>
      <w:pPr>
        <w:ind w:left="1214"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3"/>
  </w:num>
  <w:num w:numId="2">
    <w:abstractNumId w:val="6"/>
  </w:num>
  <w:num w:numId="3">
    <w:abstractNumId w:val="1"/>
  </w:num>
  <w:num w:numId="4">
    <w:abstractNumId w:val="0"/>
  </w:num>
  <w:num w:numId="5">
    <w:abstractNumId w:val="5"/>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wNjY0ZDFjOTkyZGI1NDc2YWY3NmJjMGFmYjU5YTQifQ=="/>
  </w:docVars>
  <w:rsids>
    <w:rsidRoot w:val="00773E4C"/>
    <w:rsid w:val="00000F01"/>
    <w:rsid w:val="00065C80"/>
    <w:rsid w:val="00094A14"/>
    <w:rsid w:val="000E375C"/>
    <w:rsid w:val="00113852"/>
    <w:rsid w:val="00134EE0"/>
    <w:rsid w:val="0017430F"/>
    <w:rsid w:val="001D5443"/>
    <w:rsid w:val="001E2857"/>
    <w:rsid w:val="001F0795"/>
    <w:rsid w:val="001F0CB0"/>
    <w:rsid w:val="002370B6"/>
    <w:rsid w:val="00262B0C"/>
    <w:rsid w:val="00291912"/>
    <w:rsid w:val="0032529B"/>
    <w:rsid w:val="00326575"/>
    <w:rsid w:val="00341EE1"/>
    <w:rsid w:val="00367CC2"/>
    <w:rsid w:val="003F0A4A"/>
    <w:rsid w:val="003F12EE"/>
    <w:rsid w:val="00441B7F"/>
    <w:rsid w:val="00443EC3"/>
    <w:rsid w:val="00471332"/>
    <w:rsid w:val="004B4955"/>
    <w:rsid w:val="004F50E0"/>
    <w:rsid w:val="00562DB2"/>
    <w:rsid w:val="005A035D"/>
    <w:rsid w:val="005B0590"/>
    <w:rsid w:val="005F3E24"/>
    <w:rsid w:val="006320AD"/>
    <w:rsid w:val="006825C6"/>
    <w:rsid w:val="0069669D"/>
    <w:rsid w:val="006E526C"/>
    <w:rsid w:val="006E6883"/>
    <w:rsid w:val="00715B9C"/>
    <w:rsid w:val="00717F37"/>
    <w:rsid w:val="00733639"/>
    <w:rsid w:val="007502F5"/>
    <w:rsid w:val="00773E4C"/>
    <w:rsid w:val="007A3742"/>
    <w:rsid w:val="007C7DDA"/>
    <w:rsid w:val="008B55B4"/>
    <w:rsid w:val="008C090E"/>
    <w:rsid w:val="0091139B"/>
    <w:rsid w:val="009552A8"/>
    <w:rsid w:val="00975BFE"/>
    <w:rsid w:val="00986A50"/>
    <w:rsid w:val="009A4D4B"/>
    <w:rsid w:val="009A4FC9"/>
    <w:rsid w:val="009F3136"/>
    <w:rsid w:val="00A17CC0"/>
    <w:rsid w:val="00A51A34"/>
    <w:rsid w:val="00AB7590"/>
    <w:rsid w:val="00AE5E0C"/>
    <w:rsid w:val="00B23490"/>
    <w:rsid w:val="00B262A5"/>
    <w:rsid w:val="00BA5890"/>
    <w:rsid w:val="00BF43D9"/>
    <w:rsid w:val="00C35C81"/>
    <w:rsid w:val="00C502B8"/>
    <w:rsid w:val="00C8105E"/>
    <w:rsid w:val="00CA12D1"/>
    <w:rsid w:val="00CC3F9F"/>
    <w:rsid w:val="00CD4660"/>
    <w:rsid w:val="00D17E68"/>
    <w:rsid w:val="00D443A7"/>
    <w:rsid w:val="00D76F8D"/>
    <w:rsid w:val="00DF65AB"/>
    <w:rsid w:val="00DF6B9B"/>
    <w:rsid w:val="00E1781C"/>
    <w:rsid w:val="00E22480"/>
    <w:rsid w:val="00EE7ADE"/>
    <w:rsid w:val="00EF2455"/>
    <w:rsid w:val="00F001B6"/>
    <w:rsid w:val="00F13058"/>
    <w:rsid w:val="00F17B15"/>
    <w:rsid w:val="00F31F2A"/>
    <w:rsid w:val="00F448C0"/>
    <w:rsid w:val="00FA1BFF"/>
    <w:rsid w:val="00FF3BEA"/>
    <w:rsid w:val="00FF3FC9"/>
    <w:rsid w:val="08CE4389"/>
    <w:rsid w:val="14EE2C83"/>
    <w:rsid w:val="37BF8405"/>
    <w:rsid w:val="37F938EE"/>
    <w:rsid w:val="387F98A8"/>
    <w:rsid w:val="3DFF49F5"/>
    <w:rsid w:val="3DFFB846"/>
    <w:rsid w:val="3FAB71B0"/>
    <w:rsid w:val="3FFFB845"/>
    <w:rsid w:val="47FB9E98"/>
    <w:rsid w:val="4A6857F4"/>
    <w:rsid w:val="4FFBE66B"/>
    <w:rsid w:val="55FD4597"/>
    <w:rsid w:val="577D51F4"/>
    <w:rsid w:val="57AA095B"/>
    <w:rsid w:val="58DF7E90"/>
    <w:rsid w:val="5C7F5BA2"/>
    <w:rsid w:val="5CF7F8FA"/>
    <w:rsid w:val="5DF56A6B"/>
    <w:rsid w:val="5FBFA1C5"/>
    <w:rsid w:val="5FDED25F"/>
    <w:rsid w:val="5FFB032C"/>
    <w:rsid w:val="68BF348C"/>
    <w:rsid w:val="6BDB6C01"/>
    <w:rsid w:val="6D3DCE79"/>
    <w:rsid w:val="6EB3411E"/>
    <w:rsid w:val="6FBA2F86"/>
    <w:rsid w:val="6FEE5CCE"/>
    <w:rsid w:val="70965DCD"/>
    <w:rsid w:val="71BF74AA"/>
    <w:rsid w:val="733AB975"/>
    <w:rsid w:val="76F3C20E"/>
    <w:rsid w:val="7ACFF4F0"/>
    <w:rsid w:val="7BDF1FD5"/>
    <w:rsid w:val="7BFD2C2E"/>
    <w:rsid w:val="7D3B7BA9"/>
    <w:rsid w:val="7DAF9F21"/>
    <w:rsid w:val="7DEDD05E"/>
    <w:rsid w:val="7F7F923C"/>
    <w:rsid w:val="7F7FC979"/>
    <w:rsid w:val="7FA15CAD"/>
    <w:rsid w:val="7FCBE6D4"/>
    <w:rsid w:val="7FCFD3FA"/>
    <w:rsid w:val="7FD7AD3C"/>
    <w:rsid w:val="7FDFD43F"/>
    <w:rsid w:val="8BEAB26B"/>
    <w:rsid w:val="8CF66559"/>
    <w:rsid w:val="8FF16A93"/>
    <w:rsid w:val="97DE7F3C"/>
    <w:rsid w:val="9FFB5D09"/>
    <w:rsid w:val="AFADA137"/>
    <w:rsid w:val="B6AA7D40"/>
    <w:rsid w:val="BBFF98F1"/>
    <w:rsid w:val="BED7251A"/>
    <w:rsid w:val="BF6E4827"/>
    <w:rsid w:val="BFED2992"/>
    <w:rsid w:val="C7EB4EAE"/>
    <w:rsid w:val="DBFDCD0D"/>
    <w:rsid w:val="DCE7214E"/>
    <w:rsid w:val="DEF550AA"/>
    <w:rsid w:val="E7DF2F4E"/>
    <w:rsid w:val="EFBDEB4F"/>
    <w:rsid w:val="EFDB1282"/>
    <w:rsid w:val="EFDF0FB4"/>
    <w:rsid w:val="F4E5976D"/>
    <w:rsid w:val="F7730AD8"/>
    <w:rsid w:val="F7FF453C"/>
    <w:rsid w:val="F7FF90A4"/>
    <w:rsid w:val="F9DF8CF4"/>
    <w:rsid w:val="F9F37327"/>
    <w:rsid w:val="FBDBDC30"/>
    <w:rsid w:val="FBF3270F"/>
    <w:rsid w:val="FCBFEA13"/>
    <w:rsid w:val="FD953128"/>
    <w:rsid w:val="FDBF4A43"/>
    <w:rsid w:val="FDDE637D"/>
    <w:rsid w:val="FDF9DB81"/>
    <w:rsid w:val="FDFDAD62"/>
    <w:rsid w:val="FDFF3DE5"/>
    <w:rsid w:val="FEEEC9CD"/>
    <w:rsid w:val="FFCA3C30"/>
    <w:rsid w:val="FFD79652"/>
    <w:rsid w:val="FFFEF7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left="105" w:leftChars="50" w:right="105" w:rightChars="50"/>
    </w:pPr>
    <w:rPr>
      <w:rFonts w:ascii="Calibri" w:hAnsi="Calibri" w:eastAsia="宋体" w:cs="Times New Roman"/>
      <w:kern w:val="2"/>
      <w:szCs w:val="22"/>
      <w:lang w:val="en-US" w:eastAsia="zh-CN" w:bidi="ar-SA"/>
    </w:rPr>
  </w:style>
  <w:style w:type="paragraph" w:styleId="3">
    <w:name w:val="heading 1"/>
    <w:basedOn w:val="1"/>
    <w:next w:val="1"/>
    <w:link w:val="20"/>
    <w:qFormat/>
    <w:uiPriority w:val="9"/>
    <w:pPr>
      <w:keepNext/>
      <w:keepLines/>
      <w:spacing w:before="120" w:after="120"/>
      <w:outlineLvl w:val="0"/>
    </w:pPr>
    <w:rPr>
      <w:rFonts w:eastAsia="黑体"/>
      <w:bCs/>
      <w:kern w:val="44"/>
      <w:sz w:val="36"/>
      <w:szCs w:val="44"/>
    </w:rPr>
  </w:style>
  <w:style w:type="paragraph" w:styleId="4">
    <w:name w:val="heading 2"/>
    <w:basedOn w:val="1"/>
    <w:next w:val="1"/>
    <w:link w:val="21"/>
    <w:unhideWhenUsed/>
    <w:qFormat/>
    <w:uiPriority w:val="9"/>
    <w:pPr>
      <w:keepNext/>
      <w:keepLines/>
      <w:spacing w:before="120" w:after="120"/>
      <w:outlineLvl w:val="1"/>
    </w:pPr>
    <w:rPr>
      <w:rFonts w:asciiTheme="majorHAnsi" w:hAnsiTheme="majorHAnsi" w:eastAsiaTheme="majorEastAsia" w:cstheme="majorBidi"/>
      <w:b/>
      <w:bCs/>
      <w:sz w:val="36"/>
      <w:szCs w:val="32"/>
    </w:rPr>
  </w:style>
  <w:style w:type="paragraph" w:styleId="5">
    <w:name w:val="heading 3"/>
    <w:basedOn w:val="1"/>
    <w:next w:val="1"/>
    <w:link w:val="22"/>
    <w:unhideWhenUsed/>
    <w:qFormat/>
    <w:uiPriority w:val="9"/>
    <w:pPr>
      <w:keepNext/>
      <w:keepLines/>
      <w:spacing w:before="260" w:after="260" w:line="416" w:lineRule="auto"/>
      <w:outlineLvl w:val="2"/>
    </w:pPr>
    <w:rPr>
      <w:b/>
      <w:bCs/>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firstLineChars="200"/>
    </w:pPr>
    <w:rPr>
      <w:rFonts w:eastAsiaTheme="minorEastAsia"/>
      <w:kern w:val="0"/>
    </w:rPr>
  </w:style>
  <w:style w:type="paragraph" w:styleId="6">
    <w:name w:val="annotation text"/>
    <w:basedOn w:val="1"/>
    <w:link w:val="36"/>
    <w:semiHidden/>
    <w:unhideWhenUsed/>
    <w:qFormat/>
    <w:uiPriority w:val="99"/>
  </w:style>
  <w:style w:type="paragraph" w:styleId="7">
    <w:name w:val="Balloon Text"/>
    <w:basedOn w:val="1"/>
    <w:link w:val="38"/>
    <w:semiHidden/>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pPr>
    <w:rPr>
      <w:kern w:val="0"/>
      <w:sz w:val="18"/>
      <w:szCs w:val="18"/>
      <w:lang w:val="zh-CN"/>
    </w:rPr>
  </w:style>
  <w:style w:type="paragraph" w:styleId="9">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Normal (Web)"/>
    <w:basedOn w:val="1"/>
    <w:unhideWhenUsed/>
    <w:qFormat/>
    <w:uiPriority w:val="99"/>
    <w:pPr>
      <w:widowControl/>
      <w:spacing w:before="100" w:beforeAutospacing="1" w:after="100" w:afterAutospacing="1"/>
    </w:pPr>
    <w:rPr>
      <w:rFonts w:ascii="宋体" w:hAnsi="宋体" w:cs="宋体"/>
      <w:kern w:val="0"/>
      <w:sz w:val="24"/>
      <w:szCs w:val="24"/>
    </w:rPr>
  </w:style>
  <w:style w:type="paragraph" w:styleId="12">
    <w:name w:val="annotation subject"/>
    <w:basedOn w:val="6"/>
    <w:next w:val="6"/>
    <w:link w:val="37"/>
    <w:semiHidden/>
    <w:unhideWhenUsed/>
    <w:qFormat/>
    <w:uiPriority w:val="99"/>
    <w:rPr>
      <w:b/>
      <w:bCs/>
    </w:rPr>
  </w:style>
  <w:style w:type="table" w:styleId="14">
    <w:name w:val="Table Grid"/>
    <w:basedOn w:val="1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styleId="19">
    <w:name w:val="annotation reference"/>
    <w:basedOn w:val="15"/>
    <w:semiHidden/>
    <w:unhideWhenUsed/>
    <w:qFormat/>
    <w:uiPriority w:val="0"/>
    <w:rPr>
      <w:sz w:val="21"/>
      <w:szCs w:val="21"/>
    </w:rPr>
  </w:style>
  <w:style w:type="character" w:customStyle="1" w:styleId="20">
    <w:name w:val="标题 1 字符"/>
    <w:basedOn w:val="15"/>
    <w:link w:val="3"/>
    <w:qFormat/>
    <w:uiPriority w:val="9"/>
    <w:rPr>
      <w:rFonts w:ascii="Calibri" w:hAnsi="Calibri" w:eastAsia="黑体" w:cs="Times New Roman"/>
      <w:bCs/>
      <w:kern w:val="44"/>
      <w:sz w:val="36"/>
      <w:szCs w:val="44"/>
    </w:rPr>
  </w:style>
  <w:style w:type="character" w:customStyle="1" w:styleId="21">
    <w:name w:val="标题 2 字符"/>
    <w:basedOn w:val="15"/>
    <w:link w:val="4"/>
    <w:qFormat/>
    <w:uiPriority w:val="9"/>
    <w:rPr>
      <w:rFonts w:asciiTheme="majorHAnsi" w:hAnsiTheme="majorHAnsi" w:eastAsiaTheme="majorEastAsia" w:cstheme="majorBidi"/>
      <w:b/>
      <w:bCs/>
      <w:sz w:val="36"/>
      <w:szCs w:val="32"/>
    </w:rPr>
  </w:style>
  <w:style w:type="character" w:customStyle="1" w:styleId="22">
    <w:name w:val="标题 3 字符"/>
    <w:basedOn w:val="15"/>
    <w:link w:val="5"/>
    <w:qFormat/>
    <w:uiPriority w:val="9"/>
    <w:rPr>
      <w:rFonts w:ascii="Calibri" w:hAnsi="Calibri" w:eastAsia="宋体" w:cs="Times New Roman"/>
      <w:b/>
      <w:bCs/>
      <w:szCs w:val="32"/>
    </w:rPr>
  </w:style>
  <w:style w:type="character" w:customStyle="1" w:styleId="23">
    <w:name w:val="页脚 字符"/>
    <w:basedOn w:val="15"/>
    <w:link w:val="8"/>
    <w:qFormat/>
    <w:uiPriority w:val="99"/>
    <w:rPr>
      <w:rFonts w:ascii="Calibri" w:hAnsi="Calibri" w:eastAsia="宋体" w:cs="Times New Roman"/>
      <w:kern w:val="0"/>
      <w:sz w:val="18"/>
      <w:szCs w:val="18"/>
      <w:lang w:val="zh-CN"/>
    </w:rPr>
  </w:style>
  <w:style w:type="paragraph" w:styleId="24">
    <w:name w:val="List Paragraph"/>
    <w:basedOn w:val="1"/>
    <w:qFormat/>
    <w:uiPriority w:val="34"/>
    <w:pPr>
      <w:ind w:firstLine="420" w:firstLineChars="200"/>
    </w:pPr>
  </w:style>
  <w:style w:type="paragraph" w:customStyle="1" w:styleId="25">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6">
    <w:name w:val="标准文件_二级条标题"/>
    <w:basedOn w:val="1"/>
    <w:next w:val="1"/>
    <w:qFormat/>
    <w:uiPriority w:val="99"/>
    <w:pPr>
      <w:widowControl/>
      <w:spacing w:after="160" w:line="259" w:lineRule="auto"/>
      <w:ind w:right="-50" w:rightChars="-50"/>
      <w:outlineLvl w:val="3"/>
    </w:pPr>
    <w:rPr>
      <w:rFonts w:ascii="黑体" w:eastAsia="黑体"/>
      <w:spacing w:val="2"/>
      <w:kern w:val="0"/>
      <w:sz w:val="22"/>
      <w:szCs w:val="20"/>
    </w:rPr>
  </w:style>
  <w:style w:type="paragraph" w:customStyle="1" w:styleId="27">
    <w:name w:val="附录表标题"/>
    <w:basedOn w:val="1"/>
    <w:next w:val="25"/>
    <w:qFormat/>
    <w:uiPriority w:val="99"/>
    <w:pPr>
      <w:numPr>
        <w:ilvl w:val="1"/>
        <w:numId w:val="1"/>
      </w:numPr>
      <w:spacing w:before="50" w:beforeLines="50" w:after="50" w:afterLines="50"/>
      <w:jc w:val="center"/>
    </w:pPr>
    <w:rPr>
      <w:rFonts w:ascii="黑体" w:eastAsia="黑体"/>
      <w:szCs w:val="21"/>
    </w:rPr>
  </w:style>
  <w:style w:type="paragraph" w:customStyle="1" w:styleId="28">
    <w:name w:val="Other|1"/>
    <w:basedOn w:val="1"/>
    <w:qFormat/>
    <w:uiPriority w:val="99"/>
    <w:rPr>
      <w:rFonts w:ascii="宋体" w:hAnsi="宋体" w:cs="宋体"/>
      <w:sz w:val="19"/>
      <w:szCs w:val="19"/>
      <w:lang w:val="zh-TW" w:eastAsia="zh-TW" w:bidi="zh-TW"/>
    </w:rPr>
  </w:style>
  <w:style w:type="character" w:customStyle="1" w:styleId="29">
    <w:name w:val="font61"/>
    <w:basedOn w:val="15"/>
    <w:qFormat/>
    <w:uiPriority w:val="0"/>
    <w:rPr>
      <w:rFonts w:hint="eastAsia" w:ascii="宋体" w:hAnsi="宋体" w:eastAsia="宋体" w:cs="宋体"/>
      <w:color w:val="000000"/>
      <w:sz w:val="20"/>
      <w:szCs w:val="20"/>
      <w:u w:val="none"/>
    </w:rPr>
  </w:style>
  <w:style w:type="character" w:customStyle="1" w:styleId="30">
    <w:name w:val="font51"/>
    <w:basedOn w:val="15"/>
    <w:qFormat/>
    <w:uiPriority w:val="0"/>
    <w:rPr>
      <w:rFonts w:hint="eastAsia" w:ascii="宋体" w:hAnsi="宋体" w:eastAsia="宋体" w:cs="宋体"/>
      <w:color w:val="000000"/>
      <w:sz w:val="20"/>
      <w:szCs w:val="20"/>
      <w:u w:val="none"/>
    </w:rPr>
  </w:style>
  <w:style w:type="paragraph" w:customStyle="1" w:styleId="31">
    <w:name w:val="注："/>
    <w:next w:val="25"/>
    <w:qFormat/>
    <w:uiPriority w:val="99"/>
    <w:pPr>
      <w:widowControl w:val="0"/>
      <w:numPr>
        <w:ilvl w:val="0"/>
        <w:numId w:val="2"/>
      </w:numPr>
      <w:autoSpaceDE w:val="0"/>
      <w:autoSpaceDN w:val="0"/>
      <w:ind w:left="726"/>
      <w:jc w:val="both"/>
    </w:pPr>
    <w:rPr>
      <w:rFonts w:ascii="宋体" w:hAnsi="Times New Roman" w:eastAsia="宋体" w:cs="Times New Roman"/>
      <w:sz w:val="18"/>
      <w:szCs w:val="18"/>
      <w:lang w:val="en-US" w:eastAsia="zh-CN" w:bidi="ar-SA"/>
    </w:rPr>
  </w:style>
  <w:style w:type="paragraph" w:customStyle="1" w:styleId="32">
    <w:name w:val="WPSOffice手动目录 1"/>
    <w:qFormat/>
    <w:uiPriority w:val="99"/>
    <w:rPr>
      <w:rFonts w:ascii="Times New Roman" w:hAnsi="Times New Roman" w:eastAsia="宋体" w:cs="Times New Roman"/>
      <w:lang w:val="en-US" w:eastAsia="zh-CN" w:bidi="ar-SA"/>
    </w:rPr>
  </w:style>
  <w:style w:type="paragraph" w:customStyle="1" w:styleId="33">
    <w:name w:val="表内文字居中"/>
    <w:basedOn w:val="1"/>
    <w:qFormat/>
    <w:uiPriority w:val="99"/>
    <w:pPr>
      <w:snapToGrid w:val="0"/>
      <w:spacing w:line="280" w:lineRule="exact"/>
      <w:jc w:val="center"/>
    </w:pPr>
    <w:rPr>
      <w:rFonts w:ascii="Times New Roman" w:hAnsi="Times New Roman" w:eastAsia="方正书宋简体"/>
      <w:spacing w:val="4"/>
      <w:sz w:val="18"/>
      <w:szCs w:val="21"/>
    </w:rPr>
  </w:style>
  <w:style w:type="character" w:customStyle="1" w:styleId="34">
    <w:name w:val="页眉 字符"/>
    <w:basedOn w:val="15"/>
    <w:link w:val="9"/>
    <w:qFormat/>
    <w:uiPriority w:val="99"/>
    <w:rPr>
      <w:rFonts w:ascii="Calibri" w:hAnsi="Calibri" w:eastAsia="宋体" w:cs="Times New Roman"/>
      <w:sz w:val="18"/>
      <w:szCs w:val="18"/>
    </w:rPr>
  </w:style>
  <w:style w:type="paragraph" w:customStyle="1" w:styleId="35">
    <w:name w:val="msonormal"/>
    <w:basedOn w:val="1"/>
    <w:qFormat/>
    <w:uiPriority w:val="99"/>
    <w:pPr>
      <w:widowControl/>
      <w:spacing w:before="100" w:beforeAutospacing="1" w:after="100" w:afterAutospacing="1"/>
    </w:pPr>
    <w:rPr>
      <w:rFonts w:ascii="宋体" w:hAnsi="宋体" w:cs="宋体"/>
      <w:kern w:val="0"/>
      <w:sz w:val="24"/>
      <w:szCs w:val="24"/>
    </w:rPr>
  </w:style>
  <w:style w:type="character" w:customStyle="1" w:styleId="36">
    <w:name w:val="批注文字 字符"/>
    <w:basedOn w:val="15"/>
    <w:link w:val="6"/>
    <w:semiHidden/>
    <w:qFormat/>
    <w:uiPriority w:val="99"/>
    <w:rPr>
      <w:rFonts w:ascii="Calibri" w:hAnsi="Calibri" w:eastAsia="宋体" w:cs="Times New Roman"/>
    </w:rPr>
  </w:style>
  <w:style w:type="character" w:customStyle="1" w:styleId="37">
    <w:name w:val="批注主题 字符"/>
    <w:basedOn w:val="36"/>
    <w:link w:val="12"/>
    <w:semiHidden/>
    <w:qFormat/>
    <w:uiPriority w:val="99"/>
    <w:rPr>
      <w:rFonts w:ascii="Calibri" w:hAnsi="Calibri" w:eastAsia="宋体" w:cs="Times New Roman"/>
      <w:b/>
      <w:bCs/>
    </w:rPr>
  </w:style>
  <w:style w:type="character" w:customStyle="1" w:styleId="38">
    <w:name w:val="批注框文本 字符"/>
    <w:basedOn w:val="15"/>
    <w:link w:val="7"/>
    <w:semiHidden/>
    <w:qFormat/>
    <w:uiPriority w:val="99"/>
    <w:rPr>
      <w:rFonts w:ascii="Calibri" w:hAnsi="Calibri" w:eastAsia="宋体" w:cs="Times New Roman"/>
      <w:sz w:val="18"/>
      <w:szCs w:val="18"/>
    </w:rPr>
  </w:style>
  <w:style w:type="paragraph" w:customStyle="1" w:styleId="39">
    <w:name w:val="修订1"/>
    <w:semiHidden/>
    <w:qFormat/>
    <w:uiPriority w:val="99"/>
    <w:rPr>
      <w:rFonts w:ascii="Calibri" w:hAnsi="Calibri" w:eastAsia="宋体" w:cs="Times New Roman"/>
      <w:kern w:val="2"/>
      <w:sz w:val="21"/>
      <w:szCs w:val="22"/>
      <w:lang w:val="en-US" w:eastAsia="zh-CN" w:bidi="ar-SA"/>
    </w:rPr>
  </w:style>
  <w:style w:type="paragraph" w:customStyle="1" w:styleId="40">
    <w:name w:val="内容格式"/>
    <w:basedOn w:val="1"/>
    <w:link w:val="41"/>
    <w:qFormat/>
    <w:uiPriority w:val="0"/>
    <w:pPr>
      <w:adjustRightInd w:val="0"/>
      <w:snapToGrid w:val="0"/>
      <w:spacing w:line="240" w:lineRule="auto"/>
      <w:ind w:left="50" w:right="50"/>
    </w:pPr>
    <w:rPr>
      <w:rFonts w:ascii="宋体" w:hAnsi="宋体"/>
      <w:bCs/>
      <w:szCs w:val="20"/>
      <w:lang w:bidi="mn-Mong-CN"/>
    </w:rPr>
  </w:style>
  <w:style w:type="character" w:customStyle="1" w:styleId="41">
    <w:name w:val="内容格式 字符"/>
    <w:basedOn w:val="15"/>
    <w:link w:val="40"/>
    <w:qFormat/>
    <w:uiPriority w:val="0"/>
    <w:rPr>
      <w:rFonts w:ascii="宋体" w:hAnsi="宋体" w:eastAsia="宋体" w:cs="Times New Roman"/>
      <w:bCs/>
      <w:kern w:val="2"/>
      <w:lang w:bidi="mn-Mong-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154</Pages>
  <Words>16016</Words>
  <Characters>91292</Characters>
  <Lines>760</Lines>
  <Paragraphs>214</Paragraphs>
  <TotalTime>67</TotalTime>
  <ScaleCrop>false</ScaleCrop>
  <LinksUpToDate>false</LinksUpToDate>
  <CharactersWithSpaces>107094</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2023-02-25T14:20:00Z</dcterms:created>
  <dc:creator>姚伟</dc:creator>
  <cp:lastModifiedBy>admin</cp:lastModifiedBy>
  <dcterms:modified xsi:type="dcterms:W3CDTF">2023-03-14T14:26:44Z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y fmtid="{D5CDD505-2E9C-101B-9397-08002B2CF9AE}" pid="3" name="ICV">
    <vt:lpwstr>22A7A8BCD5594530BDAABF7D51757E21</vt:lpwstr>
  </property>
  <property fmtid="{D5CDD505-2E9C-101B-9397-08002B2CF9AE}" pid="4" name="_DocHome">
    <vt:i4>-2078170867</vt:i4>
  </property>
</Properties>
</file>