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F57D" w14:textId="77777777" w:rsidR="00AD2A2E" w:rsidRDefault="00000000">
      <w:pPr>
        <w:rPr>
          <w:b/>
          <w:bCs/>
        </w:rPr>
      </w:pPr>
      <w:r>
        <w:rPr>
          <w:rFonts w:ascii="仿宋_GB2312" w:hAnsi="仿宋_GB2312" w:cs="仿宋_GB2312" w:hint="eastAsia"/>
        </w:rPr>
        <w:t>6.</w:t>
      </w:r>
      <w:r>
        <w:rPr>
          <w:rFonts w:hint="eastAsia"/>
        </w:rPr>
        <w:t>北京市化工企业生产安全事故隐患目录</w:t>
      </w:r>
      <w:r>
        <w:rPr>
          <w:rFonts w:ascii="仿宋_GB2312" w:hAnsi="仿宋_GB2312" w:cs="仿宋_GB2312" w:hint="eastAsia"/>
        </w:rPr>
        <w:t>（2023年度）</w:t>
      </w:r>
    </w:p>
    <w:tbl>
      <w:tblPr>
        <w:tblW w:w="151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1134"/>
        <w:gridCol w:w="1134"/>
        <w:gridCol w:w="4666"/>
        <w:gridCol w:w="5833"/>
        <w:gridCol w:w="518"/>
      </w:tblGrid>
      <w:tr w:rsidR="00AD2A2E" w14:paraId="036F8D02" w14:textId="77777777">
        <w:trPr>
          <w:jc w:val="center"/>
        </w:trPr>
        <w:tc>
          <w:tcPr>
            <w:tcW w:w="1828" w:type="dxa"/>
            <w:vMerge w:val="restart"/>
            <w:shd w:val="clear" w:color="000000" w:fill="EEECE1"/>
            <w:noWrap/>
            <w:vAlign w:val="center"/>
          </w:tcPr>
          <w:p w14:paraId="589EB245"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编号</w:t>
            </w:r>
          </w:p>
        </w:tc>
        <w:tc>
          <w:tcPr>
            <w:tcW w:w="2268" w:type="dxa"/>
            <w:gridSpan w:val="2"/>
            <w:shd w:val="clear" w:color="000000" w:fill="EEECE1"/>
            <w:noWrap/>
            <w:vAlign w:val="center"/>
          </w:tcPr>
          <w:p w14:paraId="5B29F68D"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分类</w:t>
            </w:r>
          </w:p>
        </w:tc>
        <w:tc>
          <w:tcPr>
            <w:tcW w:w="4666" w:type="dxa"/>
            <w:vMerge w:val="restart"/>
            <w:shd w:val="clear" w:color="000000" w:fill="EEECE1"/>
            <w:noWrap/>
            <w:vAlign w:val="center"/>
          </w:tcPr>
          <w:p w14:paraId="73E4783B"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隐患内容</w:t>
            </w:r>
          </w:p>
        </w:tc>
        <w:tc>
          <w:tcPr>
            <w:tcW w:w="5833" w:type="dxa"/>
            <w:vMerge w:val="restart"/>
            <w:shd w:val="clear" w:color="000000" w:fill="EEECE1"/>
            <w:noWrap/>
            <w:vAlign w:val="center"/>
          </w:tcPr>
          <w:p w14:paraId="1EE556B0"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依据</w:t>
            </w:r>
          </w:p>
        </w:tc>
        <w:tc>
          <w:tcPr>
            <w:tcW w:w="518" w:type="dxa"/>
            <w:vMerge w:val="restart"/>
            <w:shd w:val="clear" w:color="000000" w:fill="EEECE1"/>
            <w:noWrap/>
            <w:vAlign w:val="center"/>
          </w:tcPr>
          <w:p w14:paraId="5F3B5D1A"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备注</w:t>
            </w:r>
          </w:p>
        </w:tc>
      </w:tr>
      <w:tr w:rsidR="00AD2A2E" w14:paraId="5B83507E" w14:textId="77777777">
        <w:trPr>
          <w:jc w:val="center"/>
        </w:trPr>
        <w:tc>
          <w:tcPr>
            <w:tcW w:w="1828" w:type="dxa"/>
            <w:vMerge/>
            <w:vAlign w:val="center"/>
          </w:tcPr>
          <w:p w14:paraId="6981420B" w14:textId="77777777" w:rsidR="00AD2A2E" w:rsidRDefault="00AD2A2E">
            <w:pPr>
              <w:widowControl/>
              <w:adjustRightInd w:val="0"/>
              <w:snapToGrid w:val="0"/>
              <w:spacing w:line="240" w:lineRule="auto"/>
              <w:jc w:val="center"/>
              <w:rPr>
                <w:rFonts w:ascii="仿宋_GB2312" w:hAnsi="宋体" w:cs="宋体"/>
                <w:color w:val="000000"/>
                <w:kern w:val="0"/>
                <w:sz w:val="20"/>
                <w:szCs w:val="20"/>
              </w:rPr>
            </w:pPr>
          </w:p>
        </w:tc>
        <w:tc>
          <w:tcPr>
            <w:tcW w:w="1134" w:type="dxa"/>
            <w:shd w:val="clear" w:color="000000" w:fill="EEECE1"/>
            <w:noWrap/>
            <w:vAlign w:val="center"/>
          </w:tcPr>
          <w:p w14:paraId="1ECF824E"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一类</w:t>
            </w:r>
          </w:p>
        </w:tc>
        <w:tc>
          <w:tcPr>
            <w:tcW w:w="1134" w:type="dxa"/>
            <w:shd w:val="clear" w:color="000000" w:fill="EEECE1"/>
            <w:noWrap/>
            <w:vAlign w:val="center"/>
          </w:tcPr>
          <w:p w14:paraId="19C6A9CE" w14:textId="77777777" w:rsidR="00AD2A2E" w:rsidRDefault="00000000">
            <w:pPr>
              <w:widowControl/>
              <w:adjustRightInd w:val="0"/>
              <w:snapToGrid w:val="0"/>
              <w:spacing w:line="240" w:lineRule="auto"/>
              <w:jc w:val="center"/>
              <w:rPr>
                <w:rFonts w:ascii="仿宋_GB2312" w:hAnsi="宋体" w:cs="宋体"/>
                <w:b/>
                <w:bCs/>
                <w:color w:val="000000"/>
                <w:kern w:val="0"/>
                <w:sz w:val="20"/>
                <w:szCs w:val="20"/>
              </w:rPr>
            </w:pPr>
            <w:r>
              <w:rPr>
                <w:rFonts w:ascii="仿宋_GB2312" w:hAnsi="宋体" w:cs="宋体" w:hint="eastAsia"/>
                <w:b/>
                <w:bCs/>
                <w:color w:val="000000"/>
                <w:kern w:val="0"/>
                <w:sz w:val="20"/>
                <w:szCs w:val="20"/>
              </w:rPr>
              <w:t>二类</w:t>
            </w:r>
          </w:p>
        </w:tc>
        <w:tc>
          <w:tcPr>
            <w:tcW w:w="4666" w:type="dxa"/>
            <w:vMerge/>
            <w:vAlign w:val="center"/>
          </w:tcPr>
          <w:p w14:paraId="756CF18A" w14:textId="77777777" w:rsidR="00AD2A2E" w:rsidRDefault="00AD2A2E">
            <w:pPr>
              <w:widowControl/>
              <w:adjustRightInd w:val="0"/>
              <w:snapToGrid w:val="0"/>
              <w:spacing w:line="240" w:lineRule="auto"/>
              <w:jc w:val="left"/>
              <w:rPr>
                <w:rFonts w:ascii="仿宋_GB2312" w:hAnsi="宋体" w:cs="宋体"/>
                <w:color w:val="000000"/>
                <w:kern w:val="0"/>
                <w:sz w:val="20"/>
                <w:szCs w:val="20"/>
              </w:rPr>
            </w:pPr>
          </w:p>
        </w:tc>
        <w:tc>
          <w:tcPr>
            <w:tcW w:w="5833" w:type="dxa"/>
            <w:vMerge/>
            <w:vAlign w:val="center"/>
          </w:tcPr>
          <w:p w14:paraId="6F7B33B1" w14:textId="77777777" w:rsidR="00AD2A2E" w:rsidRDefault="00AD2A2E">
            <w:pPr>
              <w:widowControl/>
              <w:adjustRightInd w:val="0"/>
              <w:snapToGrid w:val="0"/>
              <w:spacing w:line="240" w:lineRule="auto"/>
              <w:jc w:val="left"/>
              <w:rPr>
                <w:rFonts w:ascii="仿宋_GB2312" w:hAnsi="宋体" w:cs="宋体"/>
                <w:color w:val="000000"/>
                <w:kern w:val="0"/>
                <w:sz w:val="20"/>
                <w:szCs w:val="20"/>
              </w:rPr>
            </w:pPr>
          </w:p>
        </w:tc>
        <w:tc>
          <w:tcPr>
            <w:tcW w:w="518" w:type="dxa"/>
            <w:vMerge/>
            <w:vAlign w:val="center"/>
          </w:tcPr>
          <w:p w14:paraId="647AF12E" w14:textId="77777777" w:rsidR="00AD2A2E" w:rsidRDefault="00AD2A2E">
            <w:pPr>
              <w:widowControl/>
              <w:adjustRightInd w:val="0"/>
              <w:snapToGrid w:val="0"/>
              <w:spacing w:line="240" w:lineRule="auto"/>
              <w:jc w:val="left"/>
              <w:rPr>
                <w:rFonts w:ascii="仿宋_GB2312" w:hAnsi="宋体" w:cs="宋体"/>
                <w:color w:val="000000"/>
                <w:kern w:val="0"/>
                <w:sz w:val="20"/>
                <w:szCs w:val="20"/>
              </w:rPr>
            </w:pPr>
          </w:p>
        </w:tc>
      </w:tr>
      <w:tr w:rsidR="00AD2A2E" w14:paraId="03D6E1CB" w14:textId="77777777">
        <w:trPr>
          <w:jc w:val="center"/>
        </w:trPr>
        <w:tc>
          <w:tcPr>
            <w:tcW w:w="1828" w:type="dxa"/>
            <w:shd w:val="clear" w:color="auto" w:fill="auto"/>
            <w:vAlign w:val="center"/>
          </w:tcPr>
          <w:p w14:paraId="57B3E95C" w14:textId="77777777" w:rsidR="00AD2A2E" w:rsidRDefault="00AD2A2E">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C0C445E"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DA78ABC"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资质证照类</w:t>
            </w:r>
          </w:p>
        </w:tc>
        <w:tc>
          <w:tcPr>
            <w:tcW w:w="4666" w:type="dxa"/>
            <w:shd w:val="clear" w:color="auto" w:fill="auto"/>
            <w:vAlign w:val="center"/>
          </w:tcPr>
          <w:p w14:paraId="4F823E2A"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使用危险化学品从事生产并且使用量达到规定数量的化工企业（属于危险化学品生产企业的除外），未按规定取得危险化学品安全使用许可证。</w:t>
            </w:r>
          </w:p>
        </w:tc>
        <w:tc>
          <w:tcPr>
            <w:tcW w:w="5833" w:type="dxa"/>
            <w:shd w:val="clear" w:color="auto" w:fill="auto"/>
            <w:vAlign w:val="center"/>
          </w:tcPr>
          <w:p w14:paraId="5297B270"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《危险化学品安全管理条例》第二十九条</w:t>
            </w:r>
          </w:p>
        </w:tc>
        <w:tc>
          <w:tcPr>
            <w:tcW w:w="518" w:type="dxa"/>
            <w:shd w:val="clear" w:color="auto" w:fill="auto"/>
            <w:vAlign w:val="center"/>
          </w:tcPr>
          <w:p w14:paraId="20A56315" w14:textId="77777777" w:rsidR="00AD2A2E" w:rsidRDefault="00AD2A2E">
            <w:pPr>
              <w:widowControl/>
              <w:adjustRightInd w:val="0"/>
              <w:snapToGrid w:val="0"/>
              <w:spacing w:line="240" w:lineRule="auto"/>
              <w:jc w:val="center"/>
              <w:rPr>
                <w:rFonts w:ascii="仿宋_GB2312" w:hAnsi="宋体" w:cs="宋体"/>
                <w:color w:val="000000"/>
                <w:kern w:val="0"/>
                <w:sz w:val="20"/>
                <w:szCs w:val="20"/>
              </w:rPr>
            </w:pPr>
          </w:p>
        </w:tc>
      </w:tr>
      <w:tr w:rsidR="00AD2A2E" w14:paraId="07BAFE7A" w14:textId="77777777">
        <w:trPr>
          <w:jc w:val="center"/>
        </w:trPr>
        <w:tc>
          <w:tcPr>
            <w:tcW w:w="1828" w:type="dxa"/>
            <w:shd w:val="clear" w:color="auto" w:fill="auto"/>
            <w:vAlign w:val="center"/>
          </w:tcPr>
          <w:p w14:paraId="65A0CEF5" w14:textId="77777777" w:rsidR="00AD2A2E" w:rsidRDefault="00AD2A2E">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65307F45"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08F53FC"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机构及人员配备类</w:t>
            </w:r>
          </w:p>
        </w:tc>
        <w:tc>
          <w:tcPr>
            <w:tcW w:w="4666" w:type="dxa"/>
            <w:shd w:val="clear" w:color="auto" w:fill="auto"/>
            <w:vAlign w:val="center"/>
          </w:tcPr>
          <w:p w14:paraId="65959CD2"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未按要求成立安全生产委员会（或安全工作领导小组），未由董事长或总经理担任主任，或未定期召开安全生产委员会会议。</w:t>
            </w:r>
          </w:p>
        </w:tc>
        <w:tc>
          <w:tcPr>
            <w:tcW w:w="5833" w:type="dxa"/>
            <w:shd w:val="clear" w:color="auto" w:fill="auto"/>
            <w:vAlign w:val="center"/>
          </w:tcPr>
          <w:p w14:paraId="37AE1FEC"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《国家安全监管总局关于印发企业安全生产责任体系五落实五到位规定的通知》第三条</w:t>
            </w:r>
          </w:p>
        </w:tc>
        <w:tc>
          <w:tcPr>
            <w:tcW w:w="518" w:type="dxa"/>
            <w:shd w:val="clear" w:color="auto" w:fill="auto"/>
            <w:vAlign w:val="center"/>
          </w:tcPr>
          <w:p w14:paraId="2E0B6F56" w14:textId="77777777" w:rsidR="00AD2A2E" w:rsidRDefault="00AD2A2E">
            <w:pPr>
              <w:widowControl/>
              <w:adjustRightInd w:val="0"/>
              <w:snapToGrid w:val="0"/>
              <w:spacing w:line="240" w:lineRule="auto"/>
              <w:jc w:val="center"/>
              <w:rPr>
                <w:rFonts w:ascii="仿宋_GB2312" w:hAnsi="宋体" w:cs="宋体"/>
                <w:color w:val="000000"/>
                <w:kern w:val="0"/>
                <w:sz w:val="20"/>
                <w:szCs w:val="20"/>
              </w:rPr>
            </w:pPr>
          </w:p>
        </w:tc>
      </w:tr>
      <w:tr w:rsidR="00AD2A2E" w14:paraId="365B3D33" w14:textId="77777777">
        <w:trPr>
          <w:jc w:val="center"/>
        </w:trPr>
        <w:tc>
          <w:tcPr>
            <w:tcW w:w="1828" w:type="dxa"/>
            <w:shd w:val="clear" w:color="auto" w:fill="auto"/>
            <w:vAlign w:val="center"/>
          </w:tcPr>
          <w:p w14:paraId="2BC145B2" w14:textId="77777777" w:rsidR="00AD2A2E" w:rsidRDefault="00AD2A2E">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09B7A0F"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57A6545C"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机构及人员配备类</w:t>
            </w:r>
          </w:p>
        </w:tc>
        <w:tc>
          <w:tcPr>
            <w:tcW w:w="4666" w:type="dxa"/>
            <w:shd w:val="clear" w:color="auto" w:fill="auto"/>
            <w:vAlign w:val="center"/>
          </w:tcPr>
          <w:p w14:paraId="22FF2F21"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未建立涵盖各层级的安全生产管理网络。</w:t>
            </w:r>
          </w:p>
        </w:tc>
        <w:tc>
          <w:tcPr>
            <w:tcW w:w="5833" w:type="dxa"/>
            <w:shd w:val="clear" w:color="auto" w:fill="auto"/>
            <w:vAlign w:val="center"/>
          </w:tcPr>
          <w:p w14:paraId="32BFD96F" w14:textId="77777777" w:rsidR="00AD2A2E" w:rsidRDefault="00EB349E">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1322.2-2017《安全生产等级评定技术规范 第2部分》第3.1.4.2条</w:t>
            </w:r>
          </w:p>
        </w:tc>
        <w:tc>
          <w:tcPr>
            <w:tcW w:w="518" w:type="dxa"/>
            <w:shd w:val="clear" w:color="auto" w:fill="auto"/>
            <w:vAlign w:val="center"/>
          </w:tcPr>
          <w:p w14:paraId="05054601" w14:textId="77777777" w:rsidR="00AD2A2E" w:rsidRDefault="00AD2A2E">
            <w:pPr>
              <w:widowControl/>
              <w:adjustRightInd w:val="0"/>
              <w:snapToGrid w:val="0"/>
              <w:spacing w:line="240" w:lineRule="auto"/>
              <w:jc w:val="center"/>
              <w:rPr>
                <w:rFonts w:ascii="仿宋_GB2312" w:hAnsi="宋体" w:cs="宋体"/>
                <w:color w:val="000000"/>
                <w:kern w:val="0"/>
                <w:sz w:val="20"/>
                <w:szCs w:val="20"/>
              </w:rPr>
            </w:pPr>
          </w:p>
        </w:tc>
      </w:tr>
      <w:tr w:rsidR="00AD2A2E" w14:paraId="3266800A" w14:textId="77777777">
        <w:trPr>
          <w:jc w:val="center"/>
        </w:trPr>
        <w:tc>
          <w:tcPr>
            <w:tcW w:w="1828" w:type="dxa"/>
            <w:shd w:val="clear" w:color="auto" w:fill="auto"/>
            <w:vAlign w:val="center"/>
          </w:tcPr>
          <w:p w14:paraId="6547A724" w14:textId="77777777" w:rsidR="00AD2A2E" w:rsidRDefault="00AD2A2E">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08E3F336"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BF61E02"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机构及人员配备类</w:t>
            </w:r>
          </w:p>
        </w:tc>
        <w:tc>
          <w:tcPr>
            <w:tcW w:w="4666" w:type="dxa"/>
            <w:shd w:val="clear" w:color="auto" w:fill="auto"/>
            <w:vAlign w:val="center"/>
          </w:tcPr>
          <w:p w14:paraId="1BE9FFD5"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未按要求设置安全生产管理机构或配备专（兼）职安全生产管理人员。</w:t>
            </w:r>
          </w:p>
        </w:tc>
        <w:tc>
          <w:tcPr>
            <w:tcW w:w="5833" w:type="dxa"/>
            <w:shd w:val="clear" w:color="auto" w:fill="auto"/>
            <w:vAlign w:val="center"/>
          </w:tcPr>
          <w:p w14:paraId="7B083E54"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《中华人民共和国安全生产法》第二十四条；《北京市安全生产条例》第二十条；《北京市生产经营单位安全生产主体责任规定》第十二条</w:t>
            </w:r>
            <w:r w:rsidR="006B495B">
              <w:rPr>
                <w:rFonts w:ascii="仿宋_GB2312" w:hAnsi="宋体" w:cs="宋体" w:hint="eastAsia"/>
                <w:color w:val="000000"/>
                <w:kern w:val="0"/>
                <w:sz w:val="20"/>
                <w:szCs w:val="20"/>
              </w:rPr>
              <w:t>：“化工企业，从业人员超过一百人的，应当设置安全生产管理机构或者配备专职安全生产管理人员；从业人员在一百人以下的，应当配备专职或者兼职的安全生产管理人员。”</w:t>
            </w:r>
          </w:p>
        </w:tc>
        <w:tc>
          <w:tcPr>
            <w:tcW w:w="518" w:type="dxa"/>
            <w:shd w:val="clear" w:color="auto" w:fill="auto"/>
            <w:vAlign w:val="center"/>
          </w:tcPr>
          <w:p w14:paraId="064C2650" w14:textId="77777777" w:rsidR="00AD2A2E" w:rsidRDefault="00AD2A2E">
            <w:pPr>
              <w:widowControl/>
              <w:adjustRightInd w:val="0"/>
              <w:snapToGrid w:val="0"/>
              <w:spacing w:line="240" w:lineRule="auto"/>
              <w:jc w:val="center"/>
              <w:rPr>
                <w:rFonts w:ascii="仿宋_GB2312" w:hAnsi="宋体" w:cs="宋体"/>
                <w:color w:val="000000"/>
                <w:kern w:val="0"/>
                <w:sz w:val="20"/>
                <w:szCs w:val="20"/>
              </w:rPr>
            </w:pPr>
          </w:p>
        </w:tc>
      </w:tr>
      <w:tr w:rsidR="00AD2A2E" w14:paraId="599EA743" w14:textId="77777777">
        <w:trPr>
          <w:jc w:val="center"/>
        </w:trPr>
        <w:tc>
          <w:tcPr>
            <w:tcW w:w="1828" w:type="dxa"/>
            <w:shd w:val="clear" w:color="auto" w:fill="auto"/>
            <w:vAlign w:val="center"/>
          </w:tcPr>
          <w:p w14:paraId="214AC338" w14:textId="77777777" w:rsidR="00AD2A2E" w:rsidRDefault="00AD2A2E">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C300F0A"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ABDC859" w14:textId="77777777" w:rsidR="00AD2A2E" w:rsidRDefault="000000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机构及人员配备类</w:t>
            </w:r>
          </w:p>
        </w:tc>
        <w:tc>
          <w:tcPr>
            <w:tcW w:w="4666" w:type="dxa"/>
            <w:shd w:val="clear" w:color="auto" w:fill="auto"/>
            <w:vAlign w:val="center"/>
          </w:tcPr>
          <w:p w14:paraId="0DBBF6BF"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从业人员 300人以上企业，未按照不少于安全生产管理人员 15%的比例配备注册安全生产工程师，安全生产管理人员在 7人以下的，未配备注册安全工程师。</w:t>
            </w:r>
          </w:p>
        </w:tc>
        <w:tc>
          <w:tcPr>
            <w:tcW w:w="5833" w:type="dxa"/>
            <w:shd w:val="clear" w:color="auto" w:fill="auto"/>
            <w:vAlign w:val="center"/>
          </w:tcPr>
          <w:p w14:paraId="7EF5ACE3" w14:textId="77777777" w:rsidR="00AD2A2E" w:rsidRDefault="000000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《注册安全工程师管理规定》（国家安全监管总局令第11号）第六条；DB11/T 1322.90-2020《安全生产等级评定技术规范 第90部分：化工企业》第4.1.4.4条</w:t>
            </w:r>
          </w:p>
        </w:tc>
        <w:tc>
          <w:tcPr>
            <w:tcW w:w="518" w:type="dxa"/>
            <w:shd w:val="clear" w:color="auto" w:fill="auto"/>
            <w:vAlign w:val="center"/>
          </w:tcPr>
          <w:p w14:paraId="31F686D0" w14:textId="77777777" w:rsidR="00AD2A2E" w:rsidRDefault="00AD2A2E">
            <w:pPr>
              <w:widowControl/>
              <w:adjustRightInd w:val="0"/>
              <w:snapToGrid w:val="0"/>
              <w:spacing w:line="240" w:lineRule="auto"/>
              <w:jc w:val="center"/>
              <w:rPr>
                <w:rFonts w:ascii="仿宋_GB2312" w:hAnsi="宋体" w:cs="宋体"/>
                <w:color w:val="000000"/>
                <w:kern w:val="0"/>
                <w:sz w:val="20"/>
                <w:szCs w:val="20"/>
              </w:rPr>
            </w:pPr>
          </w:p>
        </w:tc>
      </w:tr>
      <w:tr w:rsidR="003F7E00" w14:paraId="667EE0B7" w14:textId="77777777" w:rsidTr="003F7E00">
        <w:trPr>
          <w:trHeight w:val="409"/>
          <w:jc w:val="center"/>
        </w:trPr>
        <w:tc>
          <w:tcPr>
            <w:tcW w:w="1828" w:type="dxa"/>
            <w:shd w:val="clear" w:color="auto" w:fill="auto"/>
            <w:vAlign w:val="center"/>
          </w:tcPr>
          <w:p w14:paraId="36839D0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722C717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E0973C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责任制类</w:t>
            </w:r>
          </w:p>
        </w:tc>
        <w:tc>
          <w:tcPr>
            <w:tcW w:w="4666" w:type="dxa"/>
            <w:shd w:val="clear" w:color="auto" w:fill="auto"/>
            <w:vAlign w:val="center"/>
          </w:tcPr>
          <w:p w14:paraId="3BAAED2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sidRPr="003F7E00">
              <w:rPr>
                <w:rFonts w:ascii="仿宋_GB2312" w:hAnsi="宋体" w:cs="宋体" w:hint="eastAsia"/>
                <w:color w:val="000000"/>
                <w:kern w:val="0"/>
                <w:sz w:val="20"/>
                <w:szCs w:val="20"/>
              </w:rPr>
              <w:t>未建立与岗位相匹配的全员安全生产责任制</w:t>
            </w:r>
          </w:p>
        </w:tc>
        <w:tc>
          <w:tcPr>
            <w:tcW w:w="5833" w:type="dxa"/>
            <w:vMerge w:val="restart"/>
            <w:shd w:val="clear" w:color="auto" w:fill="auto"/>
            <w:vAlign w:val="center"/>
          </w:tcPr>
          <w:p w14:paraId="27591843" w14:textId="77777777" w:rsidR="003F7E00" w:rsidRDefault="003F7E00" w:rsidP="003F7E00">
            <w:pPr>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《中华人民共和国安全生产法》第四条、第二十二条；《北京市安全生产条例》第四条、第十四条；《北京市生产经营单位安全生产主体责任规定》第三条、第六条；DB11/T 1322.90-2020《安全生产等级评定技术规范 第90部分：化工企业》第4.1.1条；《化工和危险化学品生产经营单位重大生产安全事故隐患判定标准（试行）》第十六条</w:t>
            </w:r>
          </w:p>
        </w:tc>
        <w:tc>
          <w:tcPr>
            <w:tcW w:w="518" w:type="dxa"/>
            <w:shd w:val="clear" w:color="auto" w:fill="auto"/>
            <w:vAlign w:val="center"/>
          </w:tcPr>
          <w:p w14:paraId="2004781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73CD22CC" w14:textId="77777777">
        <w:trPr>
          <w:jc w:val="center"/>
        </w:trPr>
        <w:tc>
          <w:tcPr>
            <w:tcW w:w="1828" w:type="dxa"/>
            <w:shd w:val="clear" w:color="auto" w:fill="auto"/>
            <w:vAlign w:val="center"/>
          </w:tcPr>
          <w:p w14:paraId="2C7FC3B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C8336C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0D8D26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责任制类</w:t>
            </w:r>
          </w:p>
        </w:tc>
        <w:tc>
          <w:tcPr>
            <w:tcW w:w="4666" w:type="dxa"/>
            <w:shd w:val="clear" w:color="auto" w:fill="auto"/>
            <w:vAlign w:val="center"/>
          </w:tcPr>
          <w:p w14:paraId="690C5AA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未明确规定主要负责人或实际控制人是安全生产第一责任人，未明确各岗位的责任人员、责任范围或考核标准等内容，或安全生产责任制未有效下发到各岗位。</w:t>
            </w:r>
          </w:p>
        </w:tc>
        <w:tc>
          <w:tcPr>
            <w:tcW w:w="5833" w:type="dxa"/>
            <w:vMerge/>
            <w:shd w:val="clear" w:color="auto" w:fill="auto"/>
            <w:vAlign w:val="center"/>
          </w:tcPr>
          <w:p w14:paraId="19FFDE4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p>
        </w:tc>
        <w:tc>
          <w:tcPr>
            <w:tcW w:w="518" w:type="dxa"/>
            <w:shd w:val="clear" w:color="auto" w:fill="auto"/>
            <w:vAlign w:val="center"/>
          </w:tcPr>
          <w:p w14:paraId="07FF9A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2792F3A" w14:textId="77777777">
        <w:trPr>
          <w:jc w:val="center"/>
        </w:trPr>
        <w:tc>
          <w:tcPr>
            <w:tcW w:w="1828" w:type="dxa"/>
            <w:shd w:val="clear" w:color="auto" w:fill="auto"/>
            <w:vAlign w:val="center"/>
          </w:tcPr>
          <w:p w14:paraId="1FBCE9F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D696EB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0CA551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责任制类</w:t>
            </w:r>
          </w:p>
        </w:tc>
        <w:tc>
          <w:tcPr>
            <w:tcW w:w="4666" w:type="dxa"/>
            <w:shd w:val="clear" w:color="auto" w:fill="auto"/>
            <w:vAlign w:val="center"/>
          </w:tcPr>
          <w:p w14:paraId="2D2EA2E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安全生产责任制中“主要负责人安全生产职责”与其所应承担的职责不相符。</w:t>
            </w:r>
          </w:p>
        </w:tc>
        <w:tc>
          <w:tcPr>
            <w:tcW w:w="5833" w:type="dxa"/>
            <w:shd w:val="clear" w:color="auto" w:fill="auto"/>
            <w:vAlign w:val="center"/>
          </w:tcPr>
          <w:p w14:paraId="712B5792"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《中华人民共和国安全生产法》第二十一条“生产经营单位的主要负责人对本单位安全生产工作负有下列职责：（一）建立健全并落实本单位全员安全生产责任制，加强安全生产标准化建设；</w:t>
            </w:r>
            <w:r>
              <w:rPr>
                <w:rFonts w:ascii="仿宋_GB2312" w:hAnsi="宋体" w:cs="宋体" w:hint="eastAsia"/>
                <w:color w:val="000000"/>
                <w:kern w:val="0"/>
                <w:sz w:val="20"/>
                <w:szCs w:val="20"/>
              </w:rPr>
              <w:lastRenderedPageBreak/>
              <w:t>（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14:paraId="26CB60F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生产经营单位安全生产主体责任规定》第四条“生产经营单位的主要负责人对本单位的安全生产工作全面负责，履行下列职责：（一）建立、健全并督促落实安全生产责任制；（二）组织制定并督促落实安全生产规章制度和操作规程；（三）组织制定并实施安全生产教育和培训计划；（四）保证安全生产投入的有效实施；（五）每季度至少研究一次安全生产工作；（六）督促检查安全生产工作，及时消除生产安全事故隐患；（七）每年向职工代表大会或者职工大会报告安全生产工作情况；依法不需要建立职工代表大会或者职工大会的小型或者微型企业等规模较小的生产经营单位，应当每年向从业人员通报安全生产工作情况；（八）组织制定并实施生产安全事故应急救援预案；（九）及时、如实报告生产安全事故。”</w:t>
            </w:r>
          </w:p>
        </w:tc>
        <w:tc>
          <w:tcPr>
            <w:tcW w:w="518" w:type="dxa"/>
            <w:shd w:val="clear" w:color="auto" w:fill="auto"/>
            <w:vAlign w:val="center"/>
          </w:tcPr>
          <w:p w14:paraId="6353D75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CCBCB7B" w14:textId="77777777">
        <w:trPr>
          <w:jc w:val="center"/>
        </w:trPr>
        <w:tc>
          <w:tcPr>
            <w:tcW w:w="1828" w:type="dxa"/>
            <w:shd w:val="clear" w:color="auto" w:fill="auto"/>
            <w:vAlign w:val="center"/>
          </w:tcPr>
          <w:p w14:paraId="1E1578E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8CBC53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7C5937D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责任制类</w:t>
            </w:r>
          </w:p>
        </w:tc>
        <w:tc>
          <w:tcPr>
            <w:tcW w:w="4666" w:type="dxa"/>
            <w:shd w:val="clear" w:color="auto" w:fill="auto"/>
            <w:vAlign w:val="center"/>
          </w:tcPr>
          <w:p w14:paraId="05BF94F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安全生产责任制中“安全生产管理机构或安全生产管理人员安全生产职责”与其所应承担的职责不相符。</w:t>
            </w:r>
          </w:p>
        </w:tc>
        <w:tc>
          <w:tcPr>
            <w:tcW w:w="5833" w:type="dxa"/>
            <w:shd w:val="clear" w:color="auto" w:fill="auto"/>
            <w:vAlign w:val="center"/>
          </w:tcPr>
          <w:p w14:paraId="21C360CA"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五条“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tc>
        <w:tc>
          <w:tcPr>
            <w:tcW w:w="518" w:type="dxa"/>
            <w:shd w:val="clear" w:color="auto" w:fill="auto"/>
            <w:vAlign w:val="center"/>
          </w:tcPr>
          <w:p w14:paraId="5F64E5A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89B1D95" w14:textId="77777777">
        <w:trPr>
          <w:jc w:val="center"/>
        </w:trPr>
        <w:tc>
          <w:tcPr>
            <w:tcW w:w="1828" w:type="dxa"/>
            <w:shd w:val="clear" w:color="auto" w:fill="auto"/>
            <w:vAlign w:val="center"/>
          </w:tcPr>
          <w:p w14:paraId="7149F8E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DDEEA9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BD9BA7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5AD3D98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未制定实施生产安全事故隐患排查治理制度。</w:t>
            </w:r>
          </w:p>
        </w:tc>
        <w:tc>
          <w:tcPr>
            <w:tcW w:w="5833" w:type="dxa"/>
            <w:shd w:val="clear" w:color="auto" w:fill="auto"/>
            <w:vAlign w:val="center"/>
          </w:tcPr>
          <w:p w14:paraId="0C4DBA0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《化工和危险化学品生产经营单位重大生产安全事故隐患判定标准（试行）》第十六条</w:t>
            </w:r>
          </w:p>
        </w:tc>
        <w:tc>
          <w:tcPr>
            <w:tcW w:w="518" w:type="dxa"/>
            <w:shd w:val="clear" w:color="auto" w:fill="auto"/>
            <w:vAlign w:val="center"/>
          </w:tcPr>
          <w:p w14:paraId="1CE6AD8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41E998B8" w14:textId="77777777">
        <w:trPr>
          <w:trHeight w:val="90"/>
          <w:jc w:val="center"/>
        </w:trPr>
        <w:tc>
          <w:tcPr>
            <w:tcW w:w="1828" w:type="dxa"/>
            <w:shd w:val="clear" w:color="auto" w:fill="auto"/>
            <w:vAlign w:val="center"/>
          </w:tcPr>
          <w:p w14:paraId="51CAB04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67DA454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BA07D5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6F4AC6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未制定相关安全生产规章制度，安全生产制度不完善或与实际不相符。</w:t>
            </w:r>
          </w:p>
        </w:tc>
        <w:tc>
          <w:tcPr>
            <w:tcW w:w="5833" w:type="dxa"/>
            <w:shd w:val="clear" w:color="auto" w:fill="auto"/>
            <w:vAlign w:val="center"/>
          </w:tcPr>
          <w:p w14:paraId="4386975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单位应当建立的安全生产规章制度至少应包括：（1）安全生产教育和培训制度；（2）安全生产检查制度；（3）生产安全事故隐患排查和治理制度；（4）具有较大危险因素的生产经营场所、设备和设施的安全管理制度；（5）安全生产资金投入或者安全生产费用提取、使用和管理制度；（6）危险作业管理制度；（7）特种作业人员管理制度；（8）劳动防护用品配备和使用制度；（9）安全生产奖励和惩罚制度；（10）生产安全事故报告和调查处理制度；（11）法律、法规、规章规定的其他安全生产制度（安全生产信息管理制度、化工过程风险管理制度/风险分级管控制度、操作规程管理制度、开停车安全条件检查确认制度、设备台账及技术档案和备品配件管理制度、装置泄漏监（检）测管理制度、电气安全管理制度、仪表自动化控制系统安全管理制度、承包商管理制度、变更管理制度等）</w:t>
            </w:r>
          </w:p>
        </w:tc>
        <w:tc>
          <w:tcPr>
            <w:tcW w:w="518" w:type="dxa"/>
            <w:shd w:val="clear" w:color="auto" w:fill="auto"/>
            <w:vAlign w:val="center"/>
          </w:tcPr>
          <w:p w14:paraId="1D6835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C1136A0" w14:textId="77777777">
        <w:trPr>
          <w:jc w:val="center"/>
        </w:trPr>
        <w:tc>
          <w:tcPr>
            <w:tcW w:w="1828" w:type="dxa"/>
            <w:shd w:val="clear" w:color="auto" w:fill="auto"/>
            <w:vAlign w:val="center"/>
          </w:tcPr>
          <w:p w14:paraId="3994999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4D5326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51FAD57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EDBCD0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使用危险化学品的单位未根据所使用的危险化学品的种类、危险特性以及使用量和使用方式建立、健全使用危险化学品的安全管理规章制度和安全操作规程。</w:t>
            </w:r>
          </w:p>
        </w:tc>
        <w:tc>
          <w:tcPr>
            <w:tcW w:w="5833" w:type="dxa"/>
            <w:shd w:val="clear" w:color="auto" w:fill="auto"/>
            <w:vAlign w:val="center"/>
          </w:tcPr>
          <w:p w14:paraId="7154A7F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《危险化学品安全管理条例》第二十八条</w:t>
            </w:r>
          </w:p>
        </w:tc>
        <w:tc>
          <w:tcPr>
            <w:tcW w:w="518" w:type="dxa"/>
            <w:shd w:val="clear" w:color="auto" w:fill="auto"/>
            <w:vAlign w:val="center"/>
          </w:tcPr>
          <w:p w14:paraId="57BC40D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1DF82BF" w14:textId="77777777">
        <w:trPr>
          <w:jc w:val="center"/>
        </w:trPr>
        <w:tc>
          <w:tcPr>
            <w:tcW w:w="1828" w:type="dxa"/>
            <w:shd w:val="clear" w:color="auto" w:fill="auto"/>
            <w:vAlign w:val="center"/>
          </w:tcPr>
          <w:p w14:paraId="6B6977E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828F85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6CBCF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操作规程类</w:t>
            </w:r>
          </w:p>
        </w:tc>
        <w:tc>
          <w:tcPr>
            <w:tcW w:w="4666" w:type="dxa"/>
            <w:shd w:val="clear" w:color="auto" w:fill="auto"/>
            <w:vAlign w:val="center"/>
          </w:tcPr>
          <w:p w14:paraId="33F6E11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未按照法律、法规、规章和国家标准、行业标准，在危险有害因素辨识的基础上，结合工艺流程、技术设备特点以及原辅料危险性等制定安全操作规程或工艺控制指标。</w:t>
            </w:r>
          </w:p>
        </w:tc>
        <w:tc>
          <w:tcPr>
            <w:tcW w:w="5833" w:type="dxa"/>
            <w:shd w:val="clear" w:color="auto" w:fill="auto"/>
            <w:vAlign w:val="center"/>
          </w:tcPr>
          <w:p w14:paraId="21263AC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条；《北京市安全生产条例》第四条；《北京市生产经营单位安全生产主体责任规定》第八条；《化工和危险化学品生产经营单位重大生产安全事故隐患判定标准（试行）》第十七条；DB11/T 1322.90-2020《安全生产等级评定技术规范 第90部分：化工企业》第4.1.1条、第4.1.3条</w:t>
            </w:r>
          </w:p>
        </w:tc>
        <w:tc>
          <w:tcPr>
            <w:tcW w:w="518" w:type="dxa"/>
            <w:shd w:val="clear" w:color="auto" w:fill="auto"/>
            <w:vAlign w:val="center"/>
          </w:tcPr>
          <w:p w14:paraId="52AA7F3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2AFBCAA0" w14:textId="77777777">
        <w:trPr>
          <w:jc w:val="center"/>
        </w:trPr>
        <w:tc>
          <w:tcPr>
            <w:tcW w:w="1828" w:type="dxa"/>
            <w:shd w:val="clear" w:color="auto" w:fill="auto"/>
            <w:vAlign w:val="center"/>
          </w:tcPr>
          <w:p w14:paraId="26A7DFC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141DCF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6C5F41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操作规程类</w:t>
            </w:r>
          </w:p>
        </w:tc>
        <w:tc>
          <w:tcPr>
            <w:tcW w:w="4666" w:type="dxa"/>
            <w:shd w:val="clear" w:color="auto" w:fill="auto"/>
            <w:vAlign w:val="center"/>
          </w:tcPr>
          <w:p w14:paraId="1332482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操作规程中工艺控制指标未明确正常控制范围、高低报警值、高高低低报警值、联锁值等，操作规程与工艺卡片中的工艺控制指标不一致，现场表指示数值、DCS控制值与工艺卡片控制值未保持一致。企业未在作业现场存有最新版本的操作规程文本，以方便现场操作人员随时查用。</w:t>
            </w:r>
          </w:p>
        </w:tc>
        <w:tc>
          <w:tcPr>
            <w:tcW w:w="5833" w:type="dxa"/>
            <w:shd w:val="clear" w:color="auto" w:fill="auto"/>
            <w:vAlign w:val="center"/>
          </w:tcPr>
          <w:p w14:paraId="0B07280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《关于加强化工过程安全管理的指导意见》（安监总管三〔2013〕88号）第八条</w:t>
            </w:r>
          </w:p>
        </w:tc>
        <w:tc>
          <w:tcPr>
            <w:tcW w:w="518" w:type="dxa"/>
            <w:shd w:val="clear" w:color="auto" w:fill="auto"/>
            <w:vAlign w:val="center"/>
          </w:tcPr>
          <w:p w14:paraId="2C96A9C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448728E" w14:textId="77777777">
        <w:trPr>
          <w:jc w:val="center"/>
        </w:trPr>
        <w:tc>
          <w:tcPr>
            <w:tcW w:w="1828" w:type="dxa"/>
            <w:shd w:val="clear" w:color="auto" w:fill="auto"/>
            <w:vAlign w:val="center"/>
          </w:tcPr>
          <w:p w14:paraId="189930B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7EEDF7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1FF527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B0B533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未建立操作规程与工艺卡片管理制度（包括编写、审查、批准、颁发、使用、控制、确认、修改及废止的程序和职责等内容），或制度内容不健全。</w:t>
            </w:r>
          </w:p>
        </w:tc>
        <w:tc>
          <w:tcPr>
            <w:tcW w:w="5833" w:type="dxa"/>
            <w:shd w:val="clear" w:color="auto" w:fill="auto"/>
            <w:vAlign w:val="center"/>
          </w:tcPr>
          <w:p w14:paraId="6C84DA8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《关于加强化工过程安全管理的指导意见》（安监总管三〔2013〕88号）第八条</w:t>
            </w:r>
          </w:p>
        </w:tc>
        <w:tc>
          <w:tcPr>
            <w:tcW w:w="518" w:type="dxa"/>
            <w:shd w:val="clear" w:color="auto" w:fill="auto"/>
            <w:vAlign w:val="center"/>
          </w:tcPr>
          <w:p w14:paraId="3FC0033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4A9751E" w14:textId="77777777">
        <w:trPr>
          <w:jc w:val="center"/>
        </w:trPr>
        <w:tc>
          <w:tcPr>
            <w:tcW w:w="1828" w:type="dxa"/>
            <w:shd w:val="clear" w:color="auto" w:fill="auto"/>
            <w:vAlign w:val="center"/>
          </w:tcPr>
          <w:p w14:paraId="2A5F8B0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E6646E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4BB6D0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记录档案类</w:t>
            </w:r>
          </w:p>
        </w:tc>
        <w:tc>
          <w:tcPr>
            <w:tcW w:w="4666" w:type="dxa"/>
            <w:shd w:val="clear" w:color="auto" w:fill="auto"/>
            <w:vAlign w:val="center"/>
          </w:tcPr>
          <w:p w14:paraId="45518BB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未建立岗位操作记录，未对运行工况定时进行监测、检查，未及时处置工艺报警并记录。</w:t>
            </w:r>
          </w:p>
        </w:tc>
        <w:tc>
          <w:tcPr>
            <w:tcW w:w="5833" w:type="dxa"/>
            <w:shd w:val="clear" w:color="auto" w:fill="auto"/>
            <w:vAlign w:val="center"/>
          </w:tcPr>
          <w:p w14:paraId="6469C8D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《关于加强化工过程安全管理的指导意见》（安监总管三〔2013〕88号）第九条</w:t>
            </w:r>
          </w:p>
        </w:tc>
        <w:tc>
          <w:tcPr>
            <w:tcW w:w="518" w:type="dxa"/>
            <w:shd w:val="clear" w:color="auto" w:fill="auto"/>
            <w:vAlign w:val="center"/>
          </w:tcPr>
          <w:p w14:paraId="494AC66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24CE80F" w14:textId="77777777">
        <w:trPr>
          <w:jc w:val="center"/>
        </w:trPr>
        <w:tc>
          <w:tcPr>
            <w:tcW w:w="1828" w:type="dxa"/>
            <w:shd w:val="clear" w:color="auto" w:fill="auto"/>
            <w:vAlign w:val="center"/>
          </w:tcPr>
          <w:p w14:paraId="03FEDFB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63D9EE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AB2228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记录档案类</w:t>
            </w:r>
          </w:p>
        </w:tc>
        <w:tc>
          <w:tcPr>
            <w:tcW w:w="4666" w:type="dxa"/>
            <w:shd w:val="clear" w:color="auto" w:fill="auto"/>
            <w:vAlign w:val="center"/>
          </w:tcPr>
          <w:p w14:paraId="5EE3348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安全生产会议、安全生产教育和培训、安全生产检查、安全生产隐患排查治理、劳动防护用品购买和发放、危险作业审批、安全生产事故管理、安全工作考核与奖惩、安全生产设备设施维护等记录档案，或记录档案不健全。</w:t>
            </w:r>
          </w:p>
        </w:tc>
        <w:tc>
          <w:tcPr>
            <w:tcW w:w="5833" w:type="dxa"/>
            <w:shd w:val="clear" w:color="auto" w:fill="auto"/>
            <w:vAlign w:val="center"/>
          </w:tcPr>
          <w:p w14:paraId="4D626A8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八条、第四十一条；《安全生产事故隐患排查治理暂行规定》第十条；《北京市安全生产条例》第二十九条；《北京市生产经营单位安全生产主体责任规定》第十七条、第二十八条</w:t>
            </w:r>
          </w:p>
        </w:tc>
        <w:tc>
          <w:tcPr>
            <w:tcW w:w="518" w:type="dxa"/>
            <w:shd w:val="clear" w:color="auto" w:fill="auto"/>
            <w:vAlign w:val="center"/>
          </w:tcPr>
          <w:p w14:paraId="539D3D7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BBD4B1E" w14:textId="77777777">
        <w:trPr>
          <w:jc w:val="center"/>
        </w:trPr>
        <w:tc>
          <w:tcPr>
            <w:tcW w:w="1828" w:type="dxa"/>
            <w:shd w:val="clear" w:color="auto" w:fill="auto"/>
            <w:vAlign w:val="center"/>
          </w:tcPr>
          <w:p w14:paraId="6B6F66C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BC5FC1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565C41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C1FB0B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未根据需求调查编制年度安全教育培训计划。</w:t>
            </w:r>
          </w:p>
        </w:tc>
        <w:tc>
          <w:tcPr>
            <w:tcW w:w="5833" w:type="dxa"/>
            <w:shd w:val="clear" w:color="auto" w:fill="auto"/>
            <w:vAlign w:val="center"/>
          </w:tcPr>
          <w:p w14:paraId="36CB55F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《安全生产等级评定技术规范 第2部分》（DB11/T 1322.2-2017）第3.1.5.1条</w:t>
            </w:r>
          </w:p>
        </w:tc>
        <w:tc>
          <w:tcPr>
            <w:tcW w:w="518" w:type="dxa"/>
            <w:shd w:val="clear" w:color="auto" w:fill="auto"/>
            <w:vAlign w:val="center"/>
          </w:tcPr>
          <w:p w14:paraId="31ACC2E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8F19B57" w14:textId="77777777">
        <w:trPr>
          <w:jc w:val="center"/>
        </w:trPr>
        <w:tc>
          <w:tcPr>
            <w:tcW w:w="1828" w:type="dxa"/>
            <w:shd w:val="clear" w:color="auto" w:fill="auto"/>
            <w:vAlign w:val="center"/>
          </w:tcPr>
          <w:p w14:paraId="37F790C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F79AB5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9AFC16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69CB77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从业人员未按要求接受安全生产教育和培训，不熟悉有关的安全生产规章制度和安全操作规程， 不了解事故应急处理措施，不清楚自身在安全生产方面的权利和义务。</w:t>
            </w:r>
          </w:p>
        </w:tc>
        <w:tc>
          <w:tcPr>
            <w:tcW w:w="5833" w:type="dxa"/>
            <w:shd w:val="clear" w:color="auto" w:fill="auto"/>
            <w:vAlign w:val="center"/>
          </w:tcPr>
          <w:p w14:paraId="1535FDA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《中华人民共和国安全生产法》第二十八条</w:t>
            </w:r>
          </w:p>
        </w:tc>
        <w:tc>
          <w:tcPr>
            <w:tcW w:w="518" w:type="dxa"/>
            <w:shd w:val="clear" w:color="auto" w:fill="auto"/>
            <w:vAlign w:val="center"/>
          </w:tcPr>
          <w:p w14:paraId="5351ECA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C39718C" w14:textId="77777777">
        <w:trPr>
          <w:jc w:val="center"/>
        </w:trPr>
        <w:tc>
          <w:tcPr>
            <w:tcW w:w="1828" w:type="dxa"/>
            <w:shd w:val="clear" w:color="auto" w:fill="auto"/>
            <w:vAlign w:val="center"/>
          </w:tcPr>
          <w:p w14:paraId="37E1211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52BE2F1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5215BB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4BC998C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生使用被派遣劳动者的产经营单位未将被派遣劳动者纳入本单位从业人员统一管理，未对被派遣劳动者进行岗位安全操作规程和安全操作技能的教育和培训。</w:t>
            </w:r>
          </w:p>
        </w:tc>
        <w:tc>
          <w:tcPr>
            <w:tcW w:w="5833" w:type="dxa"/>
            <w:shd w:val="clear" w:color="auto" w:fill="auto"/>
            <w:vAlign w:val="center"/>
          </w:tcPr>
          <w:p w14:paraId="0FF72E2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《中华人民共和国安全生产法》第二十八条</w:t>
            </w:r>
          </w:p>
        </w:tc>
        <w:tc>
          <w:tcPr>
            <w:tcW w:w="518" w:type="dxa"/>
            <w:shd w:val="clear" w:color="auto" w:fill="auto"/>
            <w:vAlign w:val="center"/>
          </w:tcPr>
          <w:p w14:paraId="18B2BE4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E5F0EFB" w14:textId="77777777">
        <w:trPr>
          <w:jc w:val="center"/>
        </w:trPr>
        <w:tc>
          <w:tcPr>
            <w:tcW w:w="1828" w:type="dxa"/>
            <w:shd w:val="clear" w:color="auto" w:fill="auto"/>
            <w:vAlign w:val="center"/>
          </w:tcPr>
          <w:p w14:paraId="62C5C89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58AD6D0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03C580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760A882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接收中等职业学校、高等学校学生实习的生产经营单位未对实习学生进行相应的安全生产教育和培训。</w:t>
            </w:r>
          </w:p>
        </w:tc>
        <w:tc>
          <w:tcPr>
            <w:tcW w:w="5833" w:type="dxa"/>
            <w:shd w:val="clear" w:color="auto" w:fill="auto"/>
            <w:vAlign w:val="center"/>
          </w:tcPr>
          <w:p w14:paraId="0D16C23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《中华人民共和国安全生产法》第二十八条</w:t>
            </w:r>
          </w:p>
        </w:tc>
        <w:tc>
          <w:tcPr>
            <w:tcW w:w="518" w:type="dxa"/>
            <w:shd w:val="clear" w:color="auto" w:fill="auto"/>
            <w:vAlign w:val="center"/>
          </w:tcPr>
          <w:p w14:paraId="3D25CE1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1DEA1DC" w14:textId="77777777">
        <w:trPr>
          <w:jc w:val="center"/>
        </w:trPr>
        <w:tc>
          <w:tcPr>
            <w:tcW w:w="1828" w:type="dxa"/>
            <w:shd w:val="clear" w:color="auto" w:fill="auto"/>
            <w:vAlign w:val="center"/>
          </w:tcPr>
          <w:p w14:paraId="4FCEA4D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59707C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E131DB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4E66B71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采用新工艺、新技术、新材料或者使用新设备，未对从业人员进行专门的安全生产教育和培训。 </w:t>
            </w:r>
          </w:p>
        </w:tc>
        <w:tc>
          <w:tcPr>
            <w:tcW w:w="5833" w:type="dxa"/>
            <w:shd w:val="clear" w:color="auto" w:fill="auto"/>
            <w:vAlign w:val="center"/>
          </w:tcPr>
          <w:p w14:paraId="558AB22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《中华人民共和国安全生产法》第二十九条</w:t>
            </w:r>
          </w:p>
        </w:tc>
        <w:tc>
          <w:tcPr>
            <w:tcW w:w="518" w:type="dxa"/>
            <w:shd w:val="clear" w:color="auto" w:fill="auto"/>
            <w:vAlign w:val="center"/>
          </w:tcPr>
          <w:p w14:paraId="44E0DF2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C98FDE4" w14:textId="77777777">
        <w:trPr>
          <w:jc w:val="center"/>
        </w:trPr>
        <w:tc>
          <w:tcPr>
            <w:tcW w:w="1828" w:type="dxa"/>
            <w:shd w:val="clear" w:color="auto" w:fill="auto"/>
            <w:vAlign w:val="center"/>
          </w:tcPr>
          <w:p w14:paraId="54F4269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579A5D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6DBBC9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6DEA90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主要负责人和安全生产管理人员初次安全培训时间少于32学时。每年再培训时间少于12学时。</w:t>
            </w:r>
          </w:p>
          <w:p w14:paraId="27071F8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危险化学品生产企业主要负责人和安全生产管理人员安全资格培训时间少于48学时；每年再培训时间少于16学时。</w:t>
            </w:r>
          </w:p>
        </w:tc>
        <w:tc>
          <w:tcPr>
            <w:tcW w:w="5833" w:type="dxa"/>
            <w:shd w:val="clear" w:color="auto" w:fill="auto"/>
            <w:vAlign w:val="center"/>
          </w:tcPr>
          <w:p w14:paraId="57522BE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《生产经营单位安全培训规定》第九条</w:t>
            </w:r>
          </w:p>
        </w:tc>
        <w:tc>
          <w:tcPr>
            <w:tcW w:w="518" w:type="dxa"/>
            <w:shd w:val="clear" w:color="auto" w:fill="auto"/>
            <w:vAlign w:val="center"/>
          </w:tcPr>
          <w:p w14:paraId="066C1CC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7D55D41" w14:textId="77777777">
        <w:trPr>
          <w:jc w:val="center"/>
        </w:trPr>
        <w:tc>
          <w:tcPr>
            <w:tcW w:w="1828" w:type="dxa"/>
            <w:shd w:val="clear" w:color="auto" w:fill="auto"/>
            <w:vAlign w:val="center"/>
          </w:tcPr>
          <w:p w14:paraId="145120D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0765D29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84DAA3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687463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未对新上岗的临时工、合同工、劳务工、轮换工、协议工等进行强制性安全培训。</w:t>
            </w:r>
          </w:p>
        </w:tc>
        <w:tc>
          <w:tcPr>
            <w:tcW w:w="5833" w:type="dxa"/>
            <w:shd w:val="clear" w:color="auto" w:fill="auto"/>
            <w:vAlign w:val="center"/>
          </w:tcPr>
          <w:p w14:paraId="0E9D5DB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《生产经营单位安全培训规定》第十一条</w:t>
            </w:r>
          </w:p>
        </w:tc>
        <w:tc>
          <w:tcPr>
            <w:tcW w:w="518" w:type="dxa"/>
            <w:shd w:val="clear" w:color="auto" w:fill="auto"/>
            <w:vAlign w:val="center"/>
          </w:tcPr>
          <w:p w14:paraId="4621C02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7AB09DF" w14:textId="77777777">
        <w:trPr>
          <w:jc w:val="center"/>
        </w:trPr>
        <w:tc>
          <w:tcPr>
            <w:tcW w:w="1828" w:type="dxa"/>
            <w:shd w:val="clear" w:color="auto" w:fill="auto"/>
            <w:vAlign w:val="center"/>
          </w:tcPr>
          <w:p w14:paraId="6F674C3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68E3F6B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0C7D3D7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3BAC271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新上岗的从业人员，岗前安全培训时间少于24学时。危险化学品生产企业新上岗的从业人员安全培训时间少于72学时。从业人员每年再培训的时间少于20学时。</w:t>
            </w:r>
          </w:p>
        </w:tc>
        <w:tc>
          <w:tcPr>
            <w:tcW w:w="5833" w:type="dxa"/>
            <w:shd w:val="clear" w:color="auto" w:fill="auto"/>
            <w:vAlign w:val="center"/>
          </w:tcPr>
          <w:p w14:paraId="566593C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《生产经营单位安全培训规定》第十三条</w:t>
            </w:r>
          </w:p>
        </w:tc>
        <w:tc>
          <w:tcPr>
            <w:tcW w:w="518" w:type="dxa"/>
            <w:shd w:val="clear" w:color="auto" w:fill="auto"/>
            <w:vAlign w:val="center"/>
          </w:tcPr>
          <w:p w14:paraId="11E2DFA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7CA3798" w14:textId="77777777">
        <w:trPr>
          <w:jc w:val="center"/>
        </w:trPr>
        <w:tc>
          <w:tcPr>
            <w:tcW w:w="1828" w:type="dxa"/>
            <w:shd w:val="clear" w:color="auto" w:fill="auto"/>
            <w:vAlign w:val="center"/>
          </w:tcPr>
          <w:p w14:paraId="07A681B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9C9EFF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7307A4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75016C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从业人员在本单位内调整工作岗位或离岗一年以上重新上岗时，未重新接受车间（工段、区、队）和班组级的安全培训。</w:t>
            </w:r>
          </w:p>
        </w:tc>
        <w:tc>
          <w:tcPr>
            <w:tcW w:w="5833" w:type="dxa"/>
            <w:shd w:val="clear" w:color="auto" w:fill="auto"/>
            <w:vAlign w:val="center"/>
          </w:tcPr>
          <w:p w14:paraId="2685DC8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《生产经营单位安全培训规定》第十七条</w:t>
            </w:r>
          </w:p>
        </w:tc>
        <w:tc>
          <w:tcPr>
            <w:tcW w:w="518" w:type="dxa"/>
            <w:shd w:val="clear" w:color="auto" w:fill="auto"/>
            <w:vAlign w:val="center"/>
          </w:tcPr>
          <w:p w14:paraId="786A0EE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CF69EE9" w14:textId="77777777">
        <w:trPr>
          <w:jc w:val="center"/>
        </w:trPr>
        <w:tc>
          <w:tcPr>
            <w:tcW w:w="1828" w:type="dxa"/>
            <w:shd w:val="clear" w:color="auto" w:fill="auto"/>
            <w:vAlign w:val="center"/>
          </w:tcPr>
          <w:p w14:paraId="43C371F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BF745C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83DB11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1BFEDF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班组未按照月度安全活动计划开展安全活动，班组安全活动每月少于2次。</w:t>
            </w:r>
          </w:p>
        </w:tc>
        <w:tc>
          <w:tcPr>
            <w:tcW w:w="5833" w:type="dxa"/>
            <w:shd w:val="clear" w:color="auto" w:fill="auto"/>
            <w:vAlign w:val="center"/>
          </w:tcPr>
          <w:p w14:paraId="0B17F29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《危险化学品从业单位安全标准化通用规范》（AQ 3013-2008）第5.4.6条</w:t>
            </w:r>
          </w:p>
        </w:tc>
        <w:tc>
          <w:tcPr>
            <w:tcW w:w="518" w:type="dxa"/>
            <w:shd w:val="clear" w:color="auto" w:fill="auto"/>
            <w:vAlign w:val="center"/>
          </w:tcPr>
          <w:p w14:paraId="30C1917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CCEA7A8" w14:textId="77777777">
        <w:trPr>
          <w:jc w:val="center"/>
        </w:trPr>
        <w:tc>
          <w:tcPr>
            <w:tcW w:w="1828" w:type="dxa"/>
            <w:shd w:val="clear" w:color="auto" w:fill="auto"/>
            <w:vAlign w:val="center"/>
          </w:tcPr>
          <w:p w14:paraId="6C3AFCD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E03177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7A88CE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832046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未对负责设备泄漏检测和设备维修的员工进行泄漏管理专项培训。</w:t>
            </w:r>
          </w:p>
        </w:tc>
        <w:tc>
          <w:tcPr>
            <w:tcW w:w="5833" w:type="dxa"/>
            <w:shd w:val="clear" w:color="auto" w:fill="auto"/>
            <w:vAlign w:val="center"/>
          </w:tcPr>
          <w:p w14:paraId="21DFF41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《国家安全监管总局关于加强化工企业泄漏管理的指导意见》（安监总管三[2014]94号）</w:t>
            </w:r>
          </w:p>
        </w:tc>
        <w:tc>
          <w:tcPr>
            <w:tcW w:w="518" w:type="dxa"/>
            <w:shd w:val="clear" w:color="auto" w:fill="auto"/>
            <w:vAlign w:val="center"/>
          </w:tcPr>
          <w:p w14:paraId="27A47F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CD603CB" w14:textId="77777777">
        <w:trPr>
          <w:jc w:val="center"/>
        </w:trPr>
        <w:tc>
          <w:tcPr>
            <w:tcW w:w="1828" w:type="dxa"/>
            <w:shd w:val="clear" w:color="auto" w:fill="auto"/>
            <w:vAlign w:val="center"/>
          </w:tcPr>
          <w:p w14:paraId="4F02D25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A4B31B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71BDF29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F1194C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未根据生产经营活动的特点，制定安全风险辨识程序和方法，全面开展安全风险辨识和评估。</w:t>
            </w:r>
          </w:p>
        </w:tc>
        <w:tc>
          <w:tcPr>
            <w:tcW w:w="5833" w:type="dxa"/>
            <w:shd w:val="clear" w:color="auto" w:fill="auto"/>
            <w:vAlign w:val="center"/>
          </w:tcPr>
          <w:p w14:paraId="0084859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《北京市安全生产条例》第二十七条；《国务院安委会办公室关于实施遏制重特大事故工作指南构建双重预防机制的意见》（安委办〔2016〕11号）二（一）</w:t>
            </w:r>
          </w:p>
        </w:tc>
        <w:tc>
          <w:tcPr>
            <w:tcW w:w="518" w:type="dxa"/>
            <w:shd w:val="clear" w:color="auto" w:fill="auto"/>
            <w:vAlign w:val="center"/>
          </w:tcPr>
          <w:p w14:paraId="77066EC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24AE563" w14:textId="77777777">
        <w:trPr>
          <w:jc w:val="center"/>
        </w:trPr>
        <w:tc>
          <w:tcPr>
            <w:tcW w:w="1828" w:type="dxa"/>
            <w:shd w:val="clear" w:color="auto" w:fill="auto"/>
            <w:vAlign w:val="center"/>
          </w:tcPr>
          <w:p w14:paraId="495C6D3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79D6DB7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2ADD06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11FC79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未对辨识出的安全风险进行分类分级，建立安全风险数据库，绘制企业“红橙黄蓝”四色安全风险空间分布图。</w:t>
            </w:r>
          </w:p>
        </w:tc>
        <w:tc>
          <w:tcPr>
            <w:tcW w:w="5833" w:type="dxa"/>
            <w:shd w:val="clear" w:color="auto" w:fill="auto"/>
            <w:vAlign w:val="center"/>
          </w:tcPr>
          <w:p w14:paraId="5B39E2F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《北京市安全生产条例》第二十七条；《国务院安委会办公室关于实施遏制重特大事故工作指南构建双重预防机制的意见》（安委办〔2016〕11号）二（二）</w:t>
            </w:r>
          </w:p>
        </w:tc>
        <w:tc>
          <w:tcPr>
            <w:tcW w:w="518" w:type="dxa"/>
            <w:shd w:val="clear" w:color="auto" w:fill="auto"/>
            <w:vAlign w:val="center"/>
          </w:tcPr>
          <w:p w14:paraId="56C442F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60452A1" w14:textId="77777777">
        <w:trPr>
          <w:jc w:val="center"/>
        </w:trPr>
        <w:tc>
          <w:tcPr>
            <w:tcW w:w="1828" w:type="dxa"/>
            <w:shd w:val="clear" w:color="auto" w:fill="auto"/>
            <w:vAlign w:val="center"/>
          </w:tcPr>
          <w:p w14:paraId="4E4EDC0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25B18C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BD2AB9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C0E82A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未要根据风险评估的结果从组织、制度、技术、应急等方面对安全风险进行有效管控。</w:t>
            </w:r>
          </w:p>
        </w:tc>
        <w:tc>
          <w:tcPr>
            <w:tcW w:w="5833" w:type="dxa"/>
            <w:shd w:val="clear" w:color="auto" w:fill="auto"/>
            <w:vAlign w:val="center"/>
          </w:tcPr>
          <w:p w14:paraId="73B6E14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《北京市安全生产条例》第二十七条；《国务院安委会办公室关于实施遏制重特大事故工作指南构建双重预防机制的意见》（安委办〔2016〕11号）二（三）</w:t>
            </w:r>
          </w:p>
        </w:tc>
        <w:tc>
          <w:tcPr>
            <w:tcW w:w="518" w:type="dxa"/>
            <w:shd w:val="clear" w:color="auto" w:fill="auto"/>
            <w:vAlign w:val="center"/>
          </w:tcPr>
          <w:p w14:paraId="49ECA1B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DC8FED3" w14:textId="77777777">
        <w:trPr>
          <w:jc w:val="center"/>
        </w:trPr>
        <w:tc>
          <w:tcPr>
            <w:tcW w:w="1828" w:type="dxa"/>
            <w:shd w:val="clear" w:color="auto" w:fill="auto"/>
            <w:vAlign w:val="center"/>
          </w:tcPr>
          <w:p w14:paraId="3EE2B4F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A4556B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711BEB3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571C77A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完善安全风险公告制度，管理层或员工未掌握安全风险的基本情况及防范、应急措施，未在醒目位置或重点区域分别设置安全风险公告栏，未制作岗位安全风险告知卡标明主要安全风险、可能引发事故隐患类别、事故后果、管控措施、应急措施及报告方式等内容。存在重大安全风险的工作场所和岗位未设置明显警示标志。</w:t>
            </w:r>
          </w:p>
        </w:tc>
        <w:tc>
          <w:tcPr>
            <w:tcW w:w="5833" w:type="dxa"/>
            <w:shd w:val="clear" w:color="auto" w:fill="auto"/>
            <w:vAlign w:val="center"/>
          </w:tcPr>
          <w:p w14:paraId="7A27ECB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《北京市安全生产条例》第二十七条；《国务院安委会办公室关于实施遏制重特大事故工作指南构建双重预防机制的意见》（安委办〔2016〕11号）二（四）</w:t>
            </w:r>
          </w:p>
        </w:tc>
        <w:tc>
          <w:tcPr>
            <w:tcW w:w="518" w:type="dxa"/>
            <w:shd w:val="clear" w:color="auto" w:fill="auto"/>
            <w:vAlign w:val="center"/>
          </w:tcPr>
          <w:p w14:paraId="68B0B2D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0E602E3" w14:textId="77777777">
        <w:trPr>
          <w:jc w:val="center"/>
        </w:trPr>
        <w:tc>
          <w:tcPr>
            <w:tcW w:w="1828" w:type="dxa"/>
            <w:shd w:val="clear" w:color="auto" w:fill="auto"/>
            <w:vAlign w:val="center"/>
          </w:tcPr>
          <w:p w14:paraId="02E4CB0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E4CC3D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0202378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A19CCE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未组织从业人员针对所从事的作业进行危险源辨识，未建立危险源清单；未定期进行危险源辨识，</w:t>
            </w:r>
            <w:r>
              <w:rPr>
                <w:rFonts w:ascii="仿宋_GB2312" w:hAnsi="宋体" w:cs="宋体" w:hint="eastAsia"/>
                <w:color w:val="000000"/>
                <w:kern w:val="0"/>
                <w:sz w:val="20"/>
                <w:szCs w:val="20"/>
              </w:rPr>
              <w:lastRenderedPageBreak/>
              <w:t>对其控制措施进行评审和更新无相应记录的。构成重大危险源的，未建立重大危险源档案。</w:t>
            </w:r>
          </w:p>
        </w:tc>
        <w:tc>
          <w:tcPr>
            <w:tcW w:w="5833" w:type="dxa"/>
            <w:shd w:val="clear" w:color="auto" w:fill="auto"/>
            <w:vAlign w:val="center"/>
          </w:tcPr>
          <w:p w14:paraId="3AD77C7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DB11/T 1322.2-2017《安全生产等级评定技术规范 第2部分：安全生产通用要求》第3.1.7.1.1、3.1.7.1.2条</w:t>
            </w:r>
          </w:p>
        </w:tc>
        <w:tc>
          <w:tcPr>
            <w:tcW w:w="518" w:type="dxa"/>
            <w:shd w:val="clear" w:color="auto" w:fill="auto"/>
            <w:vAlign w:val="center"/>
          </w:tcPr>
          <w:p w14:paraId="77CF907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C163947" w14:textId="77777777">
        <w:trPr>
          <w:jc w:val="center"/>
        </w:trPr>
        <w:tc>
          <w:tcPr>
            <w:tcW w:w="1828" w:type="dxa"/>
            <w:shd w:val="clear" w:color="auto" w:fill="auto"/>
            <w:vAlign w:val="center"/>
          </w:tcPr>
          <w:p w14:paraId="4309C0C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6834F4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528AF4F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37E3BC8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未在有关制度中对如下厂区内人员密集场所及可能存在的较大风险的情况做出具体要求：</w:t>
            </w:r>
          </w:p>
          <w:p w14:paraId="36C3A3D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（1）试生产投料期间，区域内不得有施工作业；</w:t>
            </w:r>
          </w:p>
          <w:p w14:paraId="0A71361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（2）系统性检修时，同一作业平台或同一受限空间内不得超过9人；</w:t>
            </w:r>
          </w:p>
          <w:p w14:paraId="3433DE2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（3）装置出现泄漏等异常状况时，严格控制现场人员数量。</w:t>
            </w:r>
          </w:p>
        </w:tc>
        <w:tc>
          <w:tcPr>
            <w:tcW w:w="5833" w:type="dxa"/>
            <w:shd w:val="clear" w:color="auto" w:fill="auto"/>
            <w:vAlign w:val="center"/>
          </w:tcPr>
          <w:p w14:paraId="44DF406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《危险化学品企业安全风险隐患排查治理导则》附件“安全基础管理安全风险隐患排查”（五）安全风险管理第五条</w:t>
            </w:r>
          </w:p>
        </w:tc>
        <w:tc>
          <w:tcPr>
            <w:tcW w:w="518" w:type="dxa"/>
            <w:shd w:val="clear" w:color="auto" w:fill="auto"/>
            <w:vAlign w:val="center"/>
          </w:tcPr>
          <w:p w14:paraId="43B7C53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ABDFDEE" w14:textId="77777777">
        <w:trPr>
          <w:jc w:val="center"/>
        </w:trPr>
        <w:tc>
          <w:tcPr>
            <w:tcW w:w="1828" w:type="dxa"/>
            <w:shd w:val="clear" w:color="auto" w:fill="auto"/>
            <w:vAlign w:val="center"/>
          </w:tcPr>
          <w:p w14:paraId="7BA0589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5174A11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02555E7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015533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未建立不可接受安全风险清单；未对不可接受安全风险要及时制定并落实消除、减小或控制安全风险的措施，将安全风险控制在可接受的范围。</w:t>
            </w:r>
          </w:p>
        </w:tc>
        <w:tc>
          <w:tcPr>
            <w:tcW w:w="5833" w:type="dxa"/>
            <w:shd w:val="clear" w:color="auto" w:fill="auto"/>
            <w:vAlign w:val="center"/>
          </w:tcPr>
          <w:p w14:paraId="6D26655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《关于加强化工过程安全管理的指导意见》（安监总管三〔2013〕88号）第七条</w:t>
            </w:r>
          </w:p>
        </w:tc>
        <w:tc>
          <w:tcPr>
            <w:tcW w:w="518" w:type="dxa"/>
            <w:shd w:val="clear" w:color="auto" w:fill="auto"/>
            <w:vAlign w:val="center"/>
          </w:tcPr>
          <w:p w14:paraId="750A647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E7A3E96" w14:textId="77777777">
        <w:trPr>
          <w:jc w:val="center"/>
        </w:trPr>
        <w:tc>
          <w:tcPr>
            <w:tcW w:w="1828" w:type="dxa"/>
            <w:shd w:val="clear" w:color="auto" w:fill="auto"/>
            <w:vAlign w:val="center"/>
          </w:tcPr>
          <w:p w14:paraId="55C36A4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4D1F9D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669ABB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5EECFDF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精细化工企业未按规范性文件要求开展反应安全风险评估。</w:t>
            </w:r>
          </w:p>
        </w:tc>
        <w:tc>
          <w:tcPr>
            <w:tcW w:w="5833" w:type="dxa"/>
            <w:shd w:val="clear" w:color="auto" w:fill="auto"/>
            <w:vAlign w:val="center"/>
          </w:tcPr>
          <w:p w14:paraId="44D8DEC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《化工和危险化学品生产经营单位重大生产安全事故隐患判定标准（试行）》第十九条</w:t>
            </w:r>
          </w:p>
        </w:tc>
        <w:tc>
          <w:tcPr>
            <w:tcW w:w="518" w:type="dxa"/>
            <w:shd w:val="clear" w:color="auto" w:fill="auto"/>
            <w:vAlign w:val="center"/>
          </w:tcPr>
          <w:p w14:paraId="4EE83D0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46E7135E" w14:textId="77777777">
        <w:trPr>
          <w:trHeight w:val="90"/>
          <w:jc w:val="center"/>
        </w:trPr>
        <w:tc>
          <w:tcPr>
            <w:tcW w:w="1828" w:type="dxa"/>
            <w:shd w:val="clear" w:color="auto" w:fill="auto"/>
            <w:vAlign w:val="center"/>
          </w:tcPr>
          <w:p w14:paraId="72BFE2C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66C91F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E27785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5B402E0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未对相关原料、中间产品、产品及副产物的热稳定性测试及蒸馏、干燥、储存等单元操作进行风险评估。</w:t>
            </w:r>
          </w:p>
        </w:tc>
        <w:tc>
          <w:tcPr>
            <w:tcW w:w="5833" w:type="dxa"/>
            <w:shd w:val="clear" w:color="auto" w:fill="auto"/>
            <w:vAlign w:val="center"/>
          </w:tcPr>
          <w:p w14:paraId="48333BA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《危险化学品安全专项整治三年行动实施方案》（安委〔2020〕3 号）</w:t>
            </w:r>
          </w:p>
        </w:tc>
        <w:tc>
          <w:tcPr>
            <w:tcW w:w="518" w:type="dxa"/>
            <w:shd w:val="clear" w:color="auto" w:fill="auto"/>
            <w:vAlign w:val="center"/>
          </w:tcPr>
          <w:p w14:paraId="70855A5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5D5BB68" w14:textId="77777777">
        <w:trPr>
          <w:jc w:val="center"/>
        </w:trPr>
        <w:tc>
          <w:tcPr>
            <w:tcW w:w="1828" w:type="dxa"/>
            <w:shd w:val="clear" w:color="auto" w:fill="auto"/>
            <w:vAlign w:val="center"/>
          </w:tcPr>
          <w:p w14:paraId="29DEE8A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6790DB0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B30C0B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585E06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未建立事故隐患报告和举报奖励制度，未制定符合企业实际的隐患排查治理清单，未明确和细化隐患排查的事项、内容和频次。</w:t>
            </w:r>
          </w:p>
        </w:tc>
        <w:tc>
          <w:tcPr>
            <w:tcW w:w="5833" w:type="dxa"/>
            <w:shd w:val="clear" w:color="auto" w:fill="auto"/>
            <w:vAlign w:val="center"/>
          </w:tcPr>
          <w:p w14:paraId="2A28295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《安全生产事故隐患排查治理暂行规定》第十一条；《国务院安委会办公室关于实施遏制重特大事故工作指南构建双重预防机制的意见》（安委办〔2016〕11号）二（五）</w:t>
            </w:r>
          </w:p>
        </w:tc>
        <w:tc>
          <w:tcPr>
            <w:tcW w:w="518" w:type="dxa"/>
            <w:shd w:val="clear" w:color="auto" w:fill="auto"/>
            <w:vAlign w:val="center"/>
          </w:tcPr>
          <w:p w14:paraId="61C6772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1171179" w14:textId="77777777">
        <w:trPr>
          <w:jc w:val="center"/>
        </w:trPr>
        <w:tc>
          <w:tcPr>
            <w:tcW w:w="1828" w:type="dxa"/>
            <w:shd w:val="clear" w:color="auto" w:fill="auto"/>
            <w:vAlign w:val="center"/>
          </w:tcPr>
          <w:p w14:paraId="43834D0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F2E49D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DD3066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33A9AD0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未通过与政府部门互联互通的隐患排查治理信息系统，全过程记录报告隐患排查治理情况。</w:t>
            </w:r>
          </w:p>
        </w:tc>
        <w:tc>
          <w:tcPr>
            <w:tcW w:w="5833" w:type="dxa"/>
            <w:shd w:val="clear" w:color="auto" w:fill="auto"/>
            <w:vAlign w:val="center"/>
          </w:tcPr>
          <w:p w14:paraId="0F60D3C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《国务院安委会办公室关于实施遏制重特大事故工作指南构建双重预防机制的意见》（安委办〔2016〕11号）二（五）</w:t>
            </w:r>
          </w:p>
        </w:tc>
        <w:tc>
          <w:tcPr>
            <w:tcW w:w="518" w:type="dxa"/>
            <w:shd w:val="clear" w:color="auto" w:fill="auto"/>
            <w:vAlign w:val="center"/>
          </w:tcPr>
          <w:p w14:paraId="10A9E7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88C7D51" w14:textId="77777777">
        <w:trPr>
          <w:jc w:val="center"/>
        </w:trPr>
        <w:tc>
          <w:tcPr>
            <w:tcW w:w="1828" w:type="dxa"/>
            <w:shd w:val="clear" w:color="auto" w:fill="auto"/>
            <w:vAlign w:val="center"/>
          </w:tcPr>
          <w:p w14:paraId="4D06448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047F7BE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9C23C9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B9B529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对于排查发现的重大事故隐患，未向负有安全生产监督管理职责的部门报告，未制定并实施严格的隐患治理方案做到责任、措施、资金、时限和预案“五落实”，实现隐患排查治理的闭环管理。</w:t>
            </w:r>
          </w:p>
        </w:tc>
        <w:tc>
          <w:tcPr>
            <w:tcW w:w="5833" w:type="dxa"/>
            <w:shd w:val="clear" w:color="auto" w:fill="auto"/>
            <w:vAlign w:val="center"/>
          </w:tcPr>
          <w:p w14:paraId="30BCF7C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《国务院安委会办公室关于实施遏制重特大事故工作指南构建双重预防机制的意见》（安委办〔2016〕11号）二（五）</w:t>
            </w:r>
          </w:p>
        </w:tc>
        <w:tc>
          <w:tcPr>
            <w:tcW w:w="518" w:type="dxa"/>
            <w:shd w:val="clear" w:color="auto" w:fill="auto"/>
            <w:vAlign w:val="center"/>
          </w:tcPr>
          <w:p w14:paraId="5C7A3D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4029ED3" w14:textId="77777777">
        <w:trPr>
          <w:jc w:val="center"/>
        </w:trPr>
        <w:tc>
          <w:tcPr>
            <w:tcW w:w="1828" w:type="dxa"/>
            <w:shd w:val="clear" w:color="auto" w:fill="auto"/>
            <w:vAlign w:val="center"/>
          </w:tcPr>
          <w:p w14:paraId="20B067B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A86ADE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0BCAE83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23A4EC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未对事故隐患治理方案的实施过程进行跟踪、核查，事故隐患治理工作未按计划和规定的要求在限定期限内完成。在事故隐患治理过程中，未采取相应的防范措施。未对事故隐患治理情况进行登记和效果评估。</w:t>
            </w:r>
          </w:p>
        </w:tc>
        <w:tc>
          <w:tcPr>
            <w:tcW w:w="5833" w:type="dxa"/>
            <w:shd w:val="clear" w:color="auto" w:fill="auto"/>
            <w:vAlign w:val="center"/>
          </w:tcPr>
          <w:p w14:paraId="11ED243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1322.2-2017《安全生产等级评定技术规范 第2部分：安全生产通用要求》第3.1.7.3.2、3.1.7.3.3条。</w:t>
            </w:r>
          </w:p>
        </w:tc>
        <w:tc>
          <w:tcPr>
            <w:tcW w:w="518" w:type="dxa"/>
            <w:shd w:val="clear" w:color="auto" w:fill="auto"/>
            <w:vAlign w:val="center"/>
          </w:tcPr>
          <w:p w14:paraId="5193892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A875AFC" w14:textId="77777777">
        <w:trPr>
          <w:jc w:val="center"/>
        </w:trPr>
        <w:tc>
          <w:tcPr>
            <w:tcW w:w="1828" w:type="dxa"/>
            <w:shd w:val="clear" w:color="auto" w:fill="auto"/>
            <w:vAlign w:val="center"/>
          </w:tcPr>
          <w:p w14:paraId="1393DAD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A3E7FC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AB8FF2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6621AA2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负责人未组织建立并落实安全风险分级管控和隐患排查治理双重预防工作机制，未督促、检查本单位的安全生产工作，及时消除生产安全事故隐患；未按照要求使用生产安全事故隐患排查治理信息系统，如实记录事故隐患情况，未对事故隐患治理实行闭环管理；安全风险隐患排查方式及频次、内容不符合DB11/T 1322.2要求。</w:t>
            </w:r>
          </w:p>
        </w:tc>
        <w:tc>
          <w:tcPr>
            <w:tcW w:w="5833" w:type="dxa"/>
            <w:shd w:val="clear" w:color="auto" w:fill="auto"/>
            <w:vAlign w:val="center"/>
          </w:tcPr>
          <w:p w14:paraId="34886C7C"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《中华人民共和国安全生产法》第二十一条；《北京市生产安全事故隐患排查治理办法》第十六条；DB11/T 1322.2-2017《安全生产等级评定技术规范 第2部分：安全生产通用要求》第3.1.7.2.3条。</w:t>
            </w:r>
          </w:p>
        </w:tc>
        <w:tc>
          <w:tcPr>
            <w:tcW w:w="518" w:type="dxa"/>
            <w:shd w:val="clear" w:color="auto" w:fill="auto"/>
            <w:vAlign w:val="center"/>
          </w:tcPr>
          <w:p w14:paraId="70B6A9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B84D26D" w14:textId="77777777">
        <w:trPr>
          <w:jc w:val="center"/>
        </w:trPr>
        <w:tc>
          <w:tcPr>
            <w:tcW w:w="1828" w:type="dxa"/>
            <w:shd w:val="clear" w:color="auto" w:fill="auto"/>
            <w:vAlign w:val="center"/>
          </w:tcPr>
          <w:p w14:paraId="25BA368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73CA059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2844A4E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6C771D4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企业未每月向从业人员通报事故隐患排查治理情况。重大事故隐患整改过程中，企业未向从业人员公示事故隐患所在位置、危害程度、影响范围和应急措施等信息。</w:t>
            </w:r>
          </w:p>
        </w:tc>
        <w:tc>
          <w:tcPr>
            <w:tcW w:w="5833" w:type="dxa"/>
            <w:shd w:val="clear" w:color="auto" w:fill="auto"/>
            <w:vAlign w:val="center"/>
          </w:tcPr>
          <w:p w14:paraId="30AB84E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《北京市生产安全事故隐患排查治理办法》第十一条</w:t>
            </w:r>
          </w:p>
          <w:p w14:paraId="3F15CC9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1322.2-2017《安全生产等级评定技术规范 第2部分：安全生产通用要求》第3.1.7.4.1条</w:t>
            </w:r>
          </w:p>
        </w:tc>
        <w:tc>
          <w:tcPr>
            <w:tcW w:w="518" w:type="dxa"/>
            <w:shd w:val="clear" w:color="auto" w:fill="auto"/>
            <w:vAlign w:val="center"/>
          </w:tcPr>
          <w:p w14:paraId="425755D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D3DA0A1" w14:textId="77777777">
        <w:trPr>
          <w:jc w:val="center"/>
        </w:trPr>
        <w:tc>
          <w:tcPr>
            <w:tcW w:w="1828" w:type="dxa"/>
            <w:shd w:val="clear" w:color="auto" w:fill="auto"/>
            <w:vAlign w:val="center"/>
          </w:tcPr>
          <w:p w14:paraId="218977B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31C2725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0BA9125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7030E61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未建立识别和获取适用的安全生产法律、法规、标准及其他要求管理制度，未及时识别和获取，定期更新，或未将相关内容及时传达给相关方。</w:t>
            </w:r>
          </w:p>
        </w:tc>
        <w:tc>
          <w:tcPr>
            <w:tcW w:w="5833" w:type="dxa"/>
            <w:shd w:val="clear" w:color="auto" w:fill="auto"/>
            <w:vAlign w:val="center"/>
          </w:tcPr>
          <w:p w14:paraId="1EF929A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《危险化学品从业单位安全标准化通用规范》（AQ 3013-2008）第5.3.1条</w:t>
            </w:r>
          </w:p>
        </w:tc>
        <w:tc>
          <w:tcPr>
            <w:tcW w:w="518" w:type="dxa"/>
            <w:shd w:val="clear" w:color="auto" w:fill="auto"/>
            <w:vAlign w:val="center"/>
          </w:tcPr>
          <w:p w14:paraId="57BF9ED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84595C8" w14:textId="77777777">
        <w:trPr>
          <w:jc w:val="center"/>
        </w:trPr>
        <w:tc>
          <w:tcPr>
            <w:tcW w:w="1828" w:type="dxa"/>
            <w:shd w:val="clear" w:color="auto" w:fill="auto"/>
            <w:vAlign w:val="center"/>
          </w:tcPr>
          <w:p w14:paraId="70482A5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B8DFE9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316CA16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F77B4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变更管理制度（包括变更的事项、起始时间，变更的技术基础、可能带来的安全风险，消除和控制安全风险的措施，是否修改操作规程，变更审批权限，变更实施后的安全验收等），未将工艺、设备、仪表、电气、公用工程、备件、材料、化学品、生产组织方式和人员等方面发生的所有变化纳入变更管理制度，未建立健全变更管理档案。</w:t>
            </w:r>
          </w:p>
        </w:tc>
        <w:tc>
          <w:tcPr>
            <w:tcW w:w="5833" w:type="dxa"/>
            <w:shd w:val="clear" w:color="auto" w:fill="auto"/>
            <w:vAlign w:val="center"/>
          </w:tcPr>
          <w:p w14:paraId="1E505C5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《关于加强化工过程安全管理的指导意见》（安监总管三〔2013〕88号）第二十二条</w:t>
            </w:r>
          </w:p>
        </w:tc>
        <w:tc>
          <w:tcPr>
            <w:tcW w:w="518" w:type="dxa"/>
            <w:shd w:val="clear" w:color="auto" w:fill="auto"/>
            <w:vAlign w:val="center"/>
          </w:tcPr>
          <w:p w14:paraId="0BF31A5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71253D4" w14:textId="77777777">
        <w:trPr>
          <w:jc w:val="center"/>
        </w:trPr>
        <w:tc>
          <w:tcPr>
            <w:tcW w:w="1828" w:type="dxa"/>
            <w:shd w:val="clear" w:color="auto" w:fill="auto"/>
            <w:vAlign w:val="center"/>
          </w:tcPr>
          <w:p w14:paraId="708FD2E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589AB91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2BA903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A3BCCC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变更未经审批，变更申请表/审批表内容不全面（变更内容、风险分析、控制措施，受变更影响的本企业人员和承包商作业人员及对这些人员的培训情况）；变更后未对相关规程、图纸资料进行修改，并对相关人员进行培训；变更后未对相关的操作规程进行修订，并对相关人员进行培训。</w:t>
            </w:r>
          </w:p>
        </w:tc>
        <w:tc>
          <w:tcPr>
            <w:tcW w:w="5833" w:type="dxa"/>
            <w:shd w:val="clear" w:color="auto" w:fill="auto"/>
            <w:vAlign w:val="center"/>
          </w:tcPr>
          <w:p w14:paraId="332AA6C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《关于加强化工过程安全管理的指导意见》（安监总管三〔2013〕88号）第二十三、二十四条</w:t>
            </w:r>
          </w:p>
        </w:tc>
        <w:tc>
          <w:tcPr>
            <w:tcW w:w="518" w:type="dxa"/>
            <w:shd w:val="clear" w:color="auto" w:fill="auto"/>
            <w:vAlign w:val="center"/>
          </w:tcPr>
          <w:p w14:paraId="064C457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86A893D" w14:textId="77777777">
        <w:trPr>
          <w:jc w:val="center"/>
        </w:trPr>
        <w:tc>
          <w:tcPr>
            <w:tcW w:w="1828" w:type="dxa"/>
            <w:shd w:val="clear" w:color="auto" w:fill="auto"/>
            <w:vAlign w:val="center"/>
          </w:tcPr>
          <w:p w14:paraId="5526C52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4B67556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5643DBC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4545F0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未依法参加工伤保险，未按要求为全体员工缴纳保险费；属于国家规定的高危行业、领域的生产经营单位未投保安全生产责任保险。</w:t>
            </w:r>
          </w:p>
        </w:tc>
        <w:tc>
          <w:tcPr>
            <w:tcW w:w="5833" w:type="dxa"/>
            <w:shd w:val="clear" w:color="auto" w:fill="auto"/>
            <w:vAlign w:val="center"/>
          </w:tcPr>
          <w:p w14:paraId="33CF612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《中华人民共和国安全生产法》第五十一条</w:t>
            </w:r>
          </w:p>
        </w:tc>
        <w:tc>
          <w:tcPr>
            <w:tcW w:w="518" w:type="dxa"/>
            <w:shd w:val="clear" w:color="auto" w:fill="auto"/>
            <w:vAlign w:val="center"/>
          </w:tcPr>
          <w:p w14:paraId="35CF9A9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9E811A6" w14:textId="77777777">
        <w:trPr>
          <w:jc w:val="center"/>
        </w:trPr>
        <w:tc>
          <w:tcPr>
            <w:tcW w:w="1828" w:type="dxa"/>
            <w:shd w:val="clear" w:color="auto" w:fill="auto"/>
            <w:vAlign w:val="center"/>
          </w:tcPr>
          <w:p w14:paraId="2A1FE91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53CE7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w:t>
            </w:r>
          </w:p>
        </w:tc>
        <w:tc>
          <w:tcPr>
            <w:tcW w:w="1134" w:type="dxa"/>
            <w:shd w:val="clear" w:color="auto" w:fill="auto"/>
            <w:vAlign w:val="center"/>
          </w:tcPr>
          <w:p w14:paraId="2C78A83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2BD99B7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未与从业人员订立的劳动合同，劳动合同中未载明有关保障从业人员劳动安全、防止职业危害的事项、依法为从业人员办理工伤保险的事项。</w:t>
            </w:r>
          </w:p>
          <w:p w14:paraId="562F315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与从业人员订立“免除或者减轻企业对从业人员因生产安全事故伤亡依法应承担的责任”的协议。 </w:t>
            </w:r>
          </w:p>
        </w:tc>
        <w:tc>
          <w:tcPr>
            <w:tcW w:w="5833" w:type="dxa"/>
            <w:shd w:val="clear" w:color="auto" w:fill="auto"/>
            <w:vAlign w:val="center"/>
          </w:tcPr>
          <w:p w14:paraId="6B8517D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《中华人民共和国安全生产法》第五十二条</w:t>
            </w:r>
          </w:p>
        </w:tc>
        <w:tc>
          <w:tcPr>
            <w:tcW w:w="518" w:type="dxa"/>
            <w:shd w:val="clear" w:color="auto" w:fill="auto"/>
            <w:vAlign w:val="center"/>
          </w:tcPr>
          <w:p w14:paraId="6BF0A49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1208669" w14:textId="77777777">
        <w:trPr>
          <w:jc w:val="center"/>
        </w:trPr>
        <w:tc>
          <w:tcPr>
            <w:tcW w:w="1828" w:type="dxa"/>
            <w:shd w:val="clear" w:color="auto" w:fill="auto"/>
            <w:vAlign w:val="center"/>
          </w:tcPr>
          <w:p w14:paraId="26F9D57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597EE6A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w:t>
            </w:r>
          </w:p>
        </w:tc>
        <w:tc>
          <w:tcPr>
            <w:tcW w:w="1134" w:type="dxa"/>
            <w:shd w:val="clear" w:color="auto" w:fill="auto"/>
            <w:vAlign w:val="center"/>
          </w:tcPr>
          <w:p w14:paraId="7462BBB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0AC8B77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未为从业人员提供符合国家标准或者行业标准的劳动防护用品。</w:t>
            </w:r>
          </w:p>
        </w:tc>
        <w:tc>
          <w:tcPr>
            <w:tcW w:w="5833" w:type="dxa"/>
            <w:shd w:val="clear" w:color="auto" w:fill="auto"/>
            <w:vAlign w:val="center"/>
          </w:tcPr>
          <w:p w14:paraId="51335BD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《中华人民共和国安全生产法》第四十五条</w:t>
            </w:r>
          </w:p>
        </w:tc>
        <w:tc>
          <w:tcPr>
            <w:tcW w:w="518" w:type="dxa"/>
            <w:shd w:val="clear" w:color="auto" w:fill="auto"/>
            <w:vAlign w:val="center"/>
          </w:tcPr>
          <w:p w14:paraId="3A56705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C15C282" w14:textId="77777777">
        <w:trPr>
          <w:jc w:val="center"/>
        </w:trPr>
        <w:tc>
          <w:tcPr>
            <w:tcW w:w="1828" w:type="dxa"/>
            <w:shd w:val="clear" w:color="auto" w:fill="auto"/>
            <w:vAlign w:val="center"/>
          </w:tcPr>
          <w:p w14:paraId="77D1249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2D75826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w:t>
            </w:r>
          </w:p>
        </w:tc>
        <w:tc>
          <w:tcPr>
            <w:tcW w:w="1134" w:type="dxa"/>
            <w:shd w:val="clear" w:color="auto" w:fill="auto"/>
            <w:vAlign w:val="center"/>
          </w:tcPr>
          <w:p w14:paraId="1018A9A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D300A7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未对重大危险</w:t>
            </w:r>
            <w:proofErr w:type="gramStart"/>
            <w:r>
              <w:rPr>
                <w:rFonts w:ascii="仿宋_GB2312" w:hAnsi="宋体" w:cs="宋体" w:hint="eastAsia"/>
                <w:color w:val="000000"/>
                <w:kern w:val="0"/>
                <w:sz w:val="20"/>
                <w:szCs w:val="20"/>
              </w:rPr>
              <w:t>源登记</w:t>
            </w:r>
            <w:proofErr w:type="gramEnd"/>
            <w:r>
              <w:rPr>
                <w:rFonts w:ascii="仿宋_GB2312" w:hAnsi="宋体" w:cs="宋体" w:hint="eastAsia"/>
                <w:color w:val="000000"/>
                <w:kern w:val="0"/>
                <w:sz w:val="20"/>
                <w:szCs w:val="20"/>
              </w:rPr>
              <w:t>建档，未进行定期检测、评估、监控，未制定应急预案，或未告知从业人员、相关人员在紧急情况下应当采取的应急措施。</w:t>
            </w:r>
          </w:p>
        </w:tc>
        <w:tc>
          <w:tcPr>
            <w:tcW w:w="5833" w:type="dxa"/>
            <w:shd w:val="clear" w:color="auto" w:fill="auto"/>
            <w:vAlign w:val="center"/>
          </w:tcPr>
          <w:p w14:paraId="570D1DB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《中华人民共和国安全生产法》第四十条</w:t>
            </w:r>
          </w:p>
        </w:tc>
        <w:tc>
          <w:tcPr>
            <w:tcW w:w="518" w:type="dxa"/>
            <w:shd w:val="clear" w:color="auto" w:fill="auto"/>
            <w:vAlign w:val="center"/>
          </w:tcPr>
          <w:p w14:paraId="2D39C3B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7963454" w14:textId="77777777">
        <w:trPr>
          <w:jc w:val="center"/>
        </w:trPr>
        <w:tc>
          <w:tcPr>
            <w:tcW w:w="1828" w:type="dxa"/>
            <w:shd w:val="clear" w:color="auto" w:fill="auto"/>
            <w:vAlign w:val="center"/>
          </w:tcPr>
          <w:p w14:paraId="09D3C13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shd w:val="clear" w:color="auto" w:fill="auto"/>
            <w:vAlign w:val="center"/>
          </w:tcPr>
          <w:p w14:paraId="1BA7C8C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w:t>
            </w:r>
          </w:p>
        </w:tc>
        <w:tc>
          <w:tcPr>
            <w:tcW w:w="1134" w:type="dxa"/>
            <w:shd w:val="clear" w:color="auto" w:fill="auto"/>
            <w:vAlign w:val="center"/>
          </w:tcPr>
          <w:p w14:paraId="0ECE287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制度类</w:t>
            </w:r>
          </w:p>
        </w:tc>
        <w:tc>
          <w:tcPr>
            <w:tcW w:w="4666" w:type="dxa"/>
            <w:shd w:val="clear" w:color="auto" w:fill="auto"/>
            <w:vAlign w:val="center"/>
          </w:tcPr>
          <w:p w14:paraId="15F2996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未规定将本单位重大危险源及有关安全措施、应急措施报有关地方人民政府应急管理部门和有关部门备案。</w:t>
            </w:r>
          </w:p>
        </w:tc>
        <w:tc>
          <w:tcPr>
            <w:tcW w:w="5833" w:type="dxa"/>
            <w:shd w:val="clear" w:color="auto" w:fill="auto"/>
            <w:vAlign w:val="center"/>
          </w:tcPr>
          <w:p w14:paraId="16F48F5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《中华人民共和国安全生产法》第四十条</w:t>
            </w:r>
          </w:p>
        </w:tc>
        <w:tc>
          <w:tcPr>
            <w:tcW w:w="518" w:type="dxa"/>
            <w:shd w:val="clear" w:color="auto" w:fill="auto"/>
            <w:vAlign w:val="center"/>
          </w:tcPr>
          <w:p w14:paraId="3F2ACA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D57724D" w14:textId="77777777">
        <w:trPr>
          <w:jc w:val="center"/>
        </w:trPr>
        <w:tc>
          <w:tcPr>
            <w:tcW w:w="1828" w:type="dxa"/>
            <w:shd w:val="clear" w:color="auto" w:fill="auto"/>
            <w:vAlign w:val="center"/>
          </w:tcPr>
          <w:p w14:paraId="0862720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3BD458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vAlign w:val="center"/>
          </w:tcPr>
          <w:p w14:paraId="4F20C40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应急救援类</w:t>
            </w:r>
          </w:p>
        </w:tc>
        <w:tc>
          <w:tcPr>
            <w:tcW w:w="4666" w:type="dxa"/>
            <w:shd w:val="clear" w:color="auto" w:fill="auto"/>
            <w:vAlign w:val="center"/>
          </w:tcPr>
          <w:p w14:paraId="370D09A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未按要求编制应急救援预案，应急救援预案未经评审或论证，或应急预案未按要求进行备案。重点岗位未设置岗位应急处置卡。</w:t>
            </w:r>
          </w:p>
        </w:tc>
        <w:tc>
          <w:tcPr>
            <w:tcW w:w="5833" w:type="dxa"/>
            <w:shd w:val="clear" w:color="auto" w:fill="auto"/>
            <w:vAlign w:val="center"/>
          </w:tcPr>
          <w:p w14:paraId="0A38F01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《中华人民共和国安全生产法》第八十一条；《北京市安全生产条例》第五十五条；《生产安全事故应急条例》第五条；《生产安全事故应急预案管理办法》第二十一条、第二十六条；DB11/T 1322.2-2017《安全生产等级评定技术规范 第2部分：安全生产通用要求》第3.1.6.2.3条</w:t>
            </w:r>
          </w:p>
        </w:tc>
        <w:tc>
          <w:tcPr>
            <w:tcW w:w="518" w:type="dxa"/>
            <w:shd w:val="clear" w:color="auto" w:fill="auto"/>
            <w:vAlign w:val="center"/>
          </w:tcPr>
          <w:p w14:paraId="4560603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3839ABC" w14:textId="77777777">
        <w:trPr>
          <w:jc w:val="center"/>
        </w:trPr>
        <w:tc>
          <w:tcPr>
            <w:tcW w:w="1828" w:type="dxa"/>
            <w:shd w:val="clear" w:color="auto" w:fill="auto"/>
            <w:vAlign w:val="center"/>
          </w:tcPr>
          <w:p w14:paraId="3EC8AB6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365119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vAlign w:val="center"/>
          </w:tcPr>
          <w:p w14:paraId="4760D95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应急救援类</w:t>
            </w:r>
          </w:p>
        </w:tc>
        <w:tc>
          <w:tcPr>
            <w:tcW w:w="4666" w:type="dxa"/>
            <w:shd w:val="clear" w:color="auto" w:fill="auto"/>
            <w:vAlign w:val="center"/>
          </w:tcPr>
          <w:p w14:paraId="697FF39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未建立应急救援组织机构，未指定专兼职的应急救援队伍且未与邻近专职救援队伍签订救援协议。</w:t>
            </w:r>
          </w:p>
        </w:tc>
        <w:tc>
          <w:tcPr>
            <w:tcW w:w="5833" w:type="dxa"/>
            <w:shd w:val="clear" w:color="auto" w:fill="auto"/>
            <w:vAlign w:val="center"/>
          </w:tcPr>
          <w:p w14:paraId="6CB0DF2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《北京市生产经营单位安全生产主体责任规定》第三十条；DB11/T 1322.90-2020《安全生产等级评定技术规范 第90部分：化工企业》第4.1.1条</w:t>
            </w:r>
          </w:p>
        </w:tc>
        <w:tc>
          <w:tcPr>
            <w:tcW w:w="518" w:type="dxa"/>
            <w:shd w:val="clear" w:color="auto" w:fill="auto"/>
            <w:vAlign w:val="center"/>
          </w:tcPr>
          <w:p w14:paraId="586D488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5DDB229" w14:textId="77777777">
        <w:trPr>
          <w:jc w:val="center"/>
        </w:trPr>
        <w:tc>
          <w:tcPr>
            <w:tcW w:w="1828" w:type="dxa"/>
            <w:shd w:val="clear" w:color="auto" w:fill="auto"/>
            <w:vAlign w:val="center"/>
          </w:tcPr>
          <w:p w14:paraId="1AD413A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502191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C88C4F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应急救援类</w:t>
            </w:r>
          </w:p>
        </w:tc>
        <w:tc>
          <w:tcPr>
            <w:tcW w:w="4666" w:type="dxa"/>
            <w:shd w:val="clear" w:color="auto" w:fill="auto"/>
            <w:vAlign w:val="center"/>
          </w:tcPr>
          <w:p w14:paraId="35F93A7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未按要求配备必要的应急救援物资配备应急设施、应急装备和应急物资，或未对应急救援设施、装备、物资定期检查和维护。</w:t>
            </w:r>
          </w:p>
        </w:tc>
        <w:tc>
          <w:tcPr>
            <w:tcW w:w="5833" w:type="dxa"/>
            <w:shd w:val="clear" w:color="auto" w:fill="auto"/>
            <w:vAlign w:val="center"/>
          </w:tcPr>
          <w:p w14:paraId="3545591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第90部分：化工企业》第4.1.1条</w:t>
            </w:r>
          </w:p>
        </w:tc>
        <w:tc>
          <w:tcPr>
            <w:tcW w:w="518" w:type="dxa"/>
            <w:shd w:val="clear" w:color="auto" w:fill="auto"/>
            <w:vAlign w:val="center"/>
          </w:tcPr>
          <w:p w14:paraId="4077FAC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3ACEB12" w14:textId="77777777">
        <w:trPr>
          <w:jc w:val="center"/>
        </w:trPr>
        <w:tc>
          <w:tcPr>
            <w:tcW w:w="1828" w:type="dxa"/>
            <w:shd w:val="clear" w:color="auto" w:fill="auto"/>
            <w:vAlign w:val="center"/>
          </w:tcPr>
          <w:p w14:paraId="3508BC5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B2F241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4A8833D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应急救援类</w:t>
            </w:r>
          </w:p>
        </w:tc>
        <w:tc>
          <w:tcPr>
            <w:tcW w:w="4666" w:type="dxa"/>
            <w:shd w:val="clear" w:color="auto" w:fill="auto"/>
            <w:vAlign w:val="center"/>
          </w:tcPr>
          <w:p w14:paraId="66397C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生产、储存和使用氯气、氨气、硫化氢、一氧化碳等吸入性有毒有害气体的企业未配备两套以上空气呼吸器及备用气瓶，或未配备至少两套以上全封闭化学防护服。</w:t>
            </w:r>
          </w:p>
        </w:tc>
        <w:tc>
          <w:tcPr>
            <w:tcW w:w="5833" w:type="dxa"/>
            <w:shd w:val="clear" w:color="auto" w:fill="auto"/>
            <w:vAlign w:val="center"/>
          </w:tcPr>
          <w:p w14:paraId="46661ED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第90部分：化工企业》第4.1.5.2条</w:t>
            </w:r>
          </w:p>
        </w:tc>
        <w:tc>
          <w:tcPr>
            <w:tcW w:w="518" w:type="dxa"/>
            <w:shd w:val="clear" w:color="auto" w:fill="auto"/>
            <w:vAlign w:val="center"/>
          </w:tcPr>
          <w:p w14:paraId="56BAB4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CB544C1" w14:textId="77777777">
        <w:trPr>
          <w:jc w:val="center"/>
        </w:trPr>
        <w:tc>
          <w:tcPr>
            <w:tcW w:w="1828" w:type="dxa"/>
            <w:shd w:val="clear" w:color="auto" w:fill="auto"/>
            <w:vAlign w:val="center"/>
          </w:tcPr>
          <w:p w14:paraId="2BC302A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34AB1B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38F9D0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应急救援类</w:t>
            </w:r>
          </w:p>
        </w:tc>
        <w:tc>
          <w:tcPr>
            <w:tcW w:w="4666" w:type="dxa"/>
            <w:shd w:val="clear" w:color="auto" w:fill="auto"/>
            <w:vAlign w:val="center"/>
          </w:tcPr>
          <w:p w14:paraId="07880B8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未按规定定期组织应急演练，或演练结束后未按要求进行应急演练效果评估。</w:t>
            </w:r>
          </w:p>
        </w:tc>
        <w:tc>
          <w:tcPr>
            <w:tcW w:w="5833" w:type="dxa"/>
            <w:shd w:val="clear" w:color="auto" w:fill="auto"/>
            <w:vAlign w:val="center"/>
          </w:tcPr>
          <w:p w14:paraId="093023A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《中华人民共和国安全生产法》第八十一条；《北京市安全生产条例》第五十五条；《生产安全事故应急预案管理办法》第三十三条</w:t>
            </w:r>
          </w:p>
        </w:tc>
        <w:tc>
          <w:tcPr>
            <w:tcW w:w="518" w:type="dxa"/>
            <w:shd w:val="clear" w:color="auto" w:fill="auto"/>
            <w:vAlign w:val="center"/>
          </w:tcPr>
          <w:p w14:paraId="16D461B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1E3044F" w14:textId="77777777">
        <w:trPr>
          <w:jc w:val="center"/>
        </w:trPr>
        <w:tc>
          <w:tcPr>
            <w:tcW w:w="1828" w:type="dxa"/>
            <w:shd w:val="clear" w:color="auto" w:fill="auto"/>
            <w:vAlign w:val="center"/>
          </w:tcPr>
          <w:p w14:paraId="011B7E7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6CECFA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170022C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相关方管理类</w:t>
            </w:r>
          </w:p>
        </w:tc>
        <w:tc>
          <w:tcPr>
            <w:tcW w:w="4666" w:type="dxa"/>
            <w:shd w:val="clear" w:color="auto" w:fill="auto"/>
            <w:vAlign w:val="center"/>
          </w:tcPr>
          <w:p w14:paraId="7B427EE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供应、承包（承租）方资质不符合要求，未与供应、承包（承租）方签订安全协议，或未对承包（承租）单位的安全生产工作统一协调管理，未定期进行安全检查。</w:t>
            </w:r>
          </w:p>
        </w:tc>
        <w:tc>
          <w:tcPr>
            <w:tcW w:w="5833" w:type="dxa"/>
            <w:shd w:val="clear" w:color="auto" w:fill="auto"/>
            <w:vAlign w:val="center"/>
          </w:tcPr>
          <w:p w14:paraId="410C116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《中华人民共和国安全生产法》第四十九条；《北京市生产经营单位安全生产主体责任规定》第二十六条；DB11/T 1322.90-2020《安全生产等级评定技术规范 第90部分：化工企业》第4.1.1条</w:t>
            </w:r>
          </w:p>
        </w:tc>
        <w:tc>
          <w:tcPr>
            <w:tcW w:w="518" w:type="dxa"/>
            <w:shd w:val="clear" w:color="auto" w:fill="auto"/>
            <w:vAlign w:val="center"/>
          </w:tcPr>
          <w:p w14:paraId="07040FE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B3609A9" w14:textId="77777777">
        <w:trPr>
          <w:jc w:val="center"/>
        </w:trPr>
        <w:tc>
          <w:tcPr>
            <w:tcW w:w="1828" w:type="dxa"/>
            <w:shd w:val="clear" w:color="auto" w:fill="auto"/>
            <w:vAlign w:val="center"/>
          </w:tcPr>
          <w:p w14:paraId="3D291A0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CD925E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190368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安全生产投入类</w:t>
            </w:r>
          </w:p>
        </w:tc>
        <w:tc>
          <w:tcPr>
            <w:tcW w:w="4666" w:type="dxa"/>
            <w:shd w:val="clear" w:color="auto" w:fill="auto"/>
            <w:vAlign w:val="center"/>
          </w:tcPr>
          <w:p w14:paraId="7488E5F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未按规定提取和使用安全生产费用。</w:t>
            </w:r>
          </w:p>
        </w:tc>
        <w:tc>
          <w:tcPr>
            <w:tcW w:w="5833" w:type="dxa"/>
            <w:shd w:val="clear" w:color="auto" w:fill="auto"/>
            <w:vAlign w:val="center"/>
          </w:tcPr>
          <w:p w14:paraId="42EBC19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《中华人民共和国安全生产法》第二十三条；《北京市安全生产条例》第十八条；《北京市生产经营单位安全生产主体责任规定》第九条；《企业安全生产费用提取和使用管理办法》（财资〔2022〕136号）</w:t>
            </w:r>
          </w:p>
          <w:p w14:paraId="696DF3C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存在危险化学品生产的企业，以上一年度营业收入为依据，采取超额累退方式确定本年度应计提金额，并逐月平均提取。具体如下：（一）上一年度营业收入不超过1000万元的，按照4.5%提取；（二）上一年度营业收入超过1000万元至1亿元的部分，按照2.25%提取；（三）上一年度营业收入超过1亿元至10亿元的部分，按照0.55%提取；（四）上一年度营业收入超过10亿元的部分，按照0.2%提取。</w:t>
            </w:r>
          </w:p>
          <w:p w14:paraId="3A2CF44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安全生产费用应当用于以下支出：</w:t>
            </w:r>
          </w:p>
          <w:p w14:paraId="69A508D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二）配备、维护、保养应急救援器材、设备支出和应急救援队伍建设、应急预案制修订与应急演练支出；（三）开展重大危险源检测、评估、监控支出，安全风险分级管控和事故隐患排查整改支出，安全生产风险监测预警系统等安全生产信息系统建设、运维和网络安全支出；（四）安全生产检查、评估评价（不含新建、改建、扩建项目安全评价）、咨询和标准化建设支出；（五）配备和更新现场作业人员安全防护用品支出；（六）安全生产宣传、教育、培训和从业人员发现并报告事故隐患的奖励支出；（七）安全生产适用的新技术、新标准、新工艺、新装备的推广应用支出；（八）安全</w:t>
            </w:r>
            <w:r>
              <w:rPr>
                <w:rFonts w:ascii="仿宋_GB2312" w:hAnsi="宋体" w:cs="宋体" w:hint="eastAsia"/>
                <w:color w:val="000000"/>
                <w:kern w:val="0"/>
                <w:sz w:val="20"/>
                <w:szCs w:val="20"/>
              </w:rPr>
              <w:lastRenderedPageBreak/>
              <w:t>设施及特种设备检测检验、检定校准支出；（九）安全生产责任保险支出；（十）与安全生产直接相关的其他支出。</w:t>
            </w:r>
          </w:p>
        </w:tc>
        <w:tc>
          <w:tcPr>
            <w:tcW w:w="518" w:type="dxa"/>
            <w:shd w:val="clear" w:color="auto" w:fill="auto"/>
            <w:vAlign w:val="center"/>
          </w:tcPr>
          <w:p w14:paraId="7B51C66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E873CA7" w14:textId="77777777">
        <w:trPr>
          <w:jc w:val="center"/>
        </w:trPr>
        <w:tc>
          <w:tcPr>
            <w:tcW w:w="1828" w:type="dxa"/>
            <w:shd w:val="clear" w:color="auto" w:fill="auto"/>
            <w:vAlign w:val="center"/>
          </w:tcPr>
          <w:p w14:paraId="331D459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503068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601F032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“三同时”管理</w:t>
            </w:r>
          </w:p>
        </w:tc>
        <w:tc>
          <w:tcPr>
            <w:tcW w:w="4666" w:type="dxa"/>
            <w:shd w:val="clear" w:color="auto" w:fill="auto"/>
            <w:vAlign w:val="center"/>
          </w:tcPr>
          <w:p w14:paraId="20C89DE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企业未对新建、改建、扩建工程项目安全设施实行“三同时”管理，不符合建设项目安全设施“三同时”的规定。</w:t>
            </w:r>
            <w:r w:rsidR="006B495B">
              <w:rPr>
                <w:rFonts w:ascii="仿宋_GB2312" w:hAnsi="宋体" w:cs="宋体" w:hint="eastAsia"/>
                <w:color w:val="000000"/>
                <w:kern w:val="0"/>
                <w:sz w:val="20"/>
                <w:szCs w:val="20"/>
              </w:rPr>
              <w:t>未</w:t>
            </w:r>
            <w:r>
              <w:rPr>
                <w:rFonts w:ascii="仿宋_GB2312" w:hAnsi="宋体" w:cs="宋体" w:hint="eastAsia"/>
                <w:color w:val="000000"/>
                <w:kern w:val="0"/>
                <w:sz w:val="20"/>
                <w:szCs w:val="20"/>
              </w:rPr>
              <w:t>经具备国家规定资质的单位设计、制造和施工建设；涉及重点监管的危险化工工艺的项目，</w:t>
            </w:r>
            <w:r w:rsidR="006B495B">
              <w:rPr>
                <w:rFonts w:ascii="仿宋_GB2312" w:hAnsi="宋体" w:cs="宋体" w:hint="eastAsia"/>
                <w:color w:val="000000"/>
                <w:kern w:val="0"/>
                <w:sz w:val="20"/>
                <w:szCs w:val="20"/>
              </w:rPr>
              <w:t>未</w:t>
            </w:r>
            <w:r>
              <w:rPr>
                <w:rFonts w:ascii="仿宋_GB2312" w:hAnsi="宋体" w:cs="宋体" w:hint="eastAsia"/>
                <w:color w:val="000000"/>
                <w:kern w:val="0"/>
                <w:sz w:val="20"/>
                <w:szCs w:val="20"/>
              </w:rPr>
              <w:t>由相应甲级设计资质的单位设计。</w:t>
            </w:r>
          </w:p>
        </w:tc>
        <w:tc>
          <w:tcPr>
            <w:tcW w:w="5833" w:type="dxa"/>
            <w:shd w:val="clear" w:color="auto" w:fill="auto"/>
            <w:vAlign w:val="center"/>
          </w:tcPr>
          <w:p w14:paraId="4B5F4DC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《建设项目安全设施“三同时”监督管理暂行办法》（国家安全生产监督管理总局令 第36号）</w:t>
            </w:r>
          </w:p>
          <w:p w14:paraId="2237025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3034—2022《化工过程安全管理导则》第4.7.2.1条</w:t>
            </w:r>
          </w:p>
          <w:p w14:paraId="3360940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《国家安全监管总局 住房城乡建设部关于进一步加强危险化学品建设项目安全设计管理的通知》（安监总管三〔2013〕76号）第一章</w:t>
            </w:r>
          </w:p>
        </w:tc>
        <w:tc>
          <w:tcPr>
            <w:tcW w:w="518" w:type="dxa"/>
            <w:shd w:val="clear" w:color="auto" w:fill="auto"/>
            <w:vAlign w:val="center"/>
          </w:tcPr>
          <w:p w14:paraId="1B1C7A2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28AC96F" w14:textId="77777777">
        <w:trPr>
          <w:jc w:val="center"/>
        </w:trPr>
        <w:tc>
          <w:tcPr>
            <w:tcW w:w="1828" w:type="dxa"/>
            <w:shd w:val="clear" w:color="auto" w:fill="auto"/>
            <w:vAlign w:val="center"/>
          </w:tcPr>
          <w:p w14:paraId="152EB0A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B3AE1C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基础资料类</w:t>
            </w:r>
          </w:p>
        </w:tc>
        <w:tc>
          <w:tcPr>
            <w:tcW w:w="1134" w:type="dxa"/>
            <w:shd w:val="clear" w:color="auto" w:fill="auto"/>
            <w:vAlign w:val="center"/>
          </w:tcPr>
          <w:p w14:paraId="5CF4B8E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记录档案类</w:t>
            </w:r>
          </w:p>
        </w:tc>
        <w:tc>
          <w:tcPr>
            <w:tcW w:w="4666" w:type="dxa"/>
            <w:shd w:val="clear" w:color="auto" w:fill="auto"/>
            <w:vAlign w:val="center"/>
          </w:tcPr>
          <w:p w14:paraId="3367654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设计资料不完整，设计资料与安全评价或现场不一致。</w:t>
            </w:r>
          </w:p>
        </w:tc>
        <w:tc>
          <w:tcPr>
            <w:tcW w:w="5833" w:type="dxa"/>
            <w:shd w:val="clear" w:color="auto" w:fill="auto"/>
            <w:vAlign w:val="center"/>
          </w:tcPr>
          <w:p w14:paraId="20A5B82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实在《北京市危险化学品安全风险隐患大排查大整治工作实施方案》</w:t>
            </w:r>
          </w:p>
        </w:tc>
        <w:tc>
          <w:tcPr>
            <w:tcW w:w="518" w:type="dxa"/>
            <w:shd w:val="clear" w:color="auto" w:fill="auto"/>
            <w:vAlign w:val="center"/>
          </w:tcPr>
          <w:p w14:paraId="1095813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76EF628" w14:textId="77777777">
        <w:trPr>
          <w:jc w:val="center"/>
        </w:trPr>
        <w:tc>
          <w:tcPr>
            <w:tcW w:w="1828" w:type="dxa"/>
            <w:shd w:val="clear" w:color="auto" w:fill="auto"/>
            <w:vAlign w:val="center"/>
          </w:tcPr>
          <w:p w14:paraId="315E98D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51A511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DA4AE4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1BF917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使用淘汰落后安全技术工艺、设备目录列出的工艺、设备。</w:t>
            </w:r>
          </w:p>
        </w:tc>
        <w:tc>
          <w:tcPr>
            <w:tcW w:w="5833" w:type="dxa"/>
            <w:shd w:val="clear" w:color="auto" w:fill="auto"/>
            <w:vAlign w:val="center"/>
          </w:tcPr>
          <w:p w14:paraId="4D3D8097"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三十八条；《北京市安全生产条例》第二十六条；《关于印发淘汰落后安全技术装备目录(2015年第一批)的通知》(安监总科技〔2015〕75号)；《淘汰落后安全技术工艺、设备目录（2016年）的通知》（安监总科技〔2016〕137号）；《关于印发&lt;淘汰落后危险化学品安全生产工艺技术设备目录（第一批）&gt;的通知》应急厅（2020）38号；《化工和危险化学品生产经营单位重大生产安全事故隐患判定标准（试行）》第十一条</w:t>
            </w:r>
          </w:p>
        </w:tc>
        <w:tc>
          <w:tcPr>
            <w:tcW w:w="518" w:type="dxa"/>
            <w:shd w:val="clear" w:color="auto" w:fill="auto"/>
            <w:vAlign w:val="center"/>
          </w:tcPr>
          <w:p w14:paraId="4B7AF75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05BF833C" w14:textId="77777777">
        <w:trPr>
          <w:jc w:val="center"/>
        </w:trPr>
        <w:tc>
          <w:tcPr>
            <w:tcW w:w="1828" w:type="dxa"/>
            <w:shd w:val="clear" w:color="auto" w:fill="auto"/>
            <w:vAlign w:val="center"/>
          </w:tcPr>
          <w:p w14:paraId="06E62F8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7BB17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F92BC6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B53010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控制室无仪表安全联锁逻辑分布图，企业无仪表定期维修、校验记录，仪表安全联锁定期维护、校验记录。仪表临时变更资料不齐全。联锁保护系统的联锁摘除、停用、恢复、增加等变更未办理审批手续。配置安全仪表系统的化工装置未按要求开展安全仪表功能评估。</w:t>
            </w:r>
          </w:p>
        </w:tc>
        <w:tc>
          <w:tcPr>
            <w:tcW w:w="5833" w:type="dxa"/>
            <w:shd w:val="clear" w:color="auto" w:fill="auto"/>
            <w:vAlign w:val="center"/>
          </w:tcPr>
          <w:p w14:paraId="6A5A5CC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第90部分：化工企业》第4.1.6节</w:t>
            </w:r>
          </w:p>
        </w:tc>
        <w:tc>
          <w:tcPr>
            <w:tcW w:w="518" w:type="dxa"/>
            <w:shd w:val="clear" w:color="auto" w:fill="auto"/>
            <w:vAlign w:val="center"/>
          </w:tcPr>
          <w:p w14:paraId="27A5266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106D204" w14:textId="77777777">
        <w:trPr>
          <w:jc w:val="center"/>
        </w:trPr>
        <w:tc>
          <w:tcPr>
            <w:tcW w:w="1828" w:type="dxa"/>
            <w:shd w:val="clear" w:color="auto" w:fill="auto"/>
            <w:vAlign w:val="center"/>
          </w:tcPr>
          <w:p w14:paraId="1F1A364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BA1962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109B41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3C4E244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新、改、扩建和在役的化工生产装置和化学品的储存设施未通过正规设计；在役化工装置</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聘请有相应设计资质的设计单位进行安全设计诊断。</w:t>
            </w:r>
          </w:p>
        </w:tc>
        <w:tc>
          <w:tcPr>
            <w:tcW w:w="5833" w:type="dxa"/>
            <w:shd w:val="clear" w:color="auto" w:fill="auto"/>
            <w:vAlign w:val="center"/>
          </w:tcPr>
          <w:p w14:paraId="1CD3914A"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化工、医药制造企业危险化学品安全专项整治工作方案》（京应急通〔2019〕235号）附件7；《关于开展提升危险化学品领域本质安全水平专项行动的通知》（安监总管三〔2012〕87号）；《关于进一步加强危险化学品建设项目安全设计管理的通知》（安监总管三〔2013〕76号）；《化工和危险化学品生产经营单位重大生产安全事故隐患判定标准（试行）》第十条</w:t>
            </w:r>
          </w:p>
        </w:tc>
        <w:tc>
          <w:tcPr>
            <w:tcW w:w="518" w:type="dxa"/>
            <w:shd w:val="clear" w:color="auto" w:fill="auto"/>
            <w:vAlign w:val="center"/>
          </w:tcPr>
          <w:p w14:paraId="7B798C4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3D818610" w14:textId="77777777">
        <w:trPr>
          <w:jc w:val="center"/>
        </w:trPr>
        <w:tc>
          <w:tcPr>
            <w:tcW w:w="1828" w:type="dxa"/>
            <w:shd w:val="clear" w:color="auto" w:fill="auto"/>
            <w:vAlign w:val="center"/>
          </w:tcPr>
          <w:p w14:paraId="7DB397A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DCEB8D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E95F23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978EC6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涉及化工生产装置和化学品储存设施的企业</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聘请安全评价机构对整体安全生产条件进行评价，确保安全生产条件符合相应规范要求。</w:t>
            </w:r>
          </w:p>
        </w:tc>
        <w:tc>
          <w:tcPr>
            <w:tcW w:w="5833" w:type="dxa"/>
            <w:shd w:val="clear" w:color="auto" w:fill="auto"/>
            <w:vAlign w:val="center"/>
          </w:tcPr>
          <w:p w14:paraId="3F1345B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《化工、医药制造企业危险化学品安全专项整治工作方案》（京应急通〔2019〕235号）附件7</w:t>
            </w:r>
          </w:p>
        </w:tc>
        <w:tc>
          <w:tcPr>
            <w:tcW w:w="518" w:type="dxa"/>
            <w:shd w:val="clear" w:color="auto" w:fill="auto"/>
            <w:vAlign w:val="center"/>
          </w:tcPr>
          <w:p w14:paraId="6166BD8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18F433C" w14:textId="77777777">
        <w:trPr>
          <w:jc w:val="center"/>
        </w:trPr>
        <w:tc>
          <w:tcPr>
            <w:tcW w:w="1828" w:type="dxa"/>
            <w:shd w:val="clear" w:color="auto" w:fill="auto"/>
            <w:vAlign w:val="center"/>
          </w:tcPr>
          <w:p w14:paraId="2D00D91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49654C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63F19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1DD3804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新开发的危险化学品生产工艺未经小试、中试、工业化试验直接进行工业化生产；国内首次使用的化工工艺未经过省级人民政府有关部门组织的安全可靠性论证；新建装置未制定试生产方案投料开车。</w:t>
            </w:r>
          </w:p>
        </w:tc>
        <w:tc>
          <w:tcPr>
            <w:tcW w:w="5833" w:type="dxa"/>
            <w:shd w:val="clear" w:color="auto" w:fill="auto"/>
            <w:vAlign w:val="center"/>
          </w:tcPr>
          <w:p w14:paraId="55EE01EF"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《关于危险化学品企业贯彻落实&lt;国务院关于进一步加强企业安全生产工作的通知&gt;的实施意见 》（安监总管三〔2010〕186号）第九条；《化工和危险化学品生产经营单位重大生产安全事故隐患判定标准（试行）》第十九条</w:t>
            </w:r>
          </w:p>
        </w:tc>
        <w:tc>
          <w:tcPr>
            <w:tcW w:w="518" w:type="dxa"/>
            <w:shd w:val="clear" w:color="auto" w:fill="auto"/>
            <w:vAlign w:val="center"/>
          </w:tcPr>
          <w:p w14:paraId="26CD00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4CEFAA88" w14:textId="77777777">
        <w:trPr>
          <w:jc w:val="center"/>
        </w:trPr>
        <w:tc>
          <w:tcPr>
            <w:tcW w:w="1828" w:type="dxa"/>
            <w:shd w:val="clear" w:color="auto" w:fill="auto"/>
            <w:vAlign w:val="center"/>
          </w:tcPr>
          <w:p w14:paraId="1013202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8C62DD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5D9AC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3ACD05A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涉及重点监管危险化工工艺和金属有机物合成反应（包括格氏反应）的间歇和半间歇反应，有以下情形之一的，未开展反应安全风险评估：</w:t>
            </w:r>
          </w:p>
          <w:p w14:paraId="665E98A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（1）国内首次使用的新工艺、新配方投入工业化生产的以及国外首次引进的新工艺且未进行过反应安全风险评估的；</w:t>
            </w:r>
          </w:p>
          <w:p w14:paraId="561244D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（2）现有的工艺路线、工艺参数或装置能力发生变更，且没有反应安全风险评估报告的；</w:t>
            </w:r>
          </w:p>
          <w:p w14:paraId="15E7923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（3）因反应工艺问题，发生过生产安全事故的。</w:t>
            </w:r>
          </w:p>
        </w:tc>
        <w:tc>
          <w:tcPr>
            <w:tcW w:w="5833" w:type="dxa"/>
            <w:shd w:val="clear" w:color="auto" w:fill="auto"/>
            <w:vAlign w:val="center"/>
          </w:tcPr>
          <w:p w14:paraId="6FE23FD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3034—2022《化工过程安全管理导则》第4.7.2.2条</w:t>
            </w:r>
          </w:p>
          <w:p w14:paraId="55B73953"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《国家安全监管总局关于加强精细化工反应安全风险评估工作的指导意见》（安监总管三〔2017〕1号）第二章</w:t>
            </w:r>
          </w:p>
        </w:tc>
        <w:tc>
          <w:tcPr>
            <w:tcW w:w="518" w:type="dxa"/>
            <w:shd w:val="clear" w:color="auto" w:fill="auto"/>
            <w:vAlign w:val="center"/>
          </w:tcPr>
          <w:p w14:paraId="711EFD7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0E4FE85" w14:textId="77777777">
        <w:trPr>
          <w:jc w:val="center"/>
        </w:trPr>
        <w:tc>
          <w:tcPr>
            <w:tcW w:w="1828" w:type="dxa"/>
            <w:shd w:val="clear" w:color="auto" w:fill="auto"/>
            <w:vAlign w:val="center"/>
          </w:tcPr>
          <w:p w14:paraId="216E02A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468224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9F6AE7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078FF46F"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在建设项目基础设计阶段</w:t>
            </w:r>
            <w:r w:rsidR="00197FA0">
              <w:rPr>
                <w:rFonts w:ascii="仿宋_GB2312" w:hAnsi="宋体" w:cs="宋体" w:hint="eastAsia"/>
                <w:color w:val="000000"/>
                <w:kern w:val="0"/>
                <w:sz w:val="20"/>
                <w:szCs w:val="20"/>
              </w:rPr>
              <w:t>未</w:t>
            </w:r>
            <w:r>
              <w:rPr>
                <w:rFonts w:ascii="仿宋_GB2312" w:hAnsi="宋体" w:cs="宋体" w:hint="eastAsia"/>
                <w:color w:val="000000"/>
                <w:kern w:val="0"/>
                <w:sz w:val="20"/>
                <w:szCs w:val="20"/>
              </w:rPr>
              <w:t>开展危险和可操作性分析(HAZOP),涉及“两重点一重大”建设项目的工艺包设计文件</w:t>
            </w:r>
            <w:r w:rsidR="00197FA0">
              <w:rPr>
                <w:rFonts w:ascii="仿宋_GB2312" w:hAnsi="宋体" w:cs="宋体" w:hint="eastAsia"/>
                <w:color w:val="000000"/>
                <w:kern w:val="0"/>
                <w:sz w:val="20"/>
                <w:szCs w:val="20"/>
              </w:rPr>
              <w:t>未</w:t>
            </w:r>
            <w:r>
              <w:rPr>
                <w:rFonts w:ascii="仿宋_GB2312" w:hAnsi="宋体" w:cs="宋体" w:hint="eastAsia"/>
                <w:color w:val="000000"/>
                <w:kern w:val="0"/>
                <w:sz w:val="20"/>
                <w:szCs w:val="20"/>
              </w:rPr>
              <w:t>包括工艺危险性分析报告,设计单位</w:t>
            </w:r>
            <w:r w:rsidR="00197FA0">
              <w:rPr>
                <w:rFonts w:ascii="仿宋_GB2312" w:hAnsi="宋体" w:cs="宋体" w:hint="eastAsia"/>
                <w:color w:val="000000"/>
                <w:kern w:val="0"/>
                <w:sz w:val="20"/>
                <w:szCs w:val="20"/>
              </w:rPr>
              <w:t>未</w:t>
            </w:r>
            <w:r>
              <w:rPr>
                <w:rFonts w:ascii="仿宋_GB2312" w:hAnsi="宋体" w:cs="宋体" w:hint="eastAsia"/>
                <w:color w:val="000000"/>
                <w:kern w:val="0"/>
                <w:sz w:val="20"/>
                <w:szCs w:val="20"/>
              </w:rPr>
              <w:t>提供装置的主要风险清单。</w:t>
            </w:r>
          </w:p>
        </w:tc>
        <w:tc>
          <w:tcPr>
            <w:tcW w:w="5833" w:type="dxa"/>
            <w:shd w:val="clear" w:color="auto" w:fill="auto"/>
            <w:vAlign w:val="center"/>
          </w:tcPr>
          <w:p w14:paraId="38A0FAB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3034—2022《化工过程安全管理导则》第4.7.2.3条</w:t>
            </w:r>
          </w:p>
        </w:tc>
        <w:tc>
          <w:tcPr>
            <w:tcW w:w="518" w:type="dxa"/>
            <w:shd w:val="clear" w:color="auto" w:fill="auto"/>
            <w:vAlign w:val="center"/>
          </w:tcPr>
          <w:p w14:paraId="12BE7D9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1E69B8D" w14:textId="77777777">
        <w:trPr>
          <w:jc w:val="center"/>
        </w:trPr>
        <w:tc>
          <w:tcPr>
            <w:tcW w:w="1828" w:type="dxa"/>
            <w:shd w:val="clear" w:color="auto" w:fill="auto"/>
            <w:vAlign w:val="center"/>
          </w:tcPr>
          <w:p w14:paraId="5C05070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7EBD27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CF6E6A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6FBFF1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使用危险化学品从事科研实验前未开展安全风险辨识、评估。涉及国家重点监管危险化工工艺和其它涉及“小试”、“中试”的实验装置，未委托专业机构进行风险评估或安全现状评价，未根据评估结果采取相应措施保证工艺安全。处于研究探索阶段，装备和技术均不成熟的科学实验，未组织相关专业技术人员进行安全论证，开展风险研判，科学制定防范措施。对于可能直接接触易燃、易爆、有毒、有害危险化学品的危险实验操作，未研究应用自动化控制技术，未实现自动加料、自动分装和设置安全联锁。</w:t>
            </w:r>
          </w:p>
        </w:tc>
        <w:tc>
          <w:tcPr>
            <w:tcW w:w="5833" w:type="dxa"/>
            <w:shd w:val="clear" w:color="auto" w:fill="auto"/>
            <w:vAlign w:val="center"/>
          </w:tcPr>
          <w:p w14:paraId="6C77094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北京市安全生产委员《北京市实验室危险化学品安全专项治理工作方案》（京安发〔2022〕11号）第四章 治理内容</w:t>
            </w:r>
          </w:p>
        </w:tc>
        <w:tc>
          <w:tcPr>
            <w:tcW w:w="518" w:type="dxa"/>
            <w:shd w:val="clear" w:color="auto" w:fill="auto"/>
            <w:vAlign w:val="center"/>
          </w:tcPr>
          <w:p w14:paraId="2DAC9B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14C20FA" w14:textId="77777777">
        <w:trPr>
          <w:jc w:val="center"/>
        </w:trPr>
        <w:tc>
          <w:tcPr>
            <w:tcW w:w="1828" w:type="dxa"/>
            <w:shd w:val="clear" w:color="auto" w:fill="auto"/>
            <w:vAlign w:val="center"/>
          </w:tcPr>
          <w:p w14:paraId="16EA62D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8DF8EA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3716D3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178E107"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企业未根据工艺过程危害辨识和风险评估结果、安全仪表系统安全完整性等级(SIL)评估结果,确定安全仪表系统的装备。涉及重点监管危险化工工艺的新建项目未按照标准开展安全仪表系统设计。</w:t>
            </w:r>
          </w:p>
        </w:tc>
        <w:tc>
          <w:tcPr>
            <w:tcW w:w="5833" w:type="dxa"/>
            <w:shd w:val="clear" w:color="auto" w:fill="auto"/>
            <w:vAlign w:val="center"/>
          </w:tcPr>
          <w:p w14:paraId="755DACF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3034—2022《化工过程安全管理导则》第4.7.2.5条</w:t>
            </w:r>
          </w:p>
        </w:tc>
        <w:tc>
          <w:tcPr>
            <w:tcW w:w="518" w:type="dxa"/>
            <w:shd w:val="clear" w:color="auto" w:fill="auto"/>
            <w:vAlign w:val="center"/>
          </w:tcPr>
          <w:p w14:paraId="25C1A7B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8DB4C1D" w14:textId="77777777">
        <w:trPr>
          <w:jc w:val="center"/>
        </w:trPr>
        <w:tc>
          <w:tcPr>
            <w:tcW w:w="1828" w:type="dxa"/>
            <w:shd w:val="clear" w:color="auto" w:fill="auto"/>
            <w:vAlign w:val="center"/>
          </w:tcPr>
          <w:p w14:paraId="3099D63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8BBA2B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15E432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8435F53"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安装安全仪表系统的企业未对在役生产装置和储存设施开展危险与可操作性分析和保护层分析；未开展安全仪表系统SIL定级评估工作。</w:t>
            </w:r>
          </w:p>
        </w:tc>
        <w:tc>
          <w:tcPr>
            <w:tcW w:w="5833" w:type="dxa"/>
            <w:shd w:val="clear" w:color="auto" w:fill="auto"/>
            <w:vAlign w:val="center"/>
          </w:tcPr>
          <w:p w14:paraId="5BACCE7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《化工、医药制造企业危险化学品安全专项整治工作方案》（京应急通〔2019〕235号）附件7</w:t>
            </w:r>
          </w:p>
        </w:tc>
        <w:tc>
          <w:tcPr>
            <w:tcW w:w="518" w:type="dxa"/>
            <w:shd w:val="clear" w:color="auto" w:fill="auto"/>
            <w:vAlign w:val="center"/>
          </w:tcPr>
          <w:p w14:paraId="0F7A7B5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A63D69C" w14:textId="77777777">
        <w:trPr>
          <w:jc w:val="center"/>
        </w:trPr>
        <w:tc>
          <w:tcPr>
            <w:tcW w:w="1828" w:type="dxa"/>
            <w:shd w:val="clear" w:color="auto" w:fill="auto"/>
            <w:vAlign w:val="center"/>
          </w:tcPr>
          <w:p w14:paraId="4003F09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232AF7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D817E4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0BD6704B"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取得危险化学品安全使用许可证的化工企业、涉及危险化学品重大危险源的化工企业和涉及重点监管危险化工工艺的化工企业，未安装化工安全仪表系统。</w:t>
            </w:r>
          </w:p>
        </w:tc>
        <w:tc>
          <w:tcPr>
            <w:tcW w:w="5833" w:type="dxa"/>
            <w:shd w:val="clear" w:color="auto" w:fill="auto"/>
            <w:vAlign w:val="center"/>
          </w:tcPr>
          <w:p w14:paraId="3C9EA27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《化工、医药制造企业危险化学品安全专项整治工作方案》（京应急通〔2019〕235号）附件7</w:t>
            </w:r>
          </w:p>
        </w:tc>
        <w:tc>
          <w:tcPr>
            <w:tcW w:w="518" w:type="dxa"/>
            <w:shd w:val="clear" w:color="auto" w:fill="auto"/>
            <w:vAlign w:val="center"/>
          </w:tcPr>
          <w:p w14:paraId="2CCAC7E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BD948DA" w14:textId="77777777">
        <w:trPr>
          <w:jc w:val="center"/>
        </w:trPr>
        <w:tc>
          <w:tcPr>
            <w:tcW w:w="1828" w:type="dxa"/>
            <w:shd w:val="clear" w:color="auto" w:fill="auto"/>
            <w:vAlign w:val="center"/>
          </w:tcPr>
          <w:p w14:paraId="632D1BE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4934E4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22F7EF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327B7C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设备、装置超温、超压、</w:t>
            </w:r>
            <w:proofErr w:type="gramStart"/>
            <w:r>
              <w:rPr>
                <w:rFonts w:ascii="仿宋_GB2312" w:hAnsi="宋体" w:cs="宋体" w:hint="eastAsia"/>
                <w:color w:val="000000"/>
                <w:kern w:val="0"/>
                <w:sz w:val="20"/>
                <w:szCs w:val="20"/>
              </w:rPr>
              <w:t>超液位</w:t>
            </w:r>
            <w:proofErr w:type="gramEnd"/>
            <w:r>
              <w:rPr>
                <w:rFonts w:ascii="仿宋_GB2312" w:hAnsi="宋体" w:cs="宋体" w:hint="eastAsia"/>
                <w:color w:val="000000"/>
                <w:kern w:val="0"/>
                <w:sz w:val="20"/>
                <w:szCs w:val="20"/>
              </w:rPr>
              <w:t>运行。</w:t>
            </w:r>
          </w:p>
        </w:tc>
        <w:tc>
          <w:tcPr>
            <w:tcW w:w="5833" w:type="dxa"/>
            <w:shd w:val="clear" w:color="auto" w:fill="auto"/>
            <w:vAlign w:val="center"/>
          </w:tcPr>
          <w:p w14:paraId="05C14D05"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《关于加强化工过程安全管理的指导意见》（安监总管三〔2013〕88号）第九条</w:t>
            </w:r>
          </w:p>
        </w:tc>
        <w:tc>
          <w:tcPr>
            <w:tcW w:w="518" w:type="dxa"/>
            <w:shd w:val="clear" w:color="auto" w:fill="auto"/>
            <w:vAlign w:val="center"/>
          </w:tcPr>
          <w:p w14:paraId="63B46D7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EC3845C" w14:textId="77777777">
        <w:trPr>
          <w:jc w:val="center"/>
        </w:trPr>
        <w:tc>
          <w:tcPr>
            <w:tcW w:w="1828" w:type="dxa"/>
            <w:shd w:val="clear" w:color="auto" w:fill="auto"/>
            <w:vAlign w:val="center"/>
          </w:tcPr>
          <w:p w14:paraId="79CC910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7E3F44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F205AD5"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574978F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使用存在严重事故隐患（气瓶或受压元件等出现泄漏、裂纹、变形、腐蚀等缺陷）、超出检验期限的气瓶。</w:t>
            </w:r>
          </w:p>
        </w:tc>
        <w:tc>
          <w:tcPr>
            <w:tcW w:w="5833" w:type="dxa"/>
            <w:shd w:val="clear" w:color="auto" w:fill="auto"/>
            <w:vAlign w:val="center"/>
          </w:tcPr>
          <w:p w14:paraId="38B18E0B"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TSG23-2021《气瓶安全技术规程》第8.5.6条、GB/T 34525-2017第8.1.1条</w:t>
            </w:r>
          </w:p>
        </w:tc>
        <w:tc>
          <w:tcPr>
            <w:tcW w:w="518" w:type="dxa"/>
            <w:shd w:val="clear" w:color="auto" w:fill="auto"/>
            <w:vAlign w:val="center"/>
          </w:tcPr>
          <w:p w14:paraId="0EA3035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03E96C6" w14:textId="77777777">
        <w:trPr>
          <w:jc w:val="center"/>
        </w:trPr>
        <w:tc>
          <w:tcPr>
            <w:tcW w:w="1828" w:type="dxa"/>
            <w:shd w:val="clear" w:color="auto" w:fill="auto"/>
            <w:vAlign w:val="center"/>
          </w:tcPr>
          <w:p w14:paraId="4DB984E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12C76B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1D27045"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0129C63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瓶内气体与气瓶制造钢印标志中充装气体名称或化学分子式不一致，警示标签上印有的瓶装气体的名称及化学分子式与气瓶钢印标志不一致</w:t>
            </w:r>
          </w:p>
        </w:tc>
        <w:tc>
          <w:tcPr>
            <w:tcW w:w="5833" w:type="dxa"/>
            <w:shd w:val="clear" w:color="auto" w:fill="auto"/>
            <w:vAlign w:val="center"/>
          </w:tcPr>
          <w:p w14:paraId="3AA6A3FF"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GB/T 34525-2017第8.1.1条；TSG 23-2021《气瓶安全技术规程》第1.7条</w:t>
            </w:r>
          </w:p>
        </w:tc>
        <w:tc>
          <w:tcPr>
            <w:tcW w:w="518" w:type="dxa"/>
            <w:shd w:val="clear" w:color="auto" w:fill="auto"/>
            <w:vAlign w:val="center"/>
          </w:tcPr>
          <w:p w14:paraId="25EE40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91577B8" w14:textId="77777777">
        <w:trPr>
          <w:jc w:val="center"/>
        </w:trPr>
        <w:tc>
          <w:tcPr>
            <w:tcW w:w="1828" w:type="dxa"/>
            <w:shd w:val="clear" w:color="auto" w:fill="auto"/>
            <w:vAlign w:val="center"/>
          </w:tcPr>
          <w:p w14:paraId="3C2B045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9536D3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09142AC"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0FB7B81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气瓶外表面的颜色标志不符合GB/T 7144的规定，不清晰。</w:t>
            </w:r>
          </w:p>
        </w:tc>
        <w:tc>
          <w:tcPr>
            <w:tcW w:w="5833" w:type="dxa"/>
            <w:shd w:val="clear" w:color="auto" w:fill="auto"/>
            <w:vAlign w:val="center"/>
          </w:tcPr>
          <w:p w14:paraId="161D607C"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GB/T 34525-2017第8.1.1条、第9.1条；TSG 23-2021《气瓶安全技术规程》第1.7条</w:t>
            </w:r>
          </w:p>
        </w:tc>
        <w:tc>
          <w:tcPr>
            <w:tcW w:w="518" w:type="dxa"/>
            <w:shd w:val="clear" w:color="auto" w:fill="auto"/>
            <w:vAlign w:val="center"/>
          </w:tcPr>
          <w:p w14:paraId="000B35A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00AF84A" w14:textId="77777777">
        <w:trPr>
          <w:jc w:val="center"/>
        </w:trPr>
        <w:tc>
          <w:tcPr>
            <w:tcW w:w="1828" w:type="dxa"/>
            <w:shd w:val="clear" w:color="auto" w:fill="auto"/>
            <w:vAlign w:val="center"/>
          </w:tcPr>
          <w:p w14:paraId="579EAEF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DAA975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47CB023"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0E7DE5C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气瓶标志（钢印标志、标签标志、印刷标志等）不齐全、破损或不清晰，未设置可追溯的永久性电子识读标志。</w:t>
            </w:r>
          </w:p>
        </w:tc>
        <w:tc>
          <w:tcPr>
            <w:tcW w:w="5833" w:type="dxa"/>
            <w:shd w:val="clear" w:color="auto" w:fill="auto"/>
            <w:vAlign w:val="center"/>
          </w:tcPr>
          <w:p w14:paraId="0EE53D4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TSG23-2021《气瓶安全技术规程》第1.8条</w:t>
            </w:r>
          </w:p>
        </w:tc>
        <w:tc>
          <w:tcPr>
            <w:tcW w:w="518" w:type="dxa"/>
            <w:shd w:val="clear" w:color="auto" w:fill="auto"/>
            <w:vAlign w:val="center"/>
          </w:tcPr>
          <w:p w14:paraId="0B6C2D1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EB660A4" w14:textId="77777777">
        <w:trPr>
          <w:jc w:val="center"/>
        </w:trPr>
        <w:tc>
          <w:tcPr>
            <w:tcW w:w="1828" w:type="dxa"/>
            <w:shd w:val="clear" w:color="auto" w:fill="auto"/>
            <w:vAlign w:val="center"/>
          </w:tcPr>
          <w:p w14:paraId="4FE4116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B7CE3E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13EF673"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678146C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气瓶保护附件（瓶帽、保护罩、底座、颈圈等）缺失、损坏或存在其他缺陷等。</w:t>
            </w:r>
          </w:p>
        </w:tc>
        <w:tc>
          <w:tcPr>
            <w:tcW w:w="5833" w:type="dxa"/>
            <w:shd w:val="clear" w:color="auto" w:fill="auto"/>
            <w:vAlign w:val="center"/>
          </w:tcPr>
          <w:p w14:paraId="6586536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TSG23-2021《气瓶安全技术规程》第7.3条</w:t>
            </w:r>
          </w:p>
        </w:tc>
        <w:tc>
          <w:tcPr>
            <w:tcW w:w="518" w:type="dxa"/>
            <w:shd w:val="clear" w:color="auto" w:fill="auto"/>
            <w:vAlign w:val="center"/>
          </w:tcPr>
          <w:p w14:paraId="6D3AAAC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A59211A" w14:textId="77777777">
        <w:trPr>
          <w:jc w:val="center"/>
        </w:trPr>
        <w:tc>
          <w:tcPr>
            <w:tcW w:w="1828" w:type="dxa"/>
            <w:shd w:val="clear" w:color="auto" w:fill="auto"/>
            <w:vAlign w:val="center"/>
          </w:tcPr>
          <w:p w14:paraId="35A6776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E3E8B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06ED787"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474F322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气瓶使用单位未对气瓶进行入库前检查。</w:t>
            </w:r>
          </w:p>
        </w:tc>
        <w:tc>
          <w:tcPr>
            <w:tcW w:w="5833" w:type="dxa"/>
            <w:shd w:val="clear" w:color="auto" w:fill="auto"/>
            <w:vAlign w:val="center"/>
          </w:tcPr>
          <w:p w14:paraId="4442FEE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34525-2017《气瓶搬运、装卸、储存和使用安全规定》第8.2.1条</w:t>
            </w:r>
          </w:p>
        </w:tc>
        <w:tc>
          <w:tcPr>
            <w:tcW w:w="518" w:type="dxa"/>
            <w:shd w:val="clear" w:color="auto" w:fill="auto"/>
            <w:vAlign w:val="center"/>
          </w:tcPr>
          <w:p w14:paraId="5939680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E1232FE" w14:textId="77777777">
        <w:trPr>
          <w:jc w:val="center"/>
        </w:trPr>
        <w:tc>
          <w:tcPr>
            <w:tcW w:w="1828" w:type="dxa"/>
            <w:shd w:val="clear" w:color="auto" w:fill="auto"/>
            <w:vAlign w:val="center"/>
          </w:tcPr>
          <w:p w14:paraId="1857914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26D186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E4ED9F3"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120C1CB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气瓶使用时未稳固竖立，未设置防倾倒措施或装载专用车（架）或固定装置上。</w:t>
            </w:r>
          </w:p>
        </w:tc>
        <w:tc>
          <w:tcPr>
            <w:tcW w:w="5833" w:type="dxa"/>
            <w:shd w:val="clear" w:color="auto" w:fill="auto"/>
            <w:vAlign w:val="center"/>
          </w:tcPr>
          <w:p w14:paraId="75B65F5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GB/T34525-2017《气瓶搬运、装卸、储存和使用安全规定》第9.1条；GB9448 -1999第10.5.4条</w:t>
            </w:r>
          </w:p>
        </w:tc>
        <w:tc>
          <w:tcPr>
            <w:tcW w:w="518" w:type="dxa"/>
            <w:shd w:val="clear" w:color="auto" w:fill="auto"/>
            <w:vAlign w:val="center"/>
          </w:tcPr>
          <w:p w14:paraId="7075462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B062F84" w14:textId="77777777">
        <w:trPr>
          <w:jc w:val="center"/>
        </w:trPr>
        <w:tc>
          <w:tcPr>
            <w:tcW w:w="1828" w:type="dxa"/>
            <w:shd w:val="clear" w:color="auto" w:fill="auto"/>
            <w:vAlign w:val="center"/>
          </w:tcPr>
          <w:p w14:paraId="7B3B23D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6DB13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D769DAF"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0A8C12C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安放气瓶的地点周围10 m范围内，存在进行有明火或可能产生火花的作业（高空作业时，此距离为在地面的垂直投影距离）。</w:t>
            </w:r>
          </w:p>
        </w:tc>
        <w:tc>
          <w:tcPr>
            <w:tcW w:w="5833" w:type="dxa"/>
            <w:shd w:val="clear" w:color="auto" w:fill="auto"/>
            <w:vAlign w:val="center"/>
          </w:tcPr>
          <w:p w14:paraId="3AB810D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GB/T34525-2017《气瓶搬运、装卸、储存和使用安全规定》第9.2条</w:t>
            </w:r>
          </w:p>
        </w:tc>
        <w:tc>
          <w:tcPr>
            <w:tcW w:w="518" w:type="dxa"/>
            <w:shd w:val="clear" w:color="auto" w:fill="auto"/>
            <w:vAlign w:val="center"/>
          </w:tcPr>
          <w:p w14:paraId="426BC23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9C48DE4" w14:textId="77777777">
        <w:trPr>
          <w:jc w:val="center"/>
        </w:trPr>
        <w:tc>
          <w:tcPr>
            <w:tcW w:w="1828" w:type="dxa"/>
            <w:shd w:val="clear" w:color="auto" w:fill="auto"/>
            <w:vAlign w:val="center"/>
          </w:tcPr>
          <w:p w14:paraId="7759A0A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474643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0351ABF"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504FF4E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不能靠瓶底直立的气瓶，未配有底座(采用固定支架或者集装框架的气瓶除外)。</w:t>
            </w:r>
          </w:p>
        </w:tc>
        <w:tc>
          <w:tcPr>
            <w:tcW w:w="5833" w:type="dxa"/>
            <w:shd w:val="clear" w:color="auto" w:fill="auto"/>
            <w:vAlign w:val="center"/>
          </w:tcPr>
          <w:p w14:paraId="2672B11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TSG23-2021《气瓶安全技术规程》第7.3条</w:t>
            </w:r>
          </w:p>
        </w:tc>
        <w:tc>
          <w:tcPr>
            <w:tcW w:w="518" w:type="dxa"/>
            <w:shd w:val="clear" w:color="auto" w:fill="auto"/>
            <w:vAlign w:val="center"/>
          </w:tcPr>
          <w:p w14:paraId="18FF6B5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19B4DE7" w14:textId="77777777">
        <w:trPr>
          <w:jc w:val="center"/>
        </w:trPr>
        <w:tc>
          <w:tcPr>
            <w:tcW w:w="1828" w:type="dxa"/>
            <w:shd w:val="clear" w:color="auto" w:fill="auto"/>
            <w:vAlign w:val="center"/>
          </w:tcPr>
          <w:p w14:paraId="248435A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F0B08A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556F4D5"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53FB82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盛装气体的气瓶置于人员密集或者靠近热源的场所，或对气瓶进行加热。</w:t>
            </w:r>
          </w:p>
        </w:tc>
        <w:tc>
          <w:tcPr>
            <w:tcW w:w="5833" w:type="dxa"/>
            <w:shd w:val="clear" w:color="auto" w:fill="auto"/>
            <w:vAlign w:val="center"/>
          </w:tcPr>
          <w:p w14:paraId="72C62F8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TSG23-2021《气瓶安全技术规程》第8.6. 9条；GB/T34525 -2017第9.2条</w:t>
            </w:r>
          </w:p>
        </w:tc>
        <w:tc>
          <w:tcPr>
            <w:tcW w:w="518" w:type="dxa"/>
            <w:shd w:val="clear" w:color="auto" w:fill="auto"/>
            <w:vAlign w:val="center"/>
          </w:tcPr>
          <w:p w14:paraId="381B7D1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8380409" w14:textId="77777777">
        <w:trPr>
          <w:jc w:val="center"/>
        </w:trPr>
        <w:tc>
          <w:tcPr>
            <w:tcW w:w="1828" w:type="dxa"/>
            <w:shd w:val="clear" w:color="auto" w:fill="auto"/>
            <w:vAlign w:val="center"/>
          </w:tcPr>
          <w:p w14:paraId="0E08494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EEFB84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D7E52D0"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723BE4A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在夏季使用气瓶时，</w:t>
            </w:r>
            <w:r w:rsidR="006B495B">
              <w:rPr>
                <w:rFonts w:ascii="仿宋_GB2312" w:hAnsi="宋体" w:cs="宋体" w:hint="eastAsia"/>
                <w:color w:val="000000"/>
                <w:kern w:val="0"/>
                <w:sz w:val="20"/>
                <w:szCs w:val="20"/>
              </w:rPr>
              <w:t>未</w:t>
            </w:r>
            <w:r>
              <w:rPr>
                <w:rFonts w:ascii="仿宋_GB2312" w:hAnsi="宋体" w:cs="宋体" w:hint="eastAsia"/>
                <w:color w:val="000000"/>
                <w:kern w:val="0"/>
                <w:sz w:val="20"/>
                <w:szCs w:val="20"/>
              </w:rPr>
              <w:t>采取防止气瓶在烈日下暴晒的措施</w:t>
            </w:r>
          </w:p>
        </w:tc>
        <w:tc>
          <w:tcPr>
            <w:tcW w:w="5833" w:type="dxa"/>
            <w:shd w:val="clear" w:color="auto" w:fill="auto"/>
            <w:vAlign w:val="center"/>
          </w:tcPr>
          <w:p w14:paraId="7EC0CF6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34525-2017《气瓶搬运、装卸、储存和使用安全规定》第9.2条</w:t>
            </w:r>
          </w:p>
        </w:tc>
        <w:tc>
          <w:tcPr>
            <w:tcW w:w="518" w:type="dxa"/>
            <w:shd w:val="clear" w:color="auto" w:fill="auto"/>
            <w:vAlign w:val="center"/>
          </w:tcPr>
          <w:p w14:paraId="45E2C8A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776FDC4" w14:textId="77777777">
        <w:trPr>
          <w:jc w:val="center"/>
        </w:trPr>
        <w:tc>
          <w:tcPr>
            <w:tcW w:w="1828" w:type="dxa"/>
            <w:shd w:val="clear" w:color="auto" w:fill="auto"/>
            <w:vAlign w:val="center"/>
          </w:tcPr>
          <w:p w14:paraId="07FF998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3B2664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E098FA7"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6FD8AA7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氧气或其他强氧化性气体的气瓶，其瓶体、瓶阀是沾染油脂或其他可燃物；使用人员的工作服、手套和装卸工具、机具上沾有油脂。</w:t>
            </w:r>
          </w:p>
        </w:tc>
        <w:tc>
          <w:tcPr>
            <w:tcW w:w="5833" w:type="dxa"/>
            <w:shd w:val="clear" w:color="auto" w:fill="auto"/>
            <w:vAlign w:val="center"/>
          </w:tcPr>
          <w:p w14:paraId="660FBAC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34525-2017《气瓶搬运、装卸、储存和使用安全规定》第8.1.1条、第9.1条</w:t>
            </w:r>
          </w:p>
        </w:tc>
        <w:tc>
          <w:tcPr>
            <w:tcW w:w="518" w:type="dxa"/>
            <w:shd w:val="clear" w:color="auto" w:fill="auto"/>
            <w:vAlign w:val="center"/>
          </w:tcPr>
          <w:p w14:paraId="047CEC0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AA20597" w14:textId="77777777">
        <w:trPr>
          <w:jc w:val="center"/>
        </w:trPr>
        <w:tc>
          <w:tcPr>
            <w:tcW w:w="1828" w:type="dxa"/>
            <w:shd w:val="clear" w:color="auto" w:fill="auto"/>
            <w:vAlign w:val="center"/>
          </w:tcPr>
          <w:p w14:paraId="3AF2176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478A40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339AA09"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663D011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 xml:space="preserve">使用过的气瓶内未留有余压。 </w:t>
            </w:r>
          </w:p>
        </w:tc>
        <w:tc>
          <w:tcPr>
            <w:tcW w:w="5833" w:type="dxa"/>
            <w:shd w:val="clear" w:color="auto" w:fill="auto"/>
            <w:vAlign w:val="center"/>
          </w:tcPr>
          <w:p w14:paraId="4D5FF02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34525-2017《气瓶搬运、装卸、储存和使用安全规定》第9.1条</w:t>
            </w:r>
          </w:p>
        </w:tc>
        <w:tc>
          <w:tcPr>
            <w:tcW w:w="518" w:type="dxa"/>
            <w:shd w:val="clear" w:color="auto" w:fill="auto"/>
            <w:vAlign w:val="center"/>
          </w:tcPr>
          <w:p w14:paraId="748CDA5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50516B1" w14:textId="77777777">
        <w:trPr>
          <w:jc w:val="center"/>
        </w:trPr>
        <w:tc>
          <w:tcPr>
            <w:tcW w:w="1828" w:type="dxa"/>
            <w:shd w:val="clear" w:color="auto" w:fill="auto"/>
            <w:vAlign w:val="center"/>
          </w:tcPr>
          <w:p w14:paraId="14BD499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CBD40F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371D0B1"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0060006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气瓶使用场地未设有空瓶区、满瓶区，空瓶区、满瓶区无明显标识。</w:t>
            </w:r>
          </w:p>
        </w:tc>
        <w:tc>
          <w:tcPr>
            <w:tcW w:w="5833" w:type="dxa"/>
            <w:shd w:val="clear" w:color="auto" w:fill="auto"/>
            <w:vAlign w:val="center"/>
          </w:tcPr>
          <w:p w14:paraId="7DFC2AA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34525-2017《气瓶搬运、装卸、储存和使用安全规定》第9.1条</w:t>
            </w:r>
          </w:p>
        </w:tc>
        <w:tc>
          <w:tcPr>
            <w:tcW w:w="518" w:type="dxa"/>
            <w:shd w:val="clear" w:color="auto" w:fill="auto"/>
            <w:vAlign w:val="center"/>
          </w:tcPr>
          <w:p w14:paraId="4DFE6F6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C97192B" w14:textId="77777777">
        <w:trPr>
          <w:jc w:val="center"/>
        </w:trPr>
        <w:tc>
          <w:tcPr>
            <w:tcW w:w="1828" w:type="dxa"/>
            <w:shd w:val="clear" w:color="auto" w:fill="auto"/>
            <w:vAlign w:val="center"/>
          </w:tcPr>
          <w:p w14:paraId="1F444E5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A7DD80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8D5C435"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6BD5178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敲击、碰撞气瓶，在气瓶上进行电焊引弧，使用气瓶作为支架或其他不适宜用途等。</w:t>
            </w:r>
          </w:p>
        </w:tc>
        <w:tc>
          <w:tcPr>
            <w:tcW w:w="5833" w:type="dxa"/>
            <w:shd w:val="clear" w:color="auto" w:fill="auto"/>
            <w:vAlign w:val="center"/>
          </w:tcPr>
          <w:p w14:paraId="68F4233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34525-2017《气瓶搬运、装卸、储存和使用安全规定》第9.1条</w:t>
            </w:r>
          </w:p>
        </w:tc>
        <w:tc>
          <w:tcPr>
            <w:tcW w:w="518" w:type="dxa"/>
            <w:shd w:val="clear" w:color="auto" w:fill="auto"/>
            <w:vAlign w:val="center"/>
          </w:tcPr>
          <w:p w14:paraId="78F8671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3F7A645" w14:textId="77777777">
        <w:trPr>
          <w:jc w:val="center"/>
        </w:trPr>
        <w:tc>
          <w:tcPr>
            <w:tcW w:w="1828" w:type="dxa"/>
            <w:shd w:val="clear" w:color="auto" w:fill="auto"/>
            <w:vAlign w:val="center"/>
          </w:tcPr>
          <w:p w14:paraId="7BAD7BB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970B1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357D7AC"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5BF9A17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与乙炔接触的部件（包括仪表、管路、附件等）由铜、银以及铜（银）含量超过70%的合金制成。</w:t>
            </w:r>
          </w:p>
        </w:tc>
        <w:tc>
          <w:tcPr>
            <w:tcW w:w="5833" w:type="dxa"/>
            <w:shd w:val="clear" w:color="auto" w:fill="auto"/>
            <w:vAlign w:val="center"/>
          </w:tcPr>
          <w:p w14:paraId="12B47D7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GB9448-19999《焊接与切割安全》第10.1.1条</w:t>
            </w:r>
          </w:p>
        </w:tc>
        <w:tc>
          <w:tcPr>
            <w:tcW w:w="518" w:type="dxa"/>
            <w:shd w:val="clear" w:color="auto" w:fill="auto"/>
            <w:vAlign w:val="center"/>
          </w:tcPr>
          <w:p w14:paraId="313D33C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CF5F5C2" w14:textId="77777777">
        <w:trPr>
          <w:jc w:val="center"/>
        </w:trPr>
        <w:tc>
          <w:tcPr>
            <w:tcW w:w="1828" w:type="dxa"/>
            <w:shd w:val="clear" w:color="auto" w:fill="auto"/>
            <w:vAlign w:val="center"/>
          </w:tcPr>
          <w:p w14:paraId="1EB2642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CB92A1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691CE11"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429B1DB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氧气瓶、气瓶阀、接头、减压器、软管及设备未与油、润滑脂及其他可燃物或爆炸物相隔离。</w:t>
            </w:r>
          </w:p>
        </w:tc>
        <w:tc>
          <w:tcPr>
            <w:tcW w:w="5833" w:type="dxa"/>
            <w:shd w:val="clear" w:color="auto" w:fill="auto"/>
            <w:vAlign w:val="center"/>
          </w:tcPr>
          <w:p w14:paraId="53D0EB5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GB9448-19999《焊接与切割安全》第10.1.2条</w:t>
            </w:r>
          </w:p>
        </w:tc>
        <w:tc>
          <w:tcPr>
            <w:tcW w:w="518" w:type="dxa"/>
            <w:shd w:val="clear" w:color="auto" w:fill="auto"/>
            <w:vAlign w:val="center"/>
          </w:tcPr>
          <w:p w14:paraId="10E2843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99E3DFF" w14:textId="77777777">
        <w:trPr>
          <w:jc w:val="center"/>
        </w:trPr>
        <w:tc>
          <w:tcPr>
            <w:tcW w:w="1828" w:type="dxa"/>
            <w:shd w:val="clear" w:color="auto" w:fill="auto"/>
            <w:vAlign w:val="center"/>
          </w:tcPr>
          <w:p w14:paraId="62E208E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47BDE8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F13E63C"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697470C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连接气瓶的软管存在泄漏、烧坏、磨损、老化或有其他缺陷等。</w:t>
            </w:r>
          </w:p>
        </w:tc>
        <w:tc>
          <w:tcPr>
            <w:tcW w:w="5833" w:type="dxa"/>
            <w:shd w:val="clear" w:color="auto" w:fill="auto"/>
            <w:vAlign w:val="center"/>
          </w:tcPr>
          <w:p w14:paraId="33183C9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GB9448-19999《焊接与切割安全》第10.3条</w:t>
            </w:r>
          </w:p>
        </w:tc>
        <w:tc>
          <w:tcPr>
            <w:tcW w:w="518" w:type="dxa"/>
            <w:shd w:val="clear" w:color="auto" w:fill="auto"/>
            <w:vAlign w:val="center"/>
          </w:tcPr>
          <w:p w14:paraId="43DA529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885819B" w14:textId="77777777">
        <w:trPr>
          <w:jc w:val="center"/>
        </w:trPr>
        <w:tc>
          <w:tcPr>
            <w:tcW w:w="1828" w:type="dxa"/>
            <w:shd w:val="clear" w:color="auto" w:fill="auto"/>
            <w:vAlign w:val="center"/>
          </w:tcPr>
          <w:p w14:paraId="36BD37C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410B1F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F883C2D"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0879765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减压器与使用气瓶气体、压力不匹配，与软管、气瓶阀连接有泄漏；同时使用两种气体进行焊接或切割时，不同气瓶减压器的出口端未装设各自的单向阀防止气体相互倒灌。</w:t>
            </w:r>
          </w:p>
        </w:tc>
        <w:tc>
          <w:tcPr>
            <w:tcW w:w="5833" w:type="dxa"/>
            <w:shd w:val="clear" w:color="auto" w:fill="auto"/>
            <w:vAlign w:val="center"/>
          </w:tcPr>
          <w:p w14:paraId="36BCF7D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GB9448-1999《焊接与切割安全》第10.4条</w:t>
            </w:r>
          </w:p>
        </w:tc>
        <w:tc>
          <w:tcPr>
            <w:tcW w:w="518" w:type="dxa"/>
            <w:shd w:val="clear" w:color="auto" w:fill="auto"/>
            <w:vAlign w:val="center"/>
          </w:tcPr>
          <w:p w14:paraId="0A7BC01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B911602" w14:textId="77777777">
        <w:trPr>
          <w:jc w:val="center"/>
        </w:trPr>
        <w:tc>
          <w:tcPr>
            <w:tcW w:w="1828" w:type="dxa"/>
            <w:shd w:val="clear" w:color="auto" w:fill="auto"/>
            <w:vAlign w:val="center"/>
          </w:tcPr>
          <w:p w14:paraId="44CA012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49C34C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7A27650"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气瓶类</w:t>
            </w:r>
          </w:p>
        </w:tc>
        <w:tc>
          <w:tcPr>
            <w:tcW w:w="4666" w:type="dxa"/>
            <w:shd w:val="clear" w:color="auto" w:fill="auto"/>
            <w:vAlign w:val="center"/>
          </w:tcPr>
          <w:p w14:paraId="3EA1ACB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气瓶软管安装在加压阀、汇流排上时，卡箍或连接螺帽的螺纹存在缺陷；连接气瓶的减压器、接头、导管和压力表未涂以标记。</w:t>
            </w:r>
          </w:p>
        </w:tc>
        <w:tc>
          <w:tcPr>
            <w:tcW w:w="5833" w:type="dxa"/>
            <w:shd w:val="clear" w:color="auto" w:fill="auto"/>
            <w:vAlign w:val="center"/>
          </w:tcPr>
          <w:p w14:paraId="5B6C81A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 34525-2017《气瓶搬运、装卸、储存和使用安全规定》第9.1条</w:t>
            </w:r>
          </w:p>
        </w:tc>
        <w:tc>
          <w:tcPr>
            <w:tcW w:w="518" w:type="dxa"/>
            <w:shd w:val="clear" w:color="auto" w:fill="auto"/>
            <w:vAlign w:val="center"/>
          </w:tcPr>
          <w:p w14:paraId="6CB80B2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873DFFA" w14:textId="77777777">
        <w:trPr>
          <w:jc w:val="center"/>
        </w:trPr>
        <w:tc>
          <w:tcPr>
            <w:tcW w:w="1828" w:type="dxa"/>
            <w:shd w:val="clear" w:color="auto" w:fill="auto"/>
            <w:vAlign w:val="center"/>
          </w:tcPr>
          <w:p w14:paraId="38063D2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264760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30FDBBB"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26D66D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甲、乙、丙类液体的地上式、半地下式储罐区四</w:t>
            </w:r>
            <w:proofErr w:type="gramStart"/>
            <w:r>
              <w:rPr>
                <w:rFonts w:ascii="仿宋_GB2312" w:hAnsi="宋体" w:cs="宋体" w:hint="eastAsia"/>
                <w:color w:val="000000"/>
                <w:kern w:val="0"/>
                <w:sz w:val="20"/>
                <w:szCs w:val="20"/>
              </w:rPr>
              <w:t>周未</w:t>
            </w:r>
            <w:proofErr w:type="gramEnd"/>
            <w:r>
              <w:rPr>
                <w:rFonts w:ascii="仿宋_GB2312" w:hAnsi="宋体" w:cs="宋体" w:hint="eastAsia"/>
                <w:color w:val="000000"/>
                <w:kern w:val="0"/>
                <w:sz w:val="20"/>
                <w:szCs w:val="20"/>
              </w:rPr>
              <w:t>按要求设置防火堤。</w:t>
            </w:r>
          </w:p>
        </w:tc>
        <w:tc>
          <w:tcPr>
            <w:tcW w:w="5833" w:type="dxa"/>
            <w:shd w:val="clear" w:color="auto" w:fill="auto"/>
            <w:vAlign w:val="center"/>
          </w:tcPr>
          <w:p w14:paraId="4A0EC14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50016-2014《建筑设计防火规范（2018年版）》第4.2.5条</w:t>
            </w:r>
          </w:p>
        </w:tc>
        <w:tc>
          <w:tcPr>
            <w:tcW w:w="518" w:type="dxa"/>
            <w:shd w:val="clear" w:color="auto" w:fill="auto"/>
            <w:vAlign w:val="center"/>
          </w:tcPr>
          <w:p w14:paraId="331ADB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AECC48C" w14:textId="77777777">
        <w:trPr>
          <w:jc w:val="center"/>
        </w:trPr>
        <w:tc>
          <w:tcPr>
            <w:tcW w:w="1828" w:type="dxa"/>
            <w:shd w:val="clear" w:color="auto" w:fill="auto"/>
            <w:vAlign w:val="center"/>
          </w:tcPr>
          <w:p w14:paraId="00643B3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041363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0CA293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69BD22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储罐区防火堤、防护</w:t>
            </w:r>
            <w:proofErr w:type="gramStart"/>
            <w:r>
              <w:rPr>
                <w:rFonts w:ascii="仿宋_GB2312" w:hAnsi="宋体" w:cs="宋体" w:hint="eastAsia"/>
                <w:color w:val="000000"/>
                <w:kern w:val="0"/>
                <w:sz w:val="20"/>
                <w:szCs w:val="20"/>
              </w:rPr>
              <w:t>墙采用</w:t>
            </w:r>
            <w:proofErr w:type="gramEnd"/>
            <w:r>
              <w:rPr>
                <w:rFonts w:ascii="仿宋_GB2312" w:hAnsi="宋体" w:cs="宋体" w:hint="eastAsia"/>
                <w:color w:val="000000"/>
                <w:kern w:val="0"/>
                <w:sz w:val="20"/>
                <w:szCs w:val="20"/>
              </w:rPr>
              <w:t>可燃或难燃材料建造，或防火堤、防护</w:t>
            </w:r>
            <w:proofErr w:type="gramStart"/>
            <w:r>
              <w:rPr>
                <w:rFonts w:ascii="仿宋_GB2312" w:hAnsi="宋体" w:cs="宋体" w:hint="eastAsia"/>
                <w:color w:val="000000"/>
                <w:kern w:val="0"/>
                <w:sz w:val="20"/>
                <w:szCs w:val="20"/>
              </w:rPr>
              <w:t>墙未密实</w:t>
            </w:r>
            <w:proofErr w:type="gramEnd"/>
            <w:r>
              <w:rPr>
                <w:rFonts w:ascii="仿宋_GB2312" w:hAnsi="宋体" w:cs="宋体" w:hint="eastAsia"/>
                <w:color w:val="000000"/>
                <w:kern w:val="0"/>
                <w:sz w:val="20"/>
                <w:szCs w:val="20"/>
              </w:rPr>
              <w:t>、闭合，存在可能泄漏的孔、洞、裂缝等。</w:t>
            </w:r>
          </w:p>
        </w:tc>
        <w:tc>
          <w:tcPr>
            <w:tcW w:w="5833" w:type="dxa"/>
            <w:shd w:val="clear" w:color="auto" w:fill="auto"/>
            <w:vAlign w:val="center"/>
          </w:tcPr>
          <w:p w14:paraId="02DB3F8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50351-2014《储罐区防火堤设计规范》第3.1.2条</w:t>
            </w:r>
          </w:p>
        </w:tc>
        <w:tc>
          <w:tcPr>
            <w:tcW w:w="518" w:type="dxa"/>
            <w:shd w:val="clear" w:color="auto" w:fill="auto"/>
            <w:vAlign w:val="center"/>
          </w:tcPr>
          <w:p w14:paraId="3021C76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69044F6" w14:textId="77777777">
        <w:trPr>
          <w:jc w:val="center"/>
        </w:trPr>
        <w:tc>
          <w:tcPr>
            <w:tcW w:w="1828" w:type="dxa"/>
            <w:shd w:val="clear" w:color="auto" w:fill="auto"/>
            <w:vAlign w:val="center"/>
          </w:tcPr>
          <w:p w14:paraId="083CE37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2EEECF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305F4C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68B8A5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每一储罐组的防火堤、防护</w:t>
            </w:r>
            <w:proofErr w:type="gramStart"/>
            <w:r>
              <w:rPr>
                <w:rFonts w:ascii="仿宋_GB2312" w:hAnsi="宋体" w:cs="宋体" w:hint="eastAsia"/>
                <w:color w:val="000000"/>
                <w:kern w:val="0"/>
                <w:sz w:val="20"/>
                <w:szCs w:val="20"/>
              </w:rPr>
              <w:t>墙设置的越堤</w:t>
            </w:r>
            <w:proofErr w:type="gramEnd"/>
            <w:r>
              <w:rPr>
                <w:rFonts w:ascii="仿宋_GB2312" w:hAnsi="宋体" w:cs="宋体" w:hint="eastAsia"/>
                <w:color w:val="000000"/>
                <w:kern w:val="0"/>
                <w:sz w:val="20"/>
                <w:szCs w:val="20"/>
              </w:rPr>
              <w:t>人行踏步或坡道不足2处，</w:t>
            </w:r>
            <w:proofErr w:type="gramStart"/>
            <w:r>
              <w:rPr>
                <w:rFonts w:ascii="仿宋_GB2312" w:hAnsi="宋体" w:cs="宋体" w:hint="eastAsia"/>
                <w:color w:val="000000"/>
                <w:kern w:val="0"/>
                <w:sz w:val="20"/>
                <w:szCs w:val="20"/>
              </w:rPr>
              <w:t>越堤人行</w:t>
            </w:r>
            <w:proofErr w:type="gramEnd"/>
            <w:r>
              <w:rPr>
                <w:rFonts w:ascii="仿宋_GB2312" w:hAnsi="宋体" w:cs="宋体" w:hint="eastAsia"/>
                <w:color w:val="000000"/>
                <w:kern w:val="0"/>
                <w:sz w:val="20"/>
                <w:szCs w:val="20"/>
              </w:rPr>
              <w:t>踏步或坡道设置在同一方位上，或隔堤、</w:t>
            </w:r>
            <w:proofErr w:type="gramStart"/>
            <w:r>
              <w:rPr>
                <w:rFonts w:ascii="仿宋_GB2312" w:hAnsi="宋体" w:cs="宋体" w:hint="eastAsia"/>
                <w:color w:val="000000"/>
                <w:kern w:val="0"/>
                <w:sz w:val="20"/>
                <w:szCs w:val="20"/>
              </w:rPr>
              <w:t>隔墙未</w:t>
            </w:r>
            <w:proofErr w:type="gramEnd"/>
            <w:r>
              <w:rPr>
                <w:rFonts w:ascii="仿宋_GB2312" w:hAnsi="宋体" w:cs="宋体" w:hint="eastAsia"/>
                <w:color w:val="000000"/>
                <w:kern w:val="0"/>
                <w:sz w:val="20"/>
                <w:szCs w:val="20"/>
              </w:rPr>
              <w:t>设置人行踏步或坡道。</w:t>
            </w:r>
          </w:p>
        </w:tc>
        <w:tc>
          <w:tcPr>
            <w:tcW w:w="5833" w:type="dxa"/>
            <w:shd w:val="clear" w:color="auto" w:fill="auto"/>
            <w:vAlign w:val="center"/>
          </w:tcPr>
          <w:p w14:paraId="42464F7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50351-2014《储罐区防火堤设计规范》第3.1.7条</w:t>
            </w:r>
          </w:p>
        </w:tc>
        <w:tc>
          <w:tcPr>
            <w:tcW w:w="518" w:type="dxa"/>
            <w:shd w:val="clear" w:color="auto" w:fill="auto"/>
            <w:vAlign w:val="center"/>
          </w:tcPr>
          <w:p w14:paraId="1E62923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B5B8B13" w14:textId="77777777">
        <w:trPr>
          <w:jc w:val="center"/>
        </w:trPr>
        <w:tc>
          <w:tcPr>
            <w:tcW w:w="1828" w:type="dxa"/>
            <w:shd w:val="clear" w:color="auto" w:fill="auto"/>
            <w:vAlign w:val="center"/>
          </w:tcPr>
          <w:p w14:paraId="27B26A4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2A5237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44EE3C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3185F93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防火堤、防护墙</w:t>
            </w:r>
            <w:proofErr w:type="gramStart"/>
            <w:r>
              <w:rPr>
                <w:rFonts w:ascii="仿宋_GB2312" w:hAnsi="宋体" w:cs="宋体" w:hint="eastAsia"/>
                <w:color w:val="000000"/>
                <w:kern w:val="0"/>
                <w:sz w:val="20"/>
                <w:szCs w:val="20"/>
              </w:rPr>
              <w:t>的越堤人行</w:t>
            </w:r>
            <w:proofErr w:type="gramEnd"/>
            <w:r>
              <w:rPr>
                <w:rFonts w:ascii="仿宋_GB2312" w:hAnsi="宋体" w:cs="宋体" w:hint="eastAsia"/>
                <w:color w:val="000000"/>
                <w:kern w:val="0"/>
                <w:sz w:val="20"/>
                <w:szCs w:val="20"/>
              </w:rPr>
              <w:t>踏步或坡道高度大于或等于1.2m时未按要求设置护栏。</w:t>
            </w:r>
          </w:p>
        </w:tc>
        <w:tc>
          <w:tcPr>
            <w:tcW w:w="5833" w:type="dxa"/>
            <w:shd w:val="clear" w:color="auto" w:fill="auto"/>
            <w:vAlign w:val="center"/>
          </w:tcPr>
          <w:p w14:paraId="7BB6268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50351-2014《储罐区防火堤设计规范》第3.1.8条</w:t>
            </w:r>
          </w:p>
        </w:tc>
        <w:tc>
          <w:tcPr>
            <w:tcW w:w="518" w:type="dxa"/>
            <w:shd w:val="clear" w:color="auto" w:fill="auto"/>
            <w:vAlign w:val="center"/>
          </w:tcPr>
          <w:p w14:paraId="15F1767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CC09917" w14:textId="77777777">
        <w:trPr>
          <w:jc w:val="center"/>
        </w:trPr>
        <w:tc>
          <w:tcPr>
            <w:tcW w:w="1828" w:type="dxa"/>
            <w:shd w:val="clear" w:color="auto" w:fill="auto"/>
            <w:vAlign w:val="center"/>
          </w:tcPr>
          <w:p w14:paraId="31F346C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CEFD35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78C1C5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527AD4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防火堤、防护墙内的地面未采用现浇混凝土地面，存储酸、碱等腐蚀性介质的储罐组内的地面未做防腐蚀处理。</w:t>
            </w:r>
          </w:p>
        </w:tc>
        <w:tc>
          <w:tcPr>
            <w:tcW w:w="5833" w:type="dxa"/>
            <w:shd w:val="clear" w:color="auto" w:fill="auto"/>
            <w:vAlign w:val="center"/>
          </w:tcPr>
          <w:p w14:paraId="6E2FC39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第90部分：化工企业》第4.2.3.1条</w:t>
            </w:r>
          </w:p>
        </w:tc>
        <w:tc>
          <w:tcPr>
            <w:tcW w:w="518" w:type="dxa"/>
            <w:shd w:val="clear" w:color="auto" w:fill="auto"/>
            <w:vAlign w:val="center"/>
          </w:tcPr>
          <w:p w14:paraId="396EDA7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651B2D7" w14:textId="77777777">
        <w:trPr>
          <w:jc w:val="center"/>
        </w:trPr>
        <w:tc>
          <w:tcPr>
            <w:tcW w:w="1828" w:type="dxa"/>
            <w:shd w:val="clear" w:color="auto" w:fill="auto"/>
            <w:vAlign w:val="center"/>
          </w:tcPr>
          <w:p w14:paraId="33BE039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B9C71A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BBFE2B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B68526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防火堤、防护墙内排水沟未采取防渗漏措施，防火堤、防护墙内未设置集水设施，排水设施不具备可控制开闭功能。</w:t>
            </w:r>
          </w:p>
        </w:tc>
        <w:tc>
          <w:tcPr>
            <w:tcW w:w="5833" w:type="dxa"/>
            <w:shd w:val="clear" w:color="auto" w:fill="auto"/>
            <w:vAlign w:val="center"/>
          </w:tcPr>
          <w:p w14:paraId="1C2F0D4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50351-2014《储罐区防火堤设计规范》第3.1.6条；DB11/T 1322.90-2020《安全生产等级评定技术规范 第90部分：化工企业》第4.2.3.1条</w:t>
            </w:r>
          </w:p>
        </w:tc>
        <w:tc>
          <w:tcPr>
            <w:tcW w:w="518" w:type="dxa"/>
            <w:shd w:val="clear" w:color="auto" w:fill="auto"/>
            <w:vAlign w:val="center"/>
          </w:tcPr>
          <w:p w14:paraId="541DCD1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F7F4A59" w14:textId="77777777">
        <w:trPr>
          <w:jc w:val="center"/>
        </w:trPr>
        <w:tc>
          <w:tcPr>
            <w:tcW w:w="1828" w:type="dxa"/>
            <w:shd w:val="clear" w:color="auto" w:fill="auto"/>
            <w:vAlign w:val="center"/>
          </w:tcPr>
          <w:p w14:paraId="5746A08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B88F3E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00263E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6BF4D1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顶部可能存在空气时，可燃液体容器或储罐的进料管道未从容器或储罐下部接入；若必须从上部接入，未延伸至距容器或储罐底200mm处。</w:t>
            </w:r>
          </w:p>
        </w:tc>
        <w:tc>
          <w:tcPr>
            <w:tcW w:w="5833" w:type="dxa"/>
            <w:shd w:val="clear" w:color="auto" w:fill="auto"/>
            <w:vAlign w:val="center"/>
          </w:tcPr>
          <w:p w14:paraId="03FE343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GB51283-2020《精细化工企业工程设计防火标准》第5.1.2条</w:t>
            </w:r>
          </w:p>
        </w:tc>
        <w:tc>
          <w:tcPr>
            <w:tcW w:w="518" w:type="dxa"/>
            <w:shd w:val="clear" w:color="auto" w:fill="auto"/>
            <w:vAlign w:val="center"/>
          </w:tcPr>
          <w:p w14:paraId="4A26044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3231676" w14:textId="77777777">
        <w:trPr>
          <w:jc w:val="center"/>
        </w:trPr>
        <w:tc>
          <w:tcPr>
            <w:tcW w:w="1828" w:type="dxa"/>
            <w:shd w:val="clear" w:color="auto" w:fill="auto"/>
            <w:vAlign w:val="center"/>
          </w:tcPr>
          <w:p w14:paraId="41540C6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06C9D9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1E773D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753D6D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精细化工储罐组内储罐的总容积和单罐容积设置不符合要求。</w:t>
            </w:r>
          </w:p>
        </w:tc>
        <w:tc>
          <w:tcPr>
            <w:tcW w:w="5833" w:type="dxa"/>
            <w:shd w:val="clear" w:color="auto" w:fill="auto"/>
            <w:vAlign w:val="center"/>
          </w:tcPr>
          <w:p w14:paraId="4666114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GB51283-2020《精细化工企业工程设计防火标准》第6.2.5条</w:t>
            </w:r>
          </w:p>
          <w:p w14:paraId="54B1D7D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（1）甲B、乙类液体储罐的总容积不应大于 5000m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，单罐容积不应大于 1000m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w:t>
            </w:r>
          </w:p>
          <w:p w14:paraId="45B12C8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（2）丙类液体储罐的总容积不应大于 25000m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，单罐容积不应大于 ，单罐容积不应大于 5000m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w:t>
            </w:r>
          </w:p>
          <w:p w14:paraId="39068C2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（3）当不同类别储罐布置在一组内时，其总容积可按 当不同类别储罐布置在一组内时，其总容积可按 当不同类别储罐布置在一组内时，其总容积可按 1m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甲B、乙类液体相当 、乙类液体相当 于 5m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丙类液体折算</w:t>
            </w:r>
          </w:p>
        </w:tc>
        <w:tc>
          <w:tcPr>
            <w:tcW w:w="518" w:type="dxa"/>
            <w:shd w:val="clear" w:color="auto" w:fill="auto"/>
            <w:vAlign w:val="center"/>
          </w:tcPr>
          <w:p w14:paraId="4B3B0B0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403BD06" w14:textId="77777777">
        <w:trPr>
          <w:jc w:val="center"/>
        </w:trPr>
        <w:tc>
          <w:tcPr>
            <w:tcW w:w="1828" w:type="dxa"/>
            <w:shd w:val="clear" w:color="auto" w:fill="auto"/>
            <w:vAlign w:val="center"/>
          </w:tcPr>
          <w:p w14:paraId="64217D9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3DAEF3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1177B5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CE30C7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换热器的温度、压力示数异常，或未设上限标志。</w:t>
            </w:r>
          </w:p>
        </w:tc>
        <w:tc>
          <w:tcPr>
            <w:tcW w:w="5833" w:type="dxa"/>
            <w:shd w:val="clear" w:color="auto" w:fill="auto"/>
            <w:vAlign w:val="center"/>
          </w:tcPr>
          <w:p w14:paraId="5D62585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第90部分：化工企业》第4.3.1.1条</w:t>
            </w:r>
          </w:p>
        </w:tc>
        <w:tc>
          <w:tcPr>
            <w:tcW w:w="518" w:type="dxa"/>
            <w:shd w:val="clear" w:color="auto" w:fill="auto"/>
            <w:vAlign w:val="center"/>
          </w:tcPr>
          <w:p w14:paraId="20E31E0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1C4B635" w14:textId="77777777">
        <w:trPr>
          <w:jc w:val="center"/>
        </w:trPr>
        <w:tc>
          <w:tcPr>
            <w:tcW w:w="1828" w:type="dxa"/>
            <w:shd w:val="clear" w:color="auto" w:fill="auto"/>
            <w:vAlign w:val="center"/>
          </w:tcPr>
          <w:p w14:paraId="5E7757C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36F94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A968FF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D1D221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甲、乙A类液体泵房内设置地沟或地坑，泵房内未设置防止可燃气体积聚的措施。</w:t>
            </w:r>
          </w:p>
        </w:tc>
        <w:tc>
          <w:tcPr>
            <w:tcW w:w="5833" w:type="dxa"/>
            <w:shd w:val="clear" w:color="auto" w:fill="auto"/>
            <w:vAlign w:val="center"/>
          </w:tcPr>
          <w:p w14:paraId="71B08FE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《精细化工企业工程设计防火标准》（GB51283-2020）第5.3.3条</w:t>
            </w:r>
          </w:p>
        </w:tc>
        <w:tc>
          <w:tcPr>
            <w:tcW w:w="518" w:type="dxa"/>
            <w:shd w:val="clear" w:color="auto" w:fill="auto"/>
            <w:vAlign w:val="center"/>
          </w:tcPr>
          <w:p w14:paraId="1D8DBE2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D63AD6A" w14:textId="77777777">
        <w:trPr>
          <w:jc w:val="center"/>
        </w:trPr>
        <w:tc>
          <w:tcPr>
            <w:tcW w:w="1828" w:type="dxa"/>
            <w:shd w:val="clear" w:color="auto" w:fill="auto"/>
            <w:vAlign w:val="center"/>
          </w:tcPr>
          <w:p w14:paraId="528EF98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206931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144DEC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A23257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输送易燃易爆液体</w:t>
            </w:r>
            <w:proofErr w:type="gramStart"/>
            <w:r>
              <w:rPr>
                <w:rFonts w:ascii="仿宋_GB2312" w:hAnsi="宋体" w:cs="宋体" w:hint="eastAsia"/>
                <w:color w:val="000000"/>
                <w:kern w:val="0"/>
                <w:sz w:val="20"/>
                <w:szCs w:val="20"/>
              </w:rPr>
              <w:t>的泵不具备</w:t>
            </w:r>
            <w:proofErr w:type="gramEnd"/>
            <w:r>
              <w:rPr>
                <w:rFonts w:ascii="仿宋_GB2312" w:hAnsi="宋体" w:cs="宋体" w:hint="eastAsia"/>
                <w:color w:val="000000"/>
                <w:kern w:val="0"/>
                <w:sz w:val="20"/>
                <w:szCs w:val="20"/>
              </w:rPr>
              <w:t>防爆性能。</w:t>
            </w:r>
          </w:p>
        </w:tc>
        <w:tc>
          <w:tcPr>
            <w:tcW w:w="5833" w:type="dxa"/>
            <w:shd w:val="clear" w:color="auto" w:fill="auto"/>
            <w:vAlign w:val="center"/>
          </w:tcPr>
          <w:p w14:paraId="2161811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第90部分：化工企业》第4.3.1.2.1条</w:t>
            </w:r>
          </w:p>
        </w:tc>
        <w:tc>
          <w:tcPr>
            <w:tcW w:w="518" w:type="dxa"/>
            <w:shd w:val="clear" w:color="auto" w:fill="auto"/>
            <w:vAlign w:val="center"/>
          </w:tcPr>
          <w:p w14:paraId="34A29CB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ABDE8FD" w14:textId="77777777">
        <w:trPr>
          <w:jc w:val="center"/>
        </w:trPr>
        <w:tc>
          <w:tcPr>
            <w:tcW w:w="1828" w:type="dxa"/>
            <w:shd w:val="clear" w:color="auto" w:fill="auto"/>
            <w:vAlign w:val="center"/>
          </w:tcPr>
          <w:p w14:paraId="5400A28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768323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35C518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77AFD20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泵安装不牢固，未设置可靠的减震措施，或泵的外壳未可靠接地。</w:t>
            </w:r>
          </w:p>
        </w:tc>
        <w:tc>
          <w:tcPr>
            <w:tcW w:w="5833" w:type="dxa"/>
            <w:shd w:val="clear" w:color="auto" w:fill="auto"/>
            <w:vAlign w:val="center"/>
          </w:tcPr>
          <w:p w14:paraId="2F191C4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第90部分：化工企业》第4.3.1.2.2条</w:t>
            </w:r>
          </w:p>
        </w:tc>
        <w:tc>
          <w:tcPr>
            <w:tcW w:w="518" w:type="dxa"/>
            <w:shd w:val="clear" w:color="auto" w:fill="auto"/>
            <w:vAlign w:val="center"/>
          </w:tcPr>
          <w:p w14:paraId="715F940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EADBE22" w14:textId="77777777">
        <w:trPr>
          <w:jc w:val="center"/>
        </w:trPr>
        <w:tc>
          <w:tcPr>
            <w:tcW w:w="1828" w:type="dxa"/>
            <w:shd w:val="clear" w:color="auto" w:fill="auto"/>
            <w:vAlign w:val="center"/>
          </w:tcPr>
          <w:p w14:paraId="62A0313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68CD5D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3F437D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B0E859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泵的出、入口压力表示数异常。</w:t>
            </w:r>
          </w:p>
        </w:tc>
        <w:tc>
          <w:tcPr>
            <w:tcW w:w="5833" w:type="dxa"/>
            <w:shd w:val="clear" w:color="auto" w:fill="auto"/>
            <w:vAlign w:val="center"/>
          </w:tcPr>
          <w:p w14:paraId="57291B2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第90部分：化工企业》第4.3.1.2.3条</w:t>
            </w:r>
          </w:p>
        </w:tc>
        <w:tc>
          <w:tcPr>
            <w:tcW w:w="518" w:type="dxa"/>
            <w:shd w:val="clear" w:color="auto" w:fill="auto"/>
            <w:vAlign w:val="center"/>
          </w:tcPr>
          <w:p w14:paraId="5F035A5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08B6701" w14:textId="77777777">
        <w:trPr>
          <w:jc w:val="center"/>
        </w:trPr>
        <w:tc>
          <w:tcPr>
            <w:tcW w:w="1828" w:type="dxa"/>
            <w:shd w:val="clear" w:color="auto" w:fill="auto"/>
            <w:vAlign w:val="center"/>
          </w:tcPr>
          <w:p w14:paraId="0A63E1D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4DCA80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02654E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995002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反应釜（器）未设置温度和压力检测装置，或装置不具备超温、超压报警功能。</w:t>
            </w:r>
          </w:p>
        </w:tc>
        <w:tc>
          <w:tcPr>
            <w:tcW w:w="5833" w:type="dxa"/>
            <w:shd w:val="clear" w:color="auto" w:fill="auto"/>
            <w:vAlign w:val="center"/>
          </w:tcPr>
          <w:p w14:paraId="5432F1B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第90部分：化工企业》第4.3.1.3.1条</w:t>
            </w:r>
          </w:p>
        </w:tc>
        <w:tc>
          <w:tcPr>
            <w:tcW w:w="518" w:type="dxa"/>
            <w:shd w:val="clear" w:color="auto" w:fill="auto"/>
            <w:vAlign w:val="center"/>
          </w:tcPr>
          <w:p w14:paraId="4170D44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97FE3C0" w14:textId="77777777">
        <w:trPr>
          <w:jc w:val="center"/>
        </w:trPr>
        <w:tc>
          <w:tcPr>
            <w:tcW w:w="1828" w:type="dxa"/>
            <w:shd w:val="clear" w:color="auto" w:fill="auto"/>
            <w:vAlign w:val="center"/>
          </w:tcPr>
          <w:p w14:paraId="1EFB5D5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C38B37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64A96E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68CFE1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反应釜（器）内温度、压力未与自动进料系统、冷却系统等建立安全</w:t>
            </w:r>
            <w:proofErr w:type="gramStart"/>
            <w:r>
              <w:rPr>
                <w:rFonts w:ascii="仿宋_GB2312" w:hAnsi="宋体" w:cs="宋体" w:hint="eastAsia"/>
                <w:color w:val="000000"/>
                <w:kern w:val="0"/>
                <w:sz w:val="20"/>
                <w:szCs w:val="20"/>
              </w:rPr>
              <w:t>联锁</w:t>
            </w:r>
            <w:proofErr w:type="gramEnd"/>
            <w:r>
              <w:rPr>
                <w:rFonts w:ascii="仿宋_GB2312" w:hAnsi="宋体" w:cs="宋体" w:hint="eastAsia"/>
                <w:color w:val="000000"/>
                <w:kern w:val="0"/>
                <w:sz w:val="20"/>
                <w:szCs w:val="20"/>
              </w:rPr>
              <w:t>。</w:t>
            </w:r>
          </w:p>
        </w:tc>
        <w:tc>
          <w:tcPr>
            <w:tcW w:w="5833" w:type="dxa"/>
            <w:shd w:val="clear" w:color="auto" w:fill="auto"/>
            <w:vAlign w:val="center"/>
          </w:tcPr>
          <w:p w14:paraId="29FD1CE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第90部分：化工企业》第4.3.1.3.2条</w:t>
            </w:r>
          </w:p>
        </w:tc>
        <w:tc>
          <w:tcPr>
            <w:tcW w:w="518" w:type="dxa"/>
            <w:shd w:val="clear" w:color="auto" w:fill="auto"/>
            <w:vAlign w:val="center"/>
          </w:tcPr>
          <w:p w14:paraId="6E4A0A7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995D782" w14:textId="77777777">
        <w:trPr>
          <w:jc w:val="center"/>
        </w:trPr>
        <w:tc>
          <w:tcPr>
            <w:tcW w:w="1828" w:type="dxa"/>
            <w:shd w:val="clear" w:color="auto" w:fill="auto"/>
            <w:vAlign w:val="center"/>
          </w:tcPr>
          <w:p w14:paraId="2A510DE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28EFF8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2EDC91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37494D0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反应器（</w:t>
            </w:r>
            <w:proofErr w:type="gramStart"/>
            <w:r>
              <w:rPr>
                <w:rFonts w:ascii="仿宋_GB2312" w:hAnsi="宋体" w:cs="宋体" w:hint="eastAsia"/>
                <w:color w:val="000000"/>
                <w:kern w:val="0"/>
                <w:sz w:val="20"/>
                <w:szCs w:val="20"/>
              </w:rPr>
              <w:t>釜</w:t>
            </w:r>
            <w:proofErr w:type="gramEnd"/>
            <w:r>
              <w:rPr>
                <w:rFonts w:ascii="仿宋_GB2312" w:hAnsi="宋体" w:cs="宋体" w:hint="eastAsia"/>
                <w:color w:val="000000"/>
                <w:kern w:val="0"/>
                <w:sz w:val="20"/>
                <w:szCs w:val="20"/>
              </w:rPr>
              <w:t>）未设置安全泄放系统，安全泄放系统的泄放口未引致安全区域，朝向疏散通道及人员密集场所。</w:t>
            </w:r>
          </w:p>
        </w:tc>
        <w:tc>
          <w:tcPr>
            <w:tcW w:w="5833" w:type="dxa"/>
            <w:shd w:val="clear" w:color="auto" w:fill="auto"/>
            <w:vAlign w:val="center"/>
          </w:tcPr>
          <w:p w14:paraId="121D012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第90部分：化工企业》第4.3.1.3.3条</w:t>
            </w:r>
          </w:p>
        </w:tc>
        <w:tc>
          <w:tcPr>
            <w:tcW w:w="518" w:type="dxa"/>
            <w:shd w:val="clear" w:color="auto" w:fill="auto"/>
            <w:vAlign w:val="center"/>
          </w:tcPr>
          <w:p w14:paraId="7DC2E9F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A39CE60" w14:textId="77777777">
        <w:trPr>
          <w:jc w:val="center"/>
        </w:trPr>
        <w:tc>
          <w:tcPr>
            <w:tcW w:w="1828" w:type="dxa"/>
            <w:shd w:val="clear" w:color="auto" w:fill="auto"/>
            <w:vAlign w:val="center"/>
          </w:tcPr>
          <w:p w14:paraId="447973F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262872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8E6998A" w14:textId="77777777" w:rsidR="003F7E00" w:rsidRDefault="003F7E00" w:rsidP="003F7E00">
            <w:pPr>
              <w:widowControl/>
              <w:adjustRightInd w:val="0"/>
              <w:snapToGrid w:val="0"/>
              <w:spacing w:line="240" w:lineRule="auto"/>
              <w:jc w:val="center"/>
              <w:rPr>
                <w:rFonts w:ascii="仿宋_GB2312" w:hAnsiTheme="minorEastAsia"/>
                <w:color w:val="000000" w:themeColor="text1"/>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19CFE7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压力容器、塔、泵、鼓风机、压缩机或其他可能发生超压的独立压力系统或工况未按要求设置安全泄放装置/安全阀，或安全阀、爆破片等安全附件未正常投用。</w:t>
            </w:r>
          </w:p>
        </w:tc>
        <w:tc>
          <w:tcPr>
            <w:tcW w:w="5833" w:type="dxa"/>
            <w:shd w:val="clear" w:color="auto" w:fill="auto"/>
            <w:vAlign w:val="center"/>
          </w:tcPr>
          <w:p w14:paraId="5EDB79C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50160-2008《石油化工企业设计防火标准（2018年版）》第5.5.1条；GB51283-2020《精细化工企业工程设计防火标准》第5.7.1条；《化工和危险化学品生产经营单位重大生产安全事故隐患判定标准（试行）》第十五条</w:t>
            </w:r>
          </w:p>
        </w:tc>
        <w:tc>
          <w:tcPr>
            <w:tcW w:w="518" w:type="dxa"/>
            <w:shd w:val="clear" w:color="auto" w:fill="auto"/>
            <w:vAlign w:val="center"/>
          </w:tcPr>
          <w:p w14:paraId="24DB402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69631C49" w14:textId="77777777">
        <w:trPr>
          <w:jc w:val="center"/>
        </w:trPr>
        <w:tc>
          <w:tcPr>
            <w:tcW w:w="1828" w:type="dxa"/>
            <w:shd w:val="clear" w:color="auto" w:fill="auto"/>
            <w:vAlign w:val="center"/>
          </w:tcPr>
          <w:p w14:paraId="66AEEC0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FA28AE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9B6E9F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793AE88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原料、中间产品、成品等液体储罐未设液位计，</w:t>
            </w:r>
            <w:proofErr w:type="gramStart"/>
            <w:r>
              <w:rPr>
                <w:rFonts w:ascii="仿宋_GB2312" w:hAnsi="宋体" w:cs="宋体" w:hint="eastAsia"/>
                <w:color w:val="000000"/>
                <w:kern w:val="0"/>
                <w:sz w:val="20"/>
                <w:szCs w:val="20"/>
              </w:rPr>
              <w:t>液位计故障</w:t>
            </w:r>
            <w:proofErr w:type="gramEnd"/>
            <w:r>
              <w:rPr>
                <w:rFonts w:ascii="仿宋_GB2312" w:hAnsi="宋体" w:cs="宋体" w:hint="eastAsia"/>
                <w:color w:val="000000"/>
                <w:kern w:val="0"/>
                <w:sz w:val="20"/>
                <w:szCs w:val="20"/>
              </w:rPr>
              <w:t xml:space="preserve">或示数异常。 </w:t>
            </w:r>
          </w:p>
        </w:tc>
        <w:tc>
          <w:tcPr>
            <w:tcW w:w="5833" w:type="dxa"/>
            <w:shd w:val="clear" w:color="auto" w:fill="auto"/>
            <w:vAlign w:val="center"/>
          </w:tcPr>
          <w:p w14:paraId="63F81CB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第90部分：化工企业》第4.3.1.4.1条</w:t>
            </w:r>
          </w:p>
        </w:tc>
        <w:tc>
          <w:tcPr>
            <w:tcW w:w="518" w:type="dxa"/>
            <w:shd w:val="clear" w:color="auto" w:fill="auto"/>
            <w:vAlign w:val="center"/>
          </w:tcPr>
          <w:p w14:paraId="4071D0C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49C85E1" w14:textId="77777777">
        <w:trPr>
          <w:jc w:val="center"/>
        </w:trPr>
        <w:tc>
          <w:tcPr>
            <w:tcW w:w="1828" w:type="dxa"/>
            <w:shd w:val="clear" w:color="auto" w:fill="auto"/>
            <w:vAlign w:val="center"/>
          </w:tcPr>
          <w:p w14:paraId="1A410CF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C9C120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A6CD21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BC488A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储罐无铭牌、标识，标识中容积、储存限量与储存介质等信息不全，或铭牌、标识不清。</w:t>
            </w:r>
          </w:p>
        </w:tc>
        <w:tc>
          <w:tcPr>
            <w:tcW w:w="5833" w:type="dxa"/>
            <w:shd w:val="clear" w:color="auto" w:fill="auto"/>
            <w:vAlign w:val="center"/>
          </w:tcPr>
          <w:p w14:paraId="1DBA853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第90部分：化工企业》第4.3.1.4.2条</w:t>
            </w:r>
          </w:p>
        </w:tc>
        <w:tc>
          <w:tcPr>
            <w:tcW w:w="518" w:type="dxa"/>
            <w:shd w:val="clear" w:color="auto" w:fill="auto"/>
            <w:vAlign w:val="center"/>
          </w:tcPr>
          <w:p w14:paraId="179685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F386D3B" w14:textId="77777777">
        <w:trPr>
          <w:jc w:val="center"/>
        </w:trPr>
        <w:tc>
          <w:tcPr>
            <w:tcW w:w="1828" w:type="dxa"/>
            <w:shd w:val="clear" w:color="auto" w:fill="auto"/>
            <w:vAlign w:val="center"/>
          </w:tcPr>
          <w:p w14:paraId="03C8C5B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8566B3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65C772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1454AA6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工艺装置上可能引起火灾、爆炸的部位未设置温度、压力等检测仪表或超温、超压的安全</w:t>
            </w:r>
            <w:proofErr w:type="gramStart"/>
            <w:r>
              <w:rPr>
                <w:rFonts w:ascii="仿宋_GB2312" w:hAnsi="宋体" w:cs="宋体" w:hint="eastAsia"/>
                <w:color w:val="000000"/>
                <w:kern w:val="0"/>
                <w:sz w:val="20"/>
                <w:szCs w:val="20"/>
              </w:rPr>
              <w:t>联锁</w:t>
            </w:r>
            <w:proofErr w:type="gramEnd"/>
            <w:r>
              <w:rPr>
                <w:rFonts w:ascii="仿宋_GB2312" w:hAnsi="宋体" w:cs="宋体" w:hint="eastAsia"/>
                <w:color w:val="000000"/>
                <w:kern w:val="0"/>
                <w:sz w:val="20"/>
                <w:szCs w:val="20"/>
              </w:rPr>
              <w:t>报警装置、紧急切断阀等安全设施。</w:t>
            </w:r>
          </w:p>
        </w:tc>
        <w:tc>
          <w:tcPr>
            <w:tcW w:w="5833" w:type="dxa"/>
            <w:shd w:val="clear" w:color="auto" w:fill="auto"/>
            <w:vAlign w:val="center"/>
          </w:tcPr>
          <w:p w14:paraId="0F1AF07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第90部分：化工企业》第4.3.2.1条</w:t>
            </w:r>
          </w:p>
        </w:tc>
        <w:tc>
          <w:tcPr>
            <w:tcW w:w="518" w:type="dxa"/>
            <w:shd w:val="clear" w:color="auto" w:fill="auto"/>
            <w:vAlign w:val="center"/>
          </w:tcPr>
          <w:p w14:paraId="1787C90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F4A360E" w14:textId="77777777">
        <w:trPr>
          <w:jc w:val="center"/>
        </w:trPr>
        <w:tc>
          <w:tcPr>
            <w:tcW w:w="1828" w:type="dxa"/>
            <w:shd w:val="clear" w:color="auto" w:fill="auto"/>
            <w:vAlign w:val="center"/>
          </w:tcPr>
          <w:p w14:paraId="42C3602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C4C8B5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F8A53E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78C1DA2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有超压或分解爆炸可能的生产设备或贮存设备未设置安全阀和爆破片，或爆破片泄爆口朝向人行通道或人员密集场所。</w:t>
            </w:r>
          </w:p>
        </w:tc>
        <w:tc>
          <w:tcPr>
            <w:tcW w:w="5833" w:type="dxa"/>
            <w:shd w:val="clear" w:color="auto" w:fill="auto"/>
            <w:vAlign w:val="center"/>
          </w:tcPr>
          <w:p w14:paraId="3FDBC39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第90部分：化工企业》第4.3.2.2条</w:t>
            </w:r>
          </w:p>
        </w:tc>
        <w:tc>
          <w:tcPr>
            <w:tcW w:w="518" w:type="dxa"/>
            <w:shd w:val="clear" w:color="auto" w:fill="auto"/>
            <w:vAlign w:val="center"/>
          </w:tcPr>
          <w:p w14:paraId="6CEB709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A7E2556" w14:textId="77777777">
        <w:trPr>
          <w:jc w:val="center"/>
        </w:trPr>
        <w:tc>
          <w:tcPr>
            <w:tcW w:w="1828" w:type="dxa"/>
            <w:shd w:val="clear" w:color="auto" w:fill="auto"/>
            <w:vAlign w:val="center"/>
          </w:tcPr>
          <w:p w14:paraId="7D0886B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B25B75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0F80EF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7635C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各生产装置、建筑物、构筑物、罐区等含易燃液体的废水排出口处，未设水封井或排水闸。</w:t>
            </w:r>
          </w:p>
        </w:tc>
        <w:tc>
          <w:tcPr>
            <w:tcW w:w="5833" w:type="dxa"/>
            <w:shd w:val="clear" w:color="auto" w:fill="auto"/>
            <w:vAlign w:val="center"/>
          </w:tcPr>
          <w:p w14:paraId="49DC64C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第90部分：化工企业》第4.3.2.3条</w:t>
            </w:r>
          </w:p>
        </w:tc>
        <w:tc>
          <w:tcPr>
            <w:tcW w:w="518" w:type="dxa"/>
            <w:shd w:val="clear" w:color="auto" w:fill="auto"/>
            <w:vAlign w:val="center"/>
          </w:tcPr>
          <w:p w14:paraId="27134D0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AAFFEAD" w14:textId="77777777">
        <w:trPr>
          <w:jc w:val="center"/>
        </w:trPr>
        <w:tc>
          <w:tcPr>
            <w:tcW w:w="1828" w:type="dxa"/>
            <w:shd w:val="clear" w:color="auto" w:fill="auto"/>
            <w:vAlign w:val="center"/>
          </w:tcPr>
          <w:p w14:paraId="446B256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D863C4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1C441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6100327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采用热氧化炉等废气处理设施处理含挥发性有机物的废气时，未设置燃烧室高温</w:t>
            </w:r>
            <w:proofErr w:type="gramStart"/>
            <w:r>
              <w:rPr>
                <w:rFonts w:ascii="仿宋_GB2312" w:hAnsi="宋体" w:cs="宋体" w:hint="eastAsia"/>
                <w:color w:val="000000"/>
                <w:kern w:val="0"/>
                <w:sz w:val="20"/>
                <w:szCs w:val="20"/>
              </w:rPr>
              <w:t>联锁</w:t>
            </w:r>
            <w:proofErr w:type="gramEnd"/>
            <w:r>
              <w:rPr>
                <w:rFonts w:ascii="仿宋_GB2312" w:hAnsi="宋体" w:cs="宋体" w:hint="eastAsia"/>
                <w:color w:val="000000"/>
                <w:kern w:val="0"/>
                <w:sz w:val="20"/>
                <w:szCs w:val="20"/>
              </w:rPr>
              <w:t>保护系统或燃烧室</w:t>
            </w:r>
            <w:proofErr w:type="gramStart"/>
            <w:r>
              <w:rPr>
                <w:rFonts w:ascii="仿宋_GB2312" w:hAnsi="宋体" w:cs="宋体" w:hint="eastAsia"/>
                <w:color w:val="000000"/>
                <w:kern w:val="0"/>
                <w:sz w:val="20"/>
                <w:szCs w:val="20"/>
              </w:rPr>
              <w:t>超压泄爆装置</w:t>
            </w:r>
            <w:proofErr w:type="gramEnd"/>
            <w:r>
              <w:rPr>
                <w:rFonts w:ascii="仿宋_GB2312" w:hAnsi="宋体" w:cs="宋体" w:hint="eastAsia"/>
                <w:color w:val="000000"/>
                <w:kern w:val="0"/>
                <w:sz w:val="20"/>
                <w:szCs w:val="20"/>
              </w:rPr>
              <w:t>，未设置进气浓度监控与高浓度</w:t>
            </w:r>
            <w:proofErr w:type="gramStart"/>
            <w:r>
              <w:rPr>
                <w:rFonts w:ascii="仿宋_GB2312" w:hAnsi="宋体" w:cs="宋体" w:hint="eastAsia"/>
                <w:color w:val="000000"/>
                <w:kern w:val="0"/>
                <w:sz w:val="20"/>
                <w:szCs w:val="20"/>
              </w:rPr>
              <w:t>联锁</w:t>
            </w:r>
            <w:proofErr w:type="gramEnd"/>
            <w:r>
              <w:rPr>
                <w:rFonts w:ascii="仿宋_GB2312" w:hAnsi="宋体" w:cs="宋体" w:hint="eastAsia"/>
                <w:color w:val="000000"/>
                <w:kern w:val="0"/>
                <w:sz w:val="20"/>
                <w:szCs w:val="20"/>
              </w:rPr>
              <w:t>系统、废气管路阻火器</w:t>
            </w:r>
            <w:proofErr w:type="gramStart"/>
            <w:r>
              <w:rPr>
                <w:rFonts w:ascii="仿宋_GB2312" w:hAnsi="宋体" w:cs="宋体" w:hint="eastAsia"/>
                <w:color w:val="000000"/>
                <w:kern w:val="0"/>
                <w:sz w:val="20"/>
                <w:szCs w:val="20"/>
              </w:rPr>
              <w:t>或泄爆装置</w:t>
            </w:r>
            <w:proofErr w:type="gramEnd"/>
            <w:r>
              <w:rPr>
                <w:rFonts w:ascii="仿宋_GB2312" w:hAnsi="宋体" w:cs="宋体" w:hint="eastAsia"/>
                <w:color w:val="000000"/>
                <w:kern w:val="0"/>
                <w:sz w:val="20"/>
                <w:szCs w:val="20"/>
              </w:rPr>
              <w:t>。</w:t>
            </w:r>
          </w:p>
        </w:tc>
        <w:tc>
          <w:tcPr>
            <w:tcW w:w="5833" w:type="dxa"/>
            <w:shd w:val="clear" w:color="auto" w:fill="auto"/>
            <w:vAlign w:val="center"/>
          </w:tcPr>
          <w:p w14:paraId="5F9DCA0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GB51283-2020《精细化工企业工程设计防火标准》第5.1.5条</w:t>
            </w:r>
          </w:p>
        </w:tc>
        <w:tc>
          <w:tcPr>
            <w:tcW w:w="518" w:type="dxa"/>
            <w:shd w:val="clear" w:color="auto" w:fill="auto"/>
            <w:vAlign w:val="center"/>
          </w:tcPr>
          <w:p w14:paraId="435CD04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27D4F51" w14:textId="77777777">
        <w:trPr>
          <w:jc w:val="center"/>
        </w:trPr>
        <w:tc>
          <w:tcPr>
            <w:tcW w:w="1828" w:type="dxa"/>
            <w:shd w:val="clear" w:color="auto" w:fill="auto"/>
            <w:vAlign w:val="center"/>
          </w:tcPr>
          <w:p w14:paraId="2CCA117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F0D855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4C0EC1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182D080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不同的工艺尾气排入同一尾气处理系统，未进行安全风险分析；使用多个化学品储罐尾气联通回收系统的，未经安全论证合格后投用。将混合后可能发生化学反应并形成爆炸性混合气体的几种气体混合排放。</w:t>
            </w:r>
          </w:p>
        </w:tc>
        <w:tc>
          <w:tcPr>
            <w:tcW w:w="5833" w:type="dxa"/>
            <w:shd w:val="clear" w:color="auto" w:fill="auto"/>
            <w:vAlign w:val="center"/>
          </w:tcPr>
          <w:p w14:paraId="1299520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《精细化工企业工程设计防火标准》（GB51283-2020）第5.1.6条；《国家安全监管总局关于进一步加强化学品罐区安全管理的通知》（安监总管三〔2014〕68号）</w:t>
            </w:r>
          </w:p>
        </w:tc>
        <w:tc>
          <w:tcPr>
            <w:tcW w:w="518" w:type="dxa"/>
            <w:shd w:val="clear" w:color="auto" w:fill="auto"/>
            <w:vAlign w:val="center"/>
          </w:tcPr>
          <w:p w14:paraId="1EEBADF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A36655A" w14:textId="77777777">
        <w:trPr>
          <w:jc w:val="center"/>
        </w:trPr>
        <w:tc>
          <w:tcPr>
            <w:tcW w:w="1828" w:type="dxa"/>
            <w:shd w:val="clear" w:color="auto" w:fill="auto"/>
            <w:vAlign w:val="center"/>
          </w:tcPr>
          <w:p w14:paraId="2C58C2E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43AB22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AD2250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2AE3CF6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未实现对生产区域、储存区域、库房、控制室等重点部位视频</w:t>
            </w:r>
            <w:proofErr w:type="gramStart"/>
            <w:r>
              <w:rPr>
                <w:rFonts w:ascii="仿宋_GB2312" w:hAnsi="宋体" w:cs="宋体" w:hint="eastAsia"/>
                <w:color w:val="000000"/>
                <w:kern w:val="0"/>
                <w:sz w:val="20"/>
                <w:szCs w:val="20"/>
              </w:rPr>
              <w:t>监控全</w:t>
            </w:r>
            <w:proofErr w:type="gramEnd"/>
            <w:r>
              <w:rPr>
                <w:rFonts w:ascii="仿宋_GB2312" w:hAnsi="宋体" w:cs="宋体" w:hint="eastAsia"/>
                <w:color w:val="000000"/>
                <w:kern w:val="0"/>
                <w:sz w:val="20"/>
                <w:szCs w:val="20"/>
              </w:rPr>
              <w:t>覆盖，或视频保存时间少于90 d。</w:t>
            </w:r>
          </w:p>
        </w:tc>
        <w:tc>
          <w:tcPr>
            <w:tcW w:w="5833" w:type="dxa"/>
            <w:shd w:val="clear" w:color="auto" w:fill="auto"/>
            <w:vAlign w:val="center"/>
          </w:tcPr>
          <w:p w14:paraId="00990D1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第90部分：化工企业》第4.3.2.4条</w:t>
            </w:r>
          </w:p>
        </w:tc>
        <w:tc>
          <w:tcPr>
            <w:tcW w:w="518" w:type="dxa"/>
            <w:shd w:val="clear" w:color="auto" w:fill="auto"/>
            <w:vAlign w:val="center"/>
          </w:tcPr>
          <w:p w14:paraId="0A9827A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8F7EFE5" w14:textId="77777777">
        <w:trPr>
          <w:jc w:val="center"/>
        </w:trPr>
        <w:tc>
          <w:tcPr>
            <w:tcW w:w="1828" w:type="dxa"/>
            <w:shd w:val="clear" w:color="auto" w:fill="auto"/>
            <w:vAlign w:val="center"/>
          </w:tcPr>
          <w:p w14:paraId="63DADC5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E43BEF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803266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BE65C7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导热油管道进入生产设施处未设置紧急切断阀。导热油炉系统未安装安全泄放装置。</w:t>
            </w:r>
          </w:p>
        </w:tc>
        <w:tc>
          <w:tcPr>
            <w:tcW w:w="5833" w:type="dxa"/>
            <w:shd w:val="clear" w:color="auto" w:fill="auto"/>
            <w:vAlign w:val="center"/>
          </w:tcPr>
          <w:p w14:paraId="2F755F6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GB51283-2020《精细化工企业工程设计防火标准》第5.4.3条</w:t>
            </w:r>
          </w:p>
        </w:tc>
        <w:tc>
          <w:tcPr>
            <w:tcW w:w="518" w:type="dxa"/>
            <w:shd w:val="clear" w:color="auto" w:fill="auto"/>
            <w:vAlign w:val="center"/>
          </w:tcPr>
          <w:p w14:paraId="44D8B72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25E6991" w14:textId="77777777">
        <w:trPr>
          <w:jc w:val="center"/>
        </w:trPr>
        <w:tc>
          <w:tcPr>
            <w:tcW w:w="1828" w:type="dxa"/>
            <w:shd w:val="clear" w:color="auto" w:fill="auto"/>
            <w:vAlign w:val="center"/>
          </w:tcPr>
          <w:p w14:paraId="6ABB070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4093B1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12B8C0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EA80A1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地上管道存在环绕厂房、工艺装置或</w:t>
            </w:r>
            <w:proofErr w:type="gramStart"/>
            <w:r>
              <w:rPr>
                <w:rFonts w:ascii="仿宋_GB2312" w:hAnsi="宋体" w:cs="宋体" w:hint="eastAsia"/>
                <w:color w:val="000000"/>
                <w:kern w:val="0"/>
                <w:sz w:val="20"/>
                <w:szCs w:val="20"/>
              </w:rPr>
              <w:t>罐组布置</w:t>
            </w:r>
            <w:proofErr w:type="gramEnd"/>
            <w:r>
              <w:rPr>
                <w:rFonts w:ascii="仿宋_GB2312" w:hAnsi="宋体" w:cs="宋体" w:hint="eastAsia"/>
                <w:color w:val="000000"/>
                <w:kern w:val="0"/>
                <w:sz w:val="20"/>
                <w:szCs w:val="20"/>
              </w:rPr>
              <w:t>。</w:t>
            </w:r>
          </w:p>
        </w:tc>
        <w:tc>
          <w:tcPr>
            <w:tcW w:w="5833" w:type="dxa"/>
            <w:vMerge w:val="restart"/>
            <w:shd w:val="clear" w:color="auto" w:fill="auto"/>
            <w:vAlign w:val="center"/>
          </w:tcPr>
          <w:p w14:paraId="1F97DF8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50160-2008《石油化工企业设计防火标准（2018年版）》第7.1.1条；GB51283-2020《精细化工企业工程设计防火标准》第7.1.1条</w:t>
            </w:r>
          </w:p>
        </w:tc>
        <w:tc>
          <w:tcPr>
            <w:tcW w:w="518" w:type="dxa"/>
            <w:shd w:val="clear" w:color="auto" w:fill="auto"/>
            <w:vAlign w:val="center"/>
          </w:tcPr>
          <w:p w14:paraId="20665F3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018C5FC" w14:textId="77777777">
        <w:trPr>
          <w:jc w:val="center"/>
        </w:trPr>
        <w:tc>
          <w:tcPr>
            <w:tcW w:w="1828" w:type="dxa"/>
            <w:shd w:val="clear" w:color="auto" w:fill="auto"/>
            <w:vAlign w:val="center"/>
          </w:tcPr>
          <w:p w14:paraId="4B048AD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84EFF3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9A0F7A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0F48CCD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地上管道妨碍消防车的通行、消防扑救作业等。</w:t>
            </w:r>
          </w:p>
        </w:tc>
        <w:tc>
          <w:tcPr>
            <w:tcW w:w="5833" w:type="dxa"/>
            <w:vMerge/>
            <w:shd w:val="clear" w:color="auto" w:fill="auto"/>
            <w:vAlign w:val="center"/>
          </w:tcPr>
          <w:p w14:paraId="76E7C09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p>
        </w:tc>
        <w:tc>
          <w:tcPr>
            <w:tcW w:w="518" w:type="dxa"/>
            <w:shd w:val="clear" w:color="auto" w:fill="auto"/>
            <w:vAlign w:val="center"/>
          </w:tcPr>
          <w:p w14:paraId="33D3D17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B7F3F24" w14:textId="77777777">
        <w:trPr>
          <w:jc w:val="center"/>
        </w:trPr>
        <w:tc>
          <w:tcPr>
            <w:tcW w:w="1828" w:type="dxa"/>
            <w:shd w:val="clear" w:color="auto" w:fill="auto"/>
            <w:vAlign w:val="center"/>
          </w:tcPr>
          <w:p w14:paraId="31702E0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7A1FE4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CA4FE2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0B6EA8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跨越厂内道路的净空高度不足5m，石油化工企业管道及其桁架跨越厂内铁路线的净空高度不足5.5m。</w:t>
            </w:r>
          </w:p>
        </w:tc>
        <w:tc>
          <w:tcPr>
            <w:tcW w:w="5833" w:type="dxa"/>
            <w:shd w:val="clear" w:color="auto" w:fill="auto"/>
            <w:vAlign w:val="center"/>
          </w:tcPr>
          <w:p w14:paraId="444FCDA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50160-2008《石油化工企业设计防火标准（2018年版）》第7.1.2条；GB51283-2020《精细化工企业工程设计防火标准》第7.1.2条</w:t>
            </w:r>
          </w:p>
        </w:tc>
        <w:tc>
          <w:tcPr>
            <w:tcW w:w="518" w:type="dxa"/>
            <w:shd w:val="clear" w:color="auto" w:fill="auto"/>
            <w:vAlign w:val="center"/>
          </w:tcPr>
          <w:p w14:paraId="44924C2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42E548D" w14:textId="77777777">
        <w:trPr>
          <w:jc w:val="center"/>
        </w:trPr>
        <w:tc>
          <w:tcPr>
            <w:tcW w:w="1828" w:type="dxa"/>
            <w:shd w:val="clear" w:color="auto" w:fill="auto"/>
            <w:vAlign w:val="center"/>
          </w:tcPr>
          <w:p w14:paraId="1BA627E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055FBB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DA5C4A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B758D6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跨越铁路或道路的可燃气体、液化烃和可燃液体管道上设置阀门或易发生泄漏的管道附件。</w:t>
            </w:r>
          </w:p>
        </w:tc>
        <w:tc>
          <w:tcPr>
            <w:tcW w:w="5833" w:type="dxa"/>
            <w:shd w:val="clear" w:color="auto" w:fill="auto"/>
            <w:vAlign w:val="center"/>
          </w:tcPr>
          <w:p w14:paraId="57BEDA1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50160-2008《石油化工企业设计防火标准（2018年版）》第7.1.2条；GB51283-2020《精细化工企业工程设计防火标准》第7.1.3条</w:t>
            </w:r>
          </w:p>
        </w:tc>
        <w:tc>
          <w:tcPr>
            <w:tcW w:w="518" w:type="dxa"/>
            <w:shd w:val="clear" w:color="auto" w:fill="auto"/>
            <w:vAlign w:val="center"/>
          </w:tcPr>
          <w:p w14:paraId="4FC0D81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0B61374" w14:textId="77777777">
        <w:trPr>
          <w:jc w:val="center"/>
        </w:trPr>
        <w:tc>
          <w:tcPr>
            <w:tcW w:w="1828" w:type="dxa"/>
            <w:shd w:val="clear" w:color="auto" w:fill="auto"/>
            <w:vAlign w:val="center"/>
          </w:tcPr>
          <w:p w14:paraId="706E848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ADF310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F69528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68FF59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石油化工企业可燃气体、液化烃、可燃液体的管道穿越铁路线或道路时未敷设在管涵或套管内，或未采取防止可燃气体窜入和积聚在管涵或套管内的措施。</w:t>
            </w:r>
          </w:p>
        </w:tc>
        <w:tc>
          <w:tcPr>
            <w:tcW w:w="5833" w:type="dxa"/>
            <w:shd w:val="clear" w:color="auto" w:fill="auto"/>
            <w:vAlign w:val="center"/>
          </w:tcPr>
          <w:p w14:paraId="1BCD4E9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50160-2008《石油化工企业设计防火标准（2018年版）》第7.1.3条；</w:t>
            </w:r>
          </w:p>
        </w:tc>
        <w:tc>
          <w:tcPr>
            <w:tcW w:w="518" w:type="dxa"/>
            <w:shd w:val="clear" w:color="auto" w:fill="auto"/>
            <w:vAlign w:val="center"/>
          </w:tcPr>
          <w:p w14:paraId="2E4CBB3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ECD6BC3" w14:textId="77777777">
        <w:trPr>
          <w:jc w:val="center"/>
        </w:trPr>
        <w:tc>
          <w:tcPr>
            <w:tcW w:w="1828" w:type="dxa"/>
            <w:shd w:val="clear" w:color="auto" w:fill="auto"/>
            <w:vAlign w:val="center"/>
          </w:tcPr>
          <w:p w14:paraId="74151C0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8E074E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5F0DB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0415BF8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永久性的地上、地下管道穿越或跨越与其无关的生产设施、生产线、厂房（仓库）、储罐（组）和建（构）筑物。</w:t>
            </w:r>
          </w:p>
        </w:tc>
        <w:tc>
          <w:tcPr>
            <w:tcW w:w="5833" w:type="dxa"/>
            <w:shd w:val="clear" w:color="auto" w:fill="auto"/>
            <w:vAlign w:val="center"/>
          </w:tcPr>
          <w:p w14:paraId="5161073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50160-2008《石油化工企业设计防火标准（2018年版）》第7.1.4条、第7.2.2条；GB51283-2020《精细化工企业工程设计防火标准》第7.1.4条</w:t>
            </w:r>
          </w:p>
        </w:tc>
        <w:tc>
          <w:tcPr>
            <w:tcW w:w="518" w:type="dxa"/>
            <w:shd w:val="clear" w:color="auto" w:fill="auto"/>
            <w:vAlign w:val="center"/>
          </w:tcPr>
          <w:p w14:paraId="125DAD4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761636B" w14:textId="77777777">
        <w:trPr>
          <w:jc w:val="center"/>
        </w:trPr>
        <w:tc>
          <w:tcPr>
            <w:tcW w:w="1828" w:type="dxa"/>
            <w:shd w:val="clear" w:color="auto" w:fill="auto"/>
            <w:vAlign w:val="center"/>
          </w:tcPr>
          <w:p w14:paraId="19ABF20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471D1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D74D5F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1640752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石油化工企业在跨越罐区泵房的可燃气体、液化烃和可燃液体的管道上设置阀门及易发生泄漏的管道附件。</w:t>
            </w:r>
          </w:p>
        </w:tc>
        <w:tc>
          <w:tcPr>
            <w:tcW w:w="5833" w:type="dxa"/>
            <w:shd w:val="clear" w:color="auto" w:fill="auto"/>
            <w:vAlign w:val="center"/>
          </w:tcPr>
          <w:p w14:paraId="41DB945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50160-2008《石油化工企业设计防火标准（2018年版）》第7.1.4条</w:t>
            </w:r>
          </w:p>
        </w:tc>
        <w:tc>
          <w:tcPr>
            <w:tcW w:w="518" w:type="dxa"/>
            <w:shd w:val="clear" w:color="auto" w:fill="auto"/>
            <w:vAlign w:val="center"/>
          </w:tcPr>
          <w:p w14:paraId="1FD69D6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553FA36" w14:textId="77777777">
        <w:trPr>
          <w:jc w:val="center"/>
        </w:trPr>
        <w:tc>
          <w:tcPr>
            <w:tcW w:w="1828" w:type="dxa"/>
            <w:shd w:val="clear" w:color="auto" w:fill="auto"/>
            <w:vAlign w:val="center"/>
          </w:tcPr>
          <w:p w14:paraId="3E2FC20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93395A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B01255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601AC1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光气、氯气等剧毒气体及硫化氢气体管道穿越除厂区(包括化工园区、工业园区）外的公共区域。</w:t>
            </w:r>
          </w:p>
        </w:tc>
        <w:tc>
          <w:tcPr>
            <w:tcW w:w="5833" w:type="dxa"/>
            <w:shd w:val="clear" w:color="auto" w:fill="auto"/>
            <w:vAlign w:val="center"/>
          </w:tcPr>
          <w:p w14:paraId="19336DA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《危险化学品输送管道安全管理规定》（国家安全监管总局令第43号）第七条；《化工和危险化学品生产经营单位重大生产安全事故隐患判定标准（试行）》第八条</w:t>
            </w:r>
          </w:p>
        </w:tc>
        <w:tc>
          <w:tcPr>
            <w:tcW w:w="518" w:type="dxa"/>
            <w:shd w:val="clear" w:color="auto" w:fill="auto"/>
            <w:vAlign w:val="center"/>
          </w:tcPr>
          <w:p w14:paraId="6503940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67BDE6CB" w14:textId="77777777">
        <w:trPr>
          <w:jc w:val="center"/>
        </w:trPr>
        <w:tc>
          <w:tcPr>
            <w:tcW w:w="1828" w:type="dxa"/>
            <w:shd w:val="clear" w:color="auto" w:fill="auto"/>
            <w:vAlign w:val="center"/>
          </w:tcPr>
          <w:p w14:paraId="11B2BFA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16E97C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AC14C5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44997A8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石油化工企业距散发比空气重的可燃气体设备30m以内的</w:t>
            </w:r>
            <w:proofErr w:type="gramStart"/>
            <w:r>
              <w:rPr>
                <w:rFonts w:ascii="仿宋_GB2312" w:hAnsi="宋体" w:cs="宋体" w:hint="eastAsia"/>
                <w:color w:val="000000"/>
                <w:kern w:val="0"/>
                <w:sz w:val="20"/>
                <w:szCs w:val="20"/>
              </w:rPr>
              <w:t>管沟未采取</w:t>
            </w:r>
            <w:proofErr w:type="gramEnd"/>
            <w:r>
              <w:rPr>
                <w:rFonts w:ascii="仿宋_GB2312" w:hAnsi="宋体" w:cs="宋体" w:hint="eastAsia"/>
                <w:color w:val="000000"/>
                <w:kern w:val="0"/>
                <w:sz w:val="20"/>
                <w:szCs w:val="20"/>
              </w:rPr>
              <w:t>防止可燃气体窜入和积聚的措施。</w:t>
            </w:r>
          </w:p>
        </w:tc>
        <w:tc>
          <w:tcPr>
            <w:tcW w:w="5833" w:type="dxa"/>
            <w:shd w:val="clear" w:color="auto" w:fill="auto"/>
            <w:vAlign w:val="center"/>
          </w:tcPr>
          <w:p w14:paraId="4EFF0C6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50160-2008《石油化工企业设计防火标准（2018年版）》第7.1.5条</w:t>
            </w:r>
          </w:p>
        </w:tc>
        <w:tc>
          <w:tcPr>
            <w:tcW w:w="518" w:type="dxa"/>
            <w:shd w:val="clear" w:color="auto" w:fill="auto"/>
            <w:vAlign w:val="center"/>
          </w:tcPr>
          <w:p w14:paraId="298B801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0422736" w14:textId="77777777">
        <w:trPr>
          <w:jc w:val="center"/>
        </w:trPr>
        <w:tc>
          <w:tcPr>
            <w:tcW w:w="1828" w:type="dxa"/>
            <w:shd w:val="clear" w:color="auto" w:fill="auto"/>
            <w:vAlign w:val="center"/>
          </w:tcPr>
          <w:p w14:paraId="7B4BDDE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88DA15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C72808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FBAC98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石油化工企业的工艺管道或含可燃液体的污水管道沿道路敷设在路面下或路肩上下。</w:t>
            </w:r>
          </w:p>
        </w:tc>
        <w:tc>
          <w:tcPr>
            <w:tcW w:w="5833" w:type="dxa"/>
            <w:shd w:val="clear" w:color="auto" w:fill="auto"/>
            <w:vAlign w:val="center"/>
          </w:tcPr>
          <w:p w14:paraId="2BD17F1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50160-2008《石油化工企业设计防火标准（2018年版）》第7.1.6条</w:t>
            </w:r>
          </w:p>
        </w:tc>
        <w:tc>
          <w:tcPr>
            <w:tcW w:w="518" w:type="dxa"/>
            <w:shd w:val="clear" w:color="auto" w:fill="auto"/>
            <w:vAlign w:val="center"/>
          </w:tcPr>
          <w:p w14:paraId="1F050FF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770F9D4" w14:textId="77777777">
        <w:trPr>
          <w:jc w:val="center"/>
        </w:trPr>
        <w:tc>
          <w:tcPr>
            <w:tcW w:w="1828" w:type="dxa"/>
            <w:shd w:val="clear" w:color="auto" w:fill="auto"/>
            <w:vAlign w:val="center"/>
          </w:tcPr>
          <w:p w14:paraId="24E70A1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E7B45D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A33EE8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552703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石油化工企业的可燃气体、液化烃和可燃液体的采样管道引入化验室。</w:t>
            </w:r>
          </w:p>
        </w:tc>
        <w:tc>
          <w:tcPr>
            <w:tcW w:w="5833" w:type="dxa"/>
            <w:shd w:val="clear" w:color="auto" w:fill="auto"/>
            <w:vAlign w:val="center"/>
          </w:tcPr>
          <w:p w14:paraId="26A77FD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50160-2008《石油化工企业设计防火标准（2018年版）》第7.2.3条</w:t>
            </w:r>
          </w:p>
        </w:tc>
        <w:tc>
          <w:tcPr>
            <w:tcW w:w="518" w:type="dxa"/>
            <w:shd w:val="clear" w:color="auto" w:fill="auto"/>
            <w:vAlign w:val="center"/>
          </w:tcPr>
          <w:p w14:paraId="02DF31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8BD3DA0" w14:textId="77777777">
        <w:trPr>
          <w:jc w:val="center"/>
        </w:trPr>
        <w:tc>
          <w:tcPr>
            <w:tcW w:w="1828" w:type="dxa"/>
            <w:shd w:val="clear" w:color="auto" w:fill="auto"/>
            <w:vAlign w:val="center"/>
          </w:tcPr>
          <w:p w14:paraId="542D1FD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22B8C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BBB79A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235D3C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可燃气体、液化烃和可燃液体的管道未采取架空</w:t>
            </w:r>
            <w:proofErr w:type="gramStart"/>
            <w:r>
              <w:rPr>
                <w:rFonts w:ascii="仿宋_GB2312" w:hAnsi="宋体" w:cs="宋体" w:hint="eastAsia"/>
                <w:color w:val="000000"/>
                <w:kern w:val="0"/>
                <w:sz w:val="20"/>
                <w:szCs w:val="20"/>
              </w:rPr>
              <w:t>或沿地敷设</w:t>
            </w:r>
            <w:proofErr w:type="gramEnd"/>
            <w:r>
              <w:rPr>
                <w:rFonts w:ascii="仿宋_GB2312" w:hAnsi="宋体" w:cs="宋体" w:hint="eastAsia"/>
                <w:color w:val="000000"/>
                <w:kern w:val="0"/>
                <w:sz w:val="20"/>
                <w:szCs w:val="20"/>
              </w:rPr>
              <w:t>。必须采用管沟敷设的可燃气体、液化烃和可燃液体管道未采取防止可燃气体、液化烃和可燃液体在管沟内积聚的措施，未在进、出装置及厂房处密封隔断，或管沟内的污水未经水封井排入生产污水管道。</w:t>
            </w:r>
          </w:p>
        </w:tc>
        <w:tc>
          <w:tcPr>
            <w:tcW w:w="5833" w:type="dxa"/>
            <w:shd w:val="clear" w:color="auto" w:fill="auto"/>
            <w:vAlign w:val="center"/>
          </w:tcPr>
          <w:p w14:paraId="06096AC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50160-2008《石油化工企业设计防火标准（2018年版）》第7.2.4条；GB51283-2020《精细化工企业工程设计防火标准》第7.1.3条</w:t>
            </w:r>
          </w:p>
        </w:tc>
        <w:tc>
          <w:tcPr>
            <w:tcW w:w="518" w:type="dxa"/>
            <w:shd w:val="clear" w:color="auto" w:fill="auto"/>
            <w:vAlign w:val="center"/>
          </w:tcPr>
          <w:p w14:paraId="3252421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2FF3E07" w14:textId="77777777">
        <w:trPr>
          <w:jc w:val="center"/>
        </w:trPr>
        <w:tc>
          <w:tcPr>
            <w:tcW w:w="1828" w:type="dxa"/>
            <w:shd w:val="clear" w:color="auto" w:fill="auto"/>
            <w:vAlign w:val="center"/>
          </w:tcPr>
          <w:p w14:paraId="2EF1E67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124083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E5B6E9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04AF279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可燃气体压缩机的吸入管道未设置防止产生负压的措施。</w:t>
            </w:r>
          </w:p>
        </w:tc>
        <w:tc>
          <w:tcPr>
            <w:tcW w:w="5833" w:type="dxa"/>
            <w:shd w:val="clear" w:color="auto" w:fill="auto"/>
            <w:vAlign w:val="center"/>
          </w:tcPr>
          <w:p w14:paraId="4E8ED2A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50160-2008《石油化工企业设计防火标准（2018年版）》第7.2.10条</w:t>
            </w:r>
          </w:p>
        </w:tc>
        <w:tc>
          <w:tcPr>
            <w:tcW w:w="518" w:type="dxa"/>
            <w:shd w:val="clear" w:color="auto" w:fill="auto"/>
            <w:vAlign w:val="center"/>
          </w:tcPr>
          <w:p w14:paraId="583421B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7615168" w14:textId="77777777">
        <w:trPr>
          <w:jc w:val="center"/>
        </w:trPr>
        <w:tc>
          <w:tcPr>
            <w:tcW w:w="1828" w:type="dxa"/>
            <w:shd w:val="clear" w:color="auto" w:fill="auto"/>
            <w:vAlign w:val="center"/>
          </w:tcPr>
          <w:p w14:paraId="74FB81B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FACF86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9C2E2B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2481134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离心式可燃气体压缩机和可燃</w:t>
            </w:r>
            <w:proofErr w:type="gramStart"/>
            <w:r>
              <w:rPr>
                <w:rFonts w:ascii="仿宋_GB2312" w:hAnsi="宋体" w:cs="宋体" w:hint="eastAsia"/>
                <w:color w:val="000000"/>
                <w:kern w:val="0"/>
                <w:sz w:val="20"/>
                <w:szCs w:val="20"/>
              </w:rPr>
              <w:t>液体泵</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在</w:t>
            </w:r>
            <w:proofErr w:type="gramEnd"/>
            <w:r>
              <w:rPr>
                <w:rFonts w:ascii="仿宋_GB2312" w:hAnsi="宋体" w:cs="宋体" w:hint="eastAsia"/>
                <w:color w:val="000000"/>
                <w:kern w:val="0"/>
                <w:sz w:val="20"/>
                <w:szCs w:val="20"/>
              </w:rPr>
              <w:t>其出口管道上安装止回阀。</w:t>
            </w:r>
          </w:p>
        </w:tc>
        <w:tc>
          <w:tcPr>
            <w:tcW w:w="5833" w:type="dxa"/>
            <w:shd w:val="clear" w:color="auto" w:fill="auto"/>
            <w:vAlign w:val="center"/>
          </w:tcPr>
          <w:p w14:paraId="06CC46A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50160-2008《石油化工企业设计防火标准（2018年版）》第7.2.11条</w:t>
            </w:r>
          </w:p>
        </w:tc>
        <w:tc>
          <w:tcPr>
            <w:tcW w:w="518" w:type="dxa"/>
            <w:shd w:val="clear" w:color="auto" w:fill="auto"/>
            <w:vAlign w:val="center"/>
          </w:tcPr>
          <w:p w14:paraId="65BE7A2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A65C502" w14:textId="77777777">
        <w:trPr>
          <w:jc w:val="center"/>
        </w:trPr>
        <w:tc>
          <w:tcPr>
            <w:tcW w:w="1828" w:type="dxa"/>
            <w:shd w:val="clear" w:color="auto" w:fill="auto"/>
            <w:vAlign w:val="center"/>
          </w:tcPr>
          <w:p w14:paraId="4B7CECC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295758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AC9811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6F6A6E8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可燃气体、液化烃、可燃液体、可燃固体的管道或使用金属等导体材料制作的操作平台为设置防静电接地。</w:t>
            </w:r>
          </w:p>
        </w:tc>
        <w:tc>
          <w:tcPr>
            <w:tcW w:w="5833" w:type="dxa"/>
            <w:shd w:val="clear" w:color="auto" w:fill="auto"/>
            <w:vAlign w:val="center"/>
          </w:tcPr>
          <w:p w14:paraId="611E1D3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GB51283-2020《精细化工企业工程设计防火标准》第7.1.5条</w:t>
            </w:r>
          </w:p>
        </w:tc>
        <w:tc>
          <w:tcPr>
            <w:tcW w:w="518" w:type="dxa"/>
            <w:shd w:val="clear" w:color="auto" w:fill="auto"/>
            <w:vAlign w:val="center"/>
          </w:tcPr>
          <w:p w14:paraId="5B536C1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4DE26D3" w14:textId="77777777">
        <w:trPr>
          <w:jc w:val="center"/>
        </w:trPr>
        <w:tc>
          <w:tcPr>
            <w:tcW w:w="1828" w:type="dxa"/>
            <w:shd w:val="clear" w:color="auto" w:fill="auto"/>
            <w:vAlign w:val="center"/>
          </w:tcPr>
          <w:p w14:paraId="1D43A8B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7ACE0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E3ED45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B661148"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进出生产设施的可燃气体、液化烃、可燃液体管道，生产设施界区处未设隔断阀或8字盲板，或在</w:t>
            </w:r>
            <w:proofErr w:type="gramStart"/>
            <w:r>
              <w:rPr>
                <w:rFonts w:ascii="仿宋_GB2312" w:hAnsi="宋体" w:cs="宋体" w:hint="eastAsia"/>
                <w:color w:val="000000"/>
                <w:kern w:val="0"/>
                <w:sz w:val="20"/>
                <w:szCs w:val="20"/>
              </w:rPr>
              <w:t>隔断阀处未设</w:t>
            </w:r>
            <w:proofErr w:type="gramEnd"/>
            <w:r>
              <w:rPr>
                <w:rFonts w:ascii="仿宋_GB2312" w:hAnsi="宋体" w:cs="宋体" w:hint="eastAsia"/>
                <w:color w:val="000000"/>
                <w:kern w:val="0"/>
                <w:sz w:val="20"/>
                <w:szCs w:val="20"/>
              </w:rPr>
              <w:t>平台。</w:t>
            </w:r>
          </w:p>
        </w:tc>
        <w:tc>
          <w:tcPr>
            <w:tcW w:w="5833" w:type="dxa"/>
            <w:shd w:val="clear" w:color="auto" w:fill="auto"/>
            <w:vAlign w:val="center"/>
          </w:tcPr>
          <w:p w14:paraId="75B1F00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50160-2008《石油化工企业设计防火标准（2018年版）》第7.2.16条；GB51283-2020《精细化工企业工程设计防火标准》第7.2.2条；DB11/T 1322.90-2020《安全生产等级评定技术规范 第90部分：化工企业》第4.3.3条</w:t>
            </w:r>
          </w:p>
        </w:tc>
        <w:tc>
          <w:tcPr>
            <w:tcW w:w="518" w:type="dxa"/>
            <w:shd w:val="clear" w:color="auto" w:fill="auto"/>
            <w:vAlign w:val="center"/>
          </w:tcPr>
          <w:p w14:paraId="4651A2C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0CA9F27" w14:textId="77777777">
        <w:trPr>
          <w:jc w:val="center"/>
        </w:trPr>
        <w:tc>
          <w:tcPr>
            <w:tcW w:w="1828" w:type="dxa"/>
            <w:shd w:val="clear" w:color="auto" w:fill="auto"/>
            <w:vAlign w:val="center"/>
          </w:tcPr>
          <w:p w14:paraId="19843C8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112D2A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A27E85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7809611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液化烃、液氨、液氯等易燃易爆、有毒有害液化气体的充装未使用万向管道充装系统。</w:t>
            </w:r>
          </w:p>
        </w:tc>
        <w:tc>
          <w:tcPr>
            <w:tcW w:w="5833" w:type="dxa"/>
            <w:shd w:val="clear" w:color="auto" w:fill="auto"/>
            <w:vAlign w:val="center"/>
          </w:tcPr>
          <w:p w14:paraId="1ADEB4F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国务院安委会办公室《关于进一步加强危险化学品安全生产工作的指导意见》（安委办〔2008〕26号）和国家安全监管总局、工业和信息化部《关于危险化学品企业贯彻落实〈国务院关于进一步加强企业安全生产工作的通知〉的实施意见》（安监总管三〔2010〕186号）；《化工和危险化学品生产经营单位重大生产安全事故隐患判定标准（试行）》第七条</w:t>
            </w:r>
          </w:p>
        </w:tc>
        <w:tc>
          <w:tcPr>
            <w:tcW w:w="518" w:type="dxa"/>
            <w:shd w:val="clear" w:color="auto" w:fill="auto"/>
            <w:vAlign w:val="center"/>
          </w:tcPr>
          <w:p w14:paraId="6CD0C96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36D3DDD6" w14:textId="77777777">
        <w:trPr>
          <w:jc w:val="center"/>
        </w:trPr>
        <w:tc>
          <w:tcPr>
            <w:tcW w:w="1828" w:type="dxa"/>
            <w:shd w:val="clear" w:color="auto" w:fill="auto"/>
            <w:vAlign w:val="center"/>
          </w:tcPr>
          <w:p w14:paraId="18485A0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AB2CDF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893FCC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工艺及生产设备设施类</w:t>
            </w:r>
          </w:p>
        </w:tc>
        <w:tc>
          <w:tcPr>
            <w:tcW w:w="4666" w:type="dxa"/>
            <w:shd w:val="clear" w:color="auto" w:fill="auto"/>
            <w:vAlign w:val="center"/>
          </w:tcPr>
          <w:p w14:paraId="50564BA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在用自动化仪表状态异常，或仪表未在的检定或校准有效周期内。</w:t>
            </w:r>
          </w:p>
        </w:tc>
        <w:tc>
          <w:tcPr>
            <w:tcW w:w="5833" w:type="dxa"/>
            <w:shd w:val="clear" w:color="auto" w:fill="auto"/>
            <w:vAlign w:val="center"/>
          </w:tcPr>
          <w:p w14:paraId="19A0C67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第90部分：化工企业》第4.3.4.1条</w:t>
            </w:r>
          </w:p>
        </w:tc>
        <w:tc>
          <w:tcPr>
            <w:tcW w:w="518" w:type="dxa"/>
            <w:shd w:val="clear" w:color="auto" w:fill="auto"/>
            <w:vAlign w:val="center"/>
          </w:tcPr>
          <w:p w14:paraId="47EBA9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C8229EF" w14:textId="77777777">
        <w:trPr>
          <w:jc w:val="center"/>
        </w:trPr>
        <w:tc>
          <w:tcPr>
            <w:tcW w:w="1828" w:type="dxa"/>
            <w:shd w:val="clear" w:color="auto" w:fill="auto"/>
            <w:vAlign w:val="center"/>
          </w:tcPr>
          <w:p w14:paraId="78F2384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F64E37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C771B9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6069E46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爆炸危险场所的仪表及线路的防爆等级不满足区域的防爆要求。</w:t>
            </w:r>
          </w:p>
        </w:tc>
        <w:tc>
          <w:tcPr>
            <w:tcW w:w="5833" w:type="dxa"/>
            <w:shd w:val="clear" w:color="auto" w:fill="auto"/>
            <w:vAlign w:val="center"/>
          </w:tcPr>
          <w:p w14:paraId="596BB22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第90部分：化工企业》第4.3.4.1条；《化工和危险化学品生产经营单位重大生产安全事故隐患判定标准（试行）》第十二条</w:t>
            </w:r>
          </w:p>
        </w:tc>
        <w:tc>
          <w:tcPr>
            <w:tcW w:w="518" w:type="dxa"/>
            <w:shd w:val="clear" w:color="auto" w:fill="auto"/>
            <w:vAlign w:val="center"/>
          </w:tcPr>
          <w:p w14:paraId="139F977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0D17AD73" w14:textId="77777777">
        <w:trPr>
          <w:jc w:val="center"/>
        </w:trPr>
        <w:tc>
          <w:tcPr>
            <w:tcW w:w="1828" w:type="dxa"/>
            <w:shd w:val="clear" w:color="auto" w:fill="auto"/>
            <w:vAlign w:val="center"/>
          </w:tcPr>
          <w:p w14:paraId="588FAC2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ACB8D5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DFAE9A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6DE350D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新建化工装置未设置自动化控制系统，或未配备安全仪表系统。</w:t>
            </w:r>
          </w:p>
        </w:tc>
        <w:tc>
          <w:tcPr>
            <w:tcW w:w="5833" w:type="dxa"/>
            <w:shd w:val="clear" w:color="auto" w:fill="auto"/>
            <w:vAlign w:val="center"/>
          </w:tcPr>
          <w:p w14:paraId="44A1FEE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第90部分：化工企业》第4.3.4.2条</w:t>
            </w:r>
          </w:p>
        </w:tc>
        <w:tc>
          <w:tcPr>
            <w:tcW w:w="518" w:type="dxa"/>
            <w:shd w:val="clear" w:color="auto" w:fill="auto"/>
            <w:vAlign w:val="center"/>
          </w:tcPr>
          <w:p w14:paraId="15BCF53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CD40DD3" w14:textId="77777777">
        <w:trPr>
          <w:jc w:val="center"/>
        </w:trPr>
        <w:tc>
          <w:tcPr>
            <w:tcW w:w="1828" w:type="dxa"/>
            <w:shd w:val="clear" w:color="auto" w:fill="auto"/>
            <w:vAlign w:val="center"/>
          </w:tcPr>
          <w:p w14:paraId="6065DB4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E9A567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1F2D52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1BE7806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自动化控制系统未设置不间断电源，可燃、有毒气体检测报警系统未设置不间断电源。</w:t>
            </w:r>
          </w:p>
        </w:tc>
        <w:tc>
          <w:tcPr>
            <w:tcW w:w="5833" w:type="dxa"/>
            <w:shd w:val="clear" w:color="auto" w:fill="auto"/>
            <w:vAlign w:val="center"/>
          </w:tcPr>
          <w:p w14:paraId="1B34A27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第90部分：化工企业》第4.3.4.3条</w:t>
            </w:r>
          </w:p>
        </w:tc>
        <w:tc>
          <w:tcPr>
            <w:tcW w:w="518" w:type="dxa"/>
            <w:shd w:val="clear" w:color="auto" w:fill="auto"/>
            <w:vAlign w:val="center"/>
          </w:tcPr>
          <w:p w14:paraId="4D4A776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48693A4" w14:textId="77777777">
        <w:trPr>
          <w:jc w:val="center"/>
        </w:trPr>
        <w:tc>
          <w:tcPr>
            <w:tcW w:w="1828" w:type="dxa"/>
            <w:shd w:val="clear" w:color="auto" w:fill="auto"/>
            <w:vAlign w:val="center"/>
          </w:tcPr>
          <w:p w14:paraId="2E233C3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8C98D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757952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4602700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存在生产或使用可燃气体及有毒气体的工艺装置和储运设施的区域，未按要求设置可燃气体或有毒气体报警系统。</w:t>
            </w:r>
          </w:p>
        </w:tc>
        <w:tc>
          <w:tcPr>
            <w:tcW w:w="5833" w:type="dxa"/>
            <w:shd w:val="clear" w:color="auto" w:fill="auto"/>
            <w:vAlign w:val="center"/>
          </w:tcPr>
          <w:p w14:paraId="6691B65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第90部分：化工企业》第4.3.4.4条；《化工和危险化学品生产经营单位重大生产安全事故隐患判定标准（试行）》第十二条</w:t>
            </w:r>
          </w:p>
        </w:tc>
        <w:tc>
          <w:tcPr>
            <w:tcW w:w="518" w:type="dxa"/>
            <w:shd w:val="clear" w:color="auto" w:fill="auto"/>
            <w:vAlign w:val="center"/>
          </w:tcPr>
          <w:p w14:paraId="7F0CAE4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等线" w:cs="宋体" w:hint="eastAsia"/>
                <w:color w:val="000000"/>
                <w:kern w:val="0"/>
                <w:sz w:val="20"/>
                <w:szCs w:val="20"/>
              </w:rPr>
              <w:t>★</w:t>
            </w:r>
          </w:p>
        </w:tc>
      </w:tr>
      <w:tr w:rsidR="003F7E00" w14:paraId="7A467987" w14:textId="77777777">
        <w:trPr>
          <w:jc w:val="center"/>
        </w:trPr>
        <w:tc>
          <w:tcPr>
            <w:tcW w:w="1828" w:type="dxa"/>
            <w:shd w:val="clear" w:color="auto" w:fill="auto"/>
            <w:vAlign w:val="center"/>
          </w:tcPr>
          <w:p w14:paraId="59DAB6B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6A191C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F61872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0B8BE96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气体检测报警系统的设置不满足GB/T 50493的要求；报警值、报警点位的设置不符合可能泄漏的介质要求。气体检测报警信号需接入安全仪表系统(SIS),不符合GB/T 21109、GB/T 50770的相关要求。</w:t>
            </w:r>
          </w:p>
        </w:tc>
        <w:tc>
          <w:tcPr>
            <w:tcW w:w="5833" w:type="dxa"/>
            <w:shd w:val="clear" w:color="auto" w:fill="auto"/>
            <w:vAlign w:val="center"/>
          </w:tcPr>
          <w:p w14:paraId="1185A0E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3034—2022《化工过程安全管理导则》第4.7.2.7条</w:t>
            </w:r>
          </w:p>
        </w:tc>
        <w:tc>
          <w:tcPr>
            <w:tcW w:w="518" w:type="dxa"/>
            <w:shd w:val="clear" w:color="auto" w:fill="auto"/>
            <w:vAlign w:val="center"/>
          </w:tcPr>
          <w:p w14:paraId="4E7BB11D" w14:textId="77777777" w:rsidR="003F7E00" w:rsidRDefault="003F7E00" w:rsidP="003F7E00">
            <w:pPr>
              <w:widowControl/>
              <w:adjustRightInd w:val="0"/>
              <w:snapToGrid w:val="0"/>
              <w:spacing w:line="240" w:lineRule="auto"/>
              <w:jc w:val="center"/>
              <w:rPr>
                <w:rFonts w:ascii="仿宋_GB2312" w:hAnsi="等线" w:cs="宋体"/>
                <w:color w:val="000000"/>
                <w:kern w:val="0"/>
                <w:sz w:val="20"/>
                <w:szCs w:val="20"/>
              </w:rPr>
            </w:pPr>
          </w:p>
        </w:tc>
      </w:tr>
      <w:tr w:rsidR="003F7E00" w14:paraId="5AE167A5" w14:textId="77777777">
        <w:trPr>
          <w:jc w:val="center"/>
        </w:trPr>
        <w:tc>
          <w:tcPr>
            <w:tcW w:w="1828" w:type="dxa"/>
            <w:shd w:val="clear" w:color="auto" w:fill="auto"/>
            <w:vAlign w:val="center"/>
          </w:tcPr>
          <w:p w14:paraId="7CB121A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2642BC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7F048B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其他设备设施类</w:t>
            </w:r>
          </w:p>
        </w:tc>
        <w:tc>
          <w:tcPr>
            <w:tcW w:w="4666" w:type="dxa"/>
            <w:shd w:val="clear" w:color="auto" w:fill="auto"/>
            <w:vAlign w:val="center"/>
          </w:tcPr>
          <w:p w14:paraId="68232D2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可燃、有毒气体泄漏等报警系统未投用或处于非正常状态，长时间报警未处置。</w:t>
            </w:r>
          </w:p>
        </w:tc>
        <w:tc>
          <w:tcPr>
            <w:tcW w:w="5833" w:type="dxa"/>
            <w:shd w:val="clear" w:color="auto" w:fill="auto"/>
            <w:vAlign w:val="center"/>
          </w:tcPr>
          <w:p w14:paraId="2888681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第90部分：化工企业》第4.3.4.4条</w:t>
            </w:r>
          </w:p>
        </w:tc>
        <w:tc>
          <w:tcPr>
            <w:tcW w:w="518" w:type="dxa"/>
            <w:shd w:val="clear" w:color="auto" w:fill="auto"/>
            <w:vAlign w:val="center"/>
          </w:tcPr>
          <w:p w14:paraId="140D3CC7" w14:textId="77777777" w:rsidR="003F7E00" w:rsidRDefault="003F7E00" w:rsidP="003F7E00">
            <w:pPr>
              <w:widowControl/>
              <w:adjustRightInd w:val="0"/>
              <w:snapToGrid w:val="0"/>
              <w:spacing w:line="240" w:lineRule="auto"/>
              <w:jc w:val="center"/>
              <w:rPr>
                <w:rFonts w:ascii="仿宋_GB2312" w:hAnsi="等线" w:cs="宋体"/>
                <w:color w:val="000000"/>
                <w:kern w:val="0"/>
                <w:sz w:val="20"/>
                <w:szCs w:val="20"/>
              </w:rPr>
            </w:pPr>
          </w:p>
        </w:tc>
      </w:tr>
      <w:tr w:rsidR="003F7E00" w14:paraId="6408EB1C" w14:textId="77777777">
        <w:trPr>
          <w:jc w:val="center"/>
        </w:trPr>
        <w:tc>
          <w:tcPr>
            <w:tcW w:w="1828" w:type="dxa"/>
            <w:shd w:val="clear" w:color="auto" w:fill="auto"/>
            <w:vAlign w:val="center"/>
          </w:tcPr>
          <w:p w14:paraId="14521E7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D67F9A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8E037A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1CC3FB4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仓库内物品堆放与楼板、平屋顶、照明灯、墙、</w:t>
            </w:r>
            <w:proofErr w:type="gramStart"/>
            <w:r>
              <w:rPr>
                <w:rFonts w:ascii="仿宋_GB2312" w:hAnsi="宋体" w:cs="宋体" w:hint="eastAsia"/>
                <w:color w:val="000000"/>
                <w:kern w:val="0"/>
                <w:sz w:val="20"/>
                <w:szCs w:val="20"/>
              </w:rPr>
              <w:t>柱及其</w:t>
            </w:r>
            <w:proofErr w:type="gramEnd"/>
            <w:r>
              <w:rPr>
                <w:rFonts w:ascii="仿宋_GB2312" w:hAnsi="宋体" w:cs="宋体" w:hint="eastAsia"/>
                <w:color w:val="000000"/>
                <w:kern w:val="0"/>
                <w:sz w:val="20"/>
                <w:szCs w:val="20"/>
              </w:rPr>
              <w:t>他堆垛之间的间距不足。</w:t>
            </w:r>
          </w:p>
        </w:tc>
        <w:tc>
          <w:tcPr>
            <w:tcW w:w="5833" w:type="dxa"/>
            <w:shd w:val="clear" w:color="auto" w:fill="auto"/>
            <w:vAlign w:val="center"/>
          </w:tcPr>
          <w:p w14:paraId="258BA51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XF 1131-2014《仓储场所消防安全管理通则》第6.8条</w:t>
            </w:r>
          </w:p>
        </w:tc>
        <w:tc>
          <w:tcPr>
            <w:tcW w:w="518" w:type="dxa"/>
            <w:shd w:val="clear" w:color="auto" w:fill="auto"/>
            <w:vAlign w:val="center"/>
          </w:tcPr>
          <w:p w14:paraId="7948419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5DC73F7" w14:textId="77777777">
        <w:trPr>
          <w:jc w:val="center"/>
        </w:trPr>
        <w:tc>
          <w:tcPr>
            <w:tcW w:w="1828" w:type="dxa"/>
            <w:shd w:val="clear" w:color="auto" w:fill="auto"/>
            <w:vAlign w:val="center"/>
          </w:tcPr>
          <w:p w14:paraId="4530864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19C74A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A35596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0BB4B48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库房内货架采用可燃材料制作。</w:t>
            </w:r>
          </w:p>
        </w:tc>
        <w:tc>
          <w:tcPr>
            <w:tcW w:w="5833" w:type="dxa"/>
            <w:shd w:val="clear" w:color="auto" w:fill="auto"/>
            <w:vAlign w:val="center"/>
          </w:tcPr>
          <w:p w14:paraId="2E7EFB5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XF 1131-2014《仓储场所消防安全管理通则》第6.9条</w:t>
            </w:r>
          </w:p>
        </w:tc>
        <w:tc>
          <w:tcPr>
            <w:tcW w:w="518" w:type="dxa"/>
            <w:shd w:val="clear" w:color="auto" w:fill="auto"/>
            <w:vAlign w:val="center"/>
          </w:tcPr>
          <w:p w14:paraId="587CC69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4A922B9" w14:textId="77777777">
        <w:trPr>
          <w:jc w:val="center"/>
        </w:trPr>
        <w:tc>
          <w:tcPr>
            <w:tcW w:w="1828" w:type="dxa"/>
            <w:shd w:val="clear" w:color="auto" w:fill="auto"/>
            <w:vAlign w:val="center"/>
          </w:tcPr>
          <w:p w14:paraId="3559990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9509AA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448DA5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69ED433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库房内货架遮挡消火栓、自动喷淋系统喷头以及排烟口。</w:t>
            </w:r>
          </w:p>
        </w:tc>
        <w:tc>
          <w:tcPr>
            <w:tcW w:w="5833" w:type="dxa"/>
            <w:shd w:val="clear" w:color="auto" w:fill="auto"/>
            <w:vAlign w:val="center"/>
          </w:tcPr>
          <w:p w14:paraId="4E38D91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XF 1131-2014《仓储场所消防安全管理通则》第6.9条</w:t>
            </w:r>
          </w:p>
        </w:tc>
        <w:tc>
          <w:tcPr>
            <w:tcW w:w="518" w:type="dxa"/>
            <w:shd w:val="clear" w:color="auto" w:fill="auto"/>
            <w:vAlign w:val="center"/>
          </w:tcPr>
          <w:p w14:paraId="75EC489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E8E7B81" w14:textId="77777777">
        <w:trPr>
          <w:jc w:val="center"/>
        </w:trPr>
        <w:tc>
          <w:tcPr>
            <w:tcW w:w="1828" w:type="dxa"/>
            <w:shd w:val="clear" w:color="auto" w:fill="auto"/>
            <w:vAlign w:val="center"/>
          </w:tcPr>
          <w:p w14:paraId="67A5B54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B29174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26DC8A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58B725F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采购未取得《危险化学品安全生产许可证》或《危险化学品经营许可证》生产经营单位的危险化学品。</w:t>
            </w:r>
          </w:p>
        </w:tc>
        <w:tc>
          <w:tcPr>
            <w:tcW w:w="5833" w:type="dxa"/>
            <w:shd w:val="clear" w:color="auto" w:fill="auto"/>
            <w:vAlign w:val="center"/>
          </w:tcPr>
          <w:p w14:paraId="0538BEF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DB11/T1322.2-2017《安全生产等级评定技术规范第2部分：安全生产通用要求》第3.8.1.2条</w:t>
            </w:r>
          </w:p>
        </w:tc>
        <w:tc>
          <w:tcPr>
            <w:tcW w:w="518" w:type="dxa"/>
            <w:shd w:val="clear" w:color="auto" w:fill="auto"/>
            <w:vAlign w:val="center"/>
          </w:tcPr>
          <w:p w14:paraId="6D02C6B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0003B3D" w14:textId="77777777">
        <w:trPr>
          <w:jc w:val="center"/>
        </w:trPr>
        <w:tc>
          <w:tcPr>
            <w:tcW w:w="1828" w:type="dxa"/>
            <w:shd w:val="clear" w:color="auto" w:fill="auto"/>
            <w:vAlign w:val="center"/>
          </w:tcPr>
          <w:p w14:paraId="5B24C4A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C99FF4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AE25BB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48E58C6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企业未根据危险化学品储存限量要求设置专用仓库、储存室、气瓶间。</w:t>
            </w:r>
          </w:p>
        </w:tc>
        <w:tc>
          <w:tcPr>
            <w:tcW w:w="5833" w:type="dxa"/>
            <w:shd w:val="clear" w:color="auto" w:fill="auto"/>
            <w:vAlign w:val="center"/>
          </w:tcPr>
          <w:p w14:paraId="2947BD6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DB11/T1322.2-2017《安全生产等级评定技术规范第2部分：安全生产通用要求》第3.8.1.7、3.8.1.8、3.8.1.9条</w:t>
            </w:r>
          </w:p>
        </w:tc>
        <w:tc>
          <w:tcPr>
            <w:tcW w:w="518" w:type="dxa"/>
            <w:shd w:val="clear" w:color="auto" w:fill="auto"/>
            <w:vAlign w:val="center"/>
          </w:tcPr>
          <w:p w14:paraId="403A19E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FB9D28E" w14:textId="77777777">
        <w:trPr>
          <w:jc w:val="center"/>
        </w:trPr>
        <w:tc>
          <w:tcPr>
            <w:tcW w:w="1828" w:type="dxa"/>
            <w:shd w:val="clear" w:color="auto" w:fill="auto"/>
            <w:vAlign w:val="center"/>
          </w:tcPr>
          <w:p w14:paraId="73ED4CD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1AA422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BB8AED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718D58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单位不具备建专用仓库条件的，未通过增加危险化学品配送频次等有效措施将存放量降低至规定要求内；储存室、气瓶间超量存放危险化学品，不符合DB11/T 1322.2要求。</w:t>
            </w:r>
          </w:p>
        </w:tc>
        <w:tc>
          <w:tcPr>
            <w:tcW w:w="5833" w:type="dxa"/>
            <w:shd w:val="clear" w:color="auto" w:fill="auto"/>
            <w:vAlign w:val="center"/>
          </w:tcPr>
          <w:p w14:paraId="3EC5AC2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DB11/T1322.2-2017《安全生产等级评定技术规范第2部分：安全生产通用要求》第3.8.1.6、3.8.1.10条</w:t>
            </w:r>
          </w:p>
        </w:tc>
        <w:tc>
          <w:tcPr>
            <w:tcW w:w="518" w:type="dxa"/>
            <w:shd w:val="clear" w:color="auto" w:fill="auto"/>
            <w:vAlign w:val="center"/>
          </w:tcPr>
          <w:p w14:paraId="406A79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3F6F0FB" w14:textId="77777777">
        <w:trPr>
          <w:jc w:val="center"/>
        </w:trPr>
        <w:tc>
          <w:tcPr>
            <w:tcW w:w="1828" w:type="dxa"/>
            <w:shd w:val="clear" w:color="auto" w:fill="auto"/>
            <w:vAlign w:val="center"/>
          </w:tcPr>
          <w:p w14:paraId="26CF70A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F223D3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F9352C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31DC6B0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危险化学品未储存在专用仓库、专用储存室、气瓶间或专柜等专门的储存场所内，露天存放，或未由专人负责管理。</w:t>
            </w:r>
          </w:p>
        </w:tc>
        <w:tc>
          <w:tcPr>
            <w:tcW w:w="5833" w:type="dxa"/>
            <w:shd w:val="clear" w:color="auto" w:fill="auto"/>
            <w:vAlign w:val="center"/>
          </w:tcPr>
          <w:p w14:paraId="7001A16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《危险化学品安全管理条例》第二十四条；DB11/T1322.2-2017《安全生产等级评定技术规范第2部分：安全生产通用要求》第3.8.1.4条</w:t>
            </w:r>
          </w:p>
        </w:tc>
        <w:tc>
          <w:tcPr>
            <w:tcW w:w="518" w:type="dxa"/>
            <w:shd w:val="clear" w:color="auto" w:fill="auto"/>
            <w:vAlign w:val="center"/>
          </w:tcPr>
          <w:p w14:paraId="09992A4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984E9DA" w14:textId="77777777">
        <w:trPr>
          <w:jc w:val="center"/>
        </w:trPr>
        <w:tc>
          <w:tcPr>
            <w:tcW w:w="1828" w:type="dxa"/>
            <w:shd w:val="clear" w:color="auto" w:fill="auto"/>
            <w:vAlign w:val="center"/>
          </w:tcPr>
          <w:p w14:paraId="4387A03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519CE9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A187A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821AC4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危险化学品储存场所设置在地下或半地下建、构筑物内。</w:t>
            </w:r>
          </w:p>
        </w:tc>
        <w:tc>
          <w:tcPr>
            <w:tcW w:w="5833" w:type="dxa"/>
            <w:shd w:val="clear" w:color="auto" w:fill="auto"/>
            <w:vAlign w:val="center"/>
          </w:tcPr>
          <w:p w14:paraId="6EDA860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DB11/T1322.2-2017《安全生产等级评定技术规范第2部分：安全生产通用要求》第3.8.1.5条</w:t>
            </w:r>
          </w:p>
        </w:tc>
        <w:tc>
          <w:tcPr>
            <w:tcW w:w="518" w:type="dxa"/>
            <w:shd w:val="clear" w:color="auto" w:fill="auto"/>
            <w:vAlign w:val="center"/>
          </w:tcPr>
          <w:p w14:paraId="5054351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1FAA425" w14:textId="77777777">
        <w:trPr>
          <w:jc w:val="center"/>
        </w:trPr>
        <w:tc>
          <w:tcPr>
            <w:tcW w:w="1828" w:type="dxa"/>
            <w:shd w:val="clear" w:color="auto" w:fill="auto"/>
            <w:vAlign w:val="center"/>
          </w:tcPr>
          <w:p w14:paraId="0B0C22C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B9E997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E73138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5FC1B21B"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气瓶间内空瓶与实瓶</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开放置，</w:t>
            </w:r>
            <w:r w:rsidR="00A105EB">
              <w:rPr>
                <w:rFonts w:ascii="仿宋_GB2312" w:hAnsi="宋体" w:cs="宋体" w:hint="eastAsia"/>
                <w:color w:val="000000"/>
                <w:kern w:val="0"/>
                <w:sz w:val="20"/>
                <w:szCs w:val="20"/>
              </w:rPr>
              <w:t>未设</w:t>
            </w:r>
            <w:r>
              <w:rPr>
                <w:rFonts w:ascii="仿宋_GB2312" w:hAnsi="宋体" w:cs="宋体" w:hint="eastAsia"/>
                <w:color w:val="000000"/>
                <w:kern w:val="0"/>
                <w:sz w:val="20"/>
                <w:szCs w:val="20"/>
              </w:rPr>
              <w:t>明显分区标志，有毒气体气瓶以及瓶内气体相互接触能引起燃烧、爆炸、产生毒物的气瓶，</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分室存放；气瓶放置</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采取防止倾倒的措施。</w:t>
            </w:r>
          </w:p>
        </w:tc>
        <w:tc>
          <w:tcPr>
            <w:tcW w:w="5833" w:type="dxa"/>
            <w:shd w:val="clear" w:color="auto" w:fill="auto"/>
            <w:vAlign w:val="center"/>
          </w:tcPr>
          <w:p w14:paraId="24DAA44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DB11/T1322.2-2017《安全生产等级评定技术规范第2部分：安全生产通用要求》第3.8.4.9条。</w:t>
            </w:r>
          </w:p>
        </w:tc>
        <w:tc>
          <w:tcPr>
            <w:tcW w:w="518" w:type="dxa"/>
            <w:shd w:val="clear" w:color="auto" w:fill="auto"/>
            <w:vAlign w:val="center"/>
          </w:tcPr>
          <w:p w14:paraId="72DC216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85BB4A9" w14:textId="77777777">
        <w:trPr>
          <w:jc w:val="center"/>
        </w:trPr>
        <w:tc>
          <w:tcPr>
            <w:tcW w:w="1828" w:type="dxa"/>
            <w:shd w:val="clear" w:color="auto" w:fill="auto"/>
            <w:vAlign w:val="center"/>
          </w:tcPr>
          <w:p w14:paraId="0777E19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D16B9B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BDECF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7DDC764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剧毒化学品以及储存数量构成重大危险源的其他危险化学品，未在专用仓库内单独存放，或未实行双人收发、双人保管制度。</w:t>
            </w:r>
          </w:p>
        </w:tc>
        <w:tc>
          <w:tcPr>
            <w:tcW w:w="5833" w:type="dxa"/>
            <w:shd w:val="clear" w:color="auto" w:fill="auto"/>
            <w:vAlign w:val="center"/>
          </w:tcPr>
          <w:p w14:paraId="0DB17D1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《危险化学品安全管理条例》第二十四条</w:t>
            </w:r>
          </w:p>
        </w:tc>
        <w:tc>
          <w:tcPr>
            <w:tcW w:w="518" w:type="dxa"/>
            <w:shd w:val="clear" w:color="auto" w:fill="auto"/>
            <w:vAlign w:val="center"/>
          </w:tcPr>
          <w:p w14:paraId="6D1777C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4D7F994" w14:textId="77777777">
        <w:trPr>
          <w:jc w:val="center"/>
        </w:trPr>
        <w:tc>
          <w:tcPr>
            <w:tcW w:w="1828" w:type="dxa"/>
            <w:shd w:val="clear" w:color="auto" w:fill="auto"/>
            <w:vAlign w:val="center"/>
          </w:tcPr>
          <w:p w14:paraId="312E926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2B47A6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0C87F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6C5F50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储存危险化学品的单位未建立危险化学品出入库核查、登记制度。</w:t>
            </w:r>
          </w:p>
        </w:tc>
        <w:tc>
          <w:tcPr>
            <w:tcW w:w="5833" w:type="dxa"/>
            <w:shd w:val="clear" w:color="auto" w:fill="auto"/>
            <w:vAlign w:val="center"/>
          </w:tcPr>
          <w:p w14:paraId="53557A9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《危险化学品安全管理条例》第二十五条</w:t>
            </w:r>
          </w:p>
        </w:tc>
        <w:tc>
          <w:tcPr>
            <w:tcW w:w="518" w:type="dxa"/>
            <w:shd w:val="clear" w:color="auto" w:fill="auto"/>
            <w:vAlign w:val="center"/>
          </w:tcPr>
          <w:p w14:paraId="114CA80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1155DA3" w14:textId="77777777">
        <w:trPr>
          <w:jc w:val="center"/>
        </w:trPr>
        <w:tc>
          <w:tcPr>
            <w:tcW w:w="1828" w:type="dxa"/>
            <w:shd w:val="clear" w:color="auto" w:fill="auto"/>
            <w:vAlign w:val="center"/>
          </w:tcPr>
          <w:p w14:paraId="2C8E6A1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E8917E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C67A69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4F6E60B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危险化学品储存场所未设置明显的标志，未在危险化学品作业场所和安全设施、设备上设置明显的安全警示标志。</w:t>
            </w:r>
          </w:p>
        </w:tc>
        <w:tc>
          <w:tcPr>
            <w:tcW w:w="5833" w:type="dxa"/>
            <w:shd w:val="clear" w:color="auto" w:fill="auto"/>
            <w:vAlign w:val="center"/>
          </w:tcPr>
          <w:p w14:paraId="588059D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《危险化学品安全管理条例》第二十条</w:t>
            </w:r>
          </w:p>
        </w:tc>
        <w:tc>
          <w:tcPr>
            <w:tcW w:w="518" w:type="dxa"/>
            <w:shd w:val="clear" w:color="auto" w:fill="auto"/>
            <w:vAlign w:val="center"/>
          </w:tcPr>
          <w:p w14:paraId="4F036A6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B92709A" w14:textId="77777777">
        <w:trPr>
          <w:jc w:val="center"/>
        </w:trPr>
        <w:tc>
          <w:tcPr>
            <w:tcW w:w="1828" w:type="dxa"/>
            <w:shd w:val="clear" w:color="auto" w:fill="auto"/>
            <w:vAlign w:val="center"/>
          </w:tcPr>
          <w:p w14:paraId="3BB611D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2D7B7A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8AD6B3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FF800B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未保留与所储存、使用危险化学品种类相符的化学品安全标签和安全技术说明书。</w:t>
            </w:r>
          </w:p>
          <w:p w14:paraId="18413CF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采购和使用瓶装工业气体，不符合瓶装工业气体追溯管理要求。</w:t>
            </w:r>
          </w:p>
        </w:tc>
        <w:tc>
          <w:tcPr>
            <w:tcW w:w="5833" w:type="dxa"/>
            <w:shd w:val="clear" w:color="auto" w:fill="auto"/>
            <w:vAlign w:val="center"/>
          </w:tcPr>
          <w:p w14:paraId="19CD5FC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GB/T16483-2008《化学品安全技术说明书内容和顺序项目》第4.1条；GB 15258-2009《化学品安全标签编写规定》第4.1条、第6.1.1条；DB11/755-2010《危险化学品仓库建设及储存安全规范》()第4.5.2条；DB 11/T 1530—2018《危险化学品气瓶追溯技术规范》第3.2条</w:t>
            </w:r>
          </w:p>
        </w:tc>
        <w:tc>
          <w:tcPr>
            <w:tcW w:w="518" w:type="dxa"/>
            <w:shd w:val="clear" w:color="auto" w:fill="auto"/>
            <w:vAlign w:val="center"/>
          </w:tcPr>
          <w:p w14:paraId="76E0DD3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7AD1551" w14:textId="77777777">
        <w:trPr>
          <w:jc w:val="center"/>
        </w:trPr>
        <w:tc>
          <w:tcPr>
            <w:tcW w:w="1828" w:type="dxa"/>
            <w:shd w:val="clear" w:color="auto" w:fill="auto"/>
            <w:vAlign w:val="center"/>
          </w:tcPr>
          <w:p w14:paraId="2BF688A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BE55E2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95A2F8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33DDFF5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未建立危险化学品</w:t>
            </w:r>
            <w:proofErr w:type="gramStart"/>
            <w:r>
              <w:rPr>
                <w:rFonts w:ascii="仿宋_GB2312" w:hAnsi="宋体" w:cs="宋体" w:hint="eastAsia"/>
                <w:color w:val="000000"/>
                <w:kern w:val="0"/>
                <w:sz w:val="20"/>
                <w:szCs w:val="20"/>
              </w:rPr>
              <w:t>储存台</w:t>
            </w:r>
            <w:proofErr w:type="gramEnd"/>
            <w:r>
              <w:rPr>
                <w:rFonts w:ascii="仿宋_GB2312" w:hAnsi="宋体" w:cs="宋体" w:hint="eastAsia"/>
                <w:color w:val="000000"/>
                <w:kern w:val="0"/>
                <w:sz w:val="20"/>
                <w:szCs w:val="20"/>
              </w:rPr>
              <w:t>账和安全检查记录。危险化学品出</w:t>
            </w:r>
            <w:r>
              <w:rPr>
                <w:rFonts w:ascii="仿宋_GB2312" w:hAnsi="仿宋_GB2312" w:cs="仿宋_GB2312" w:hint="eastAsia"/>
                <w:color w:val="000000"/>
                <w:kern w:val="0"/>
                <w:sz w:val="20"/>
                <w:szCs w:val="20"/>
              </w:rPr>
              <w:t>入储存场所时，未检验物品数量、包装等情况。</w:t>
            </w:r>
          </w:p>
        </w:tc>
        <w:tc>
          <w:tcPr>
            <w:tcW w:w="5833" w:type="dxa"/>
            <w:shd w:val="clear" w:color="auto" w:fill="auto"/>
            <w:vAlign w:val="center"/>
          </w:tcPr>
          <w:p w14:paraId="6699C0B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DB11/755-2010《危险化学品仓库建设及储存安全规范》第4.5.3条；DB11/T1322.2 -2017《安全生产等级评定技术规范第2部分：安全生产通用要求》第3.8.1.17条</w:t>
            </w:r>
          </w:p>
        </w:tc>
        <w:tc>
          <w:tcPr>
            <w:tcW w:w="518" w:type="dxa"/>
            <w:shd w:val="clear" w:color="auto" w:fill="auto"/>
            <w:vAlign w:val="center"/>
          </w:tcPr>
          <w:p w14:paraId="3383F07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DEAEB93" w14:textId="77777777">
        <w:trPr>
          <w:jc w:val="center"/>
        </w:trPr>
        <w:tc>
          <w:tcPr>
            <w:tcW w:w="1828" w:type="dxa"/>
            <w:shd w:val="clear" w:color="auto" w:fill="auto"/>
            <w:vAlign w:val="center"/>
          </w:tcPr>
          <w:p w14:paraId="7617A99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4D174D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27C79D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2C5AA16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w:t>
            </w:r>
            <w:proofErr w:type="gramStart"/>
            <w:r>
              <w:rPr>
                <w:rFonts w:ascii="仿宋_GB2312" w:hAnsi="宋体" w:cs="宋体" w:hint="eastAsia"/>
                <w:color w:val="000000"/>
                <w:kern w:val="0"/>
                <w:sz w:val="20"/>
                <w:szCs w:val="20"/>
              </w:rPr>
              <w:t>按危险</w:t>
            </w:r>
            <w:proofErr w:type="gramEnd"/>
            <w:r>
              <w:rPr>
                <w:rFonts w:ascii="仿宋_GB2312" w:hAnsi="宋体" w:cs="宋体" w:hint="eastAsia"/>
                <w:color w:val="000000"/>
                <w:kern w:val="0"/>
                <w:sz w:val="20"/>
                <w:szCs w:val="20"/>
              </w:rPr>
              <w:t>化学品的危险性质分区、分类、分库(或分柜)存放，超量、</w:t>
            </w:r>
            <w:proofErr w:type="gramStart"/>
            <w:r>
              <w:rPr>
                <w:rFonts w:ascii="仿宋_GB2312" w:hAnsi="宋体" w:cs="宋体" w:hint="eastAsia"/>
                <w:color w:val="000000"/>
                <w:kern w:val="0"/>
                <w:sz w:val="20"/>
                <w:szCs w:val="20"/>
              </w:rPr>
              <w:t>超品种</w:t>
            </w:r>
            <w:proofErr w:type="gramEnd"/>
            <w:r>
              <w:rPr>
                <w:rFonts w:ascii="仿宋_GB2312" w:hAnsi="宋体" w:cs="宋体" w:hint="eastAsia"/>
                <w:color w:val="000000"/>
                <w:kern w:val="0"/>
                <w:sz w:val="20"/>
                <w:szCs w:val="20"/>
              </w:rPr>
              <w:t>储存危险化学品，相互</w:t>
            </w:r>
            <w:proofErr w:type="gramStart"/>
            <w:r>
              <w:rPr>
                <w:rFonts w:ascii="仿宋_GB2312" w:hAnsi="宋体" w:cs="宋体" w:hint="eastAsia"/>
                <w:color w:val="000000"/>
                <w:kern w:val="0"/>
                <w:sz w:val="20"/>
                <w:szCs w:val="20"/>
              </w:rPr>
              <w:t>禁配物质混</w:t>
            </w:r>
            <w:proofErr w:type="gramEnd"/>
            <w:r>
              <w:rPr>
                <w:rFonts w:ascii="仿宋_GB2312" w:hAnsi="宋体" w:cs="宋体" w:hint="eastAsia"/>
                <w:color w:val="000000"/>
                <w:kern w:val="0"/>
                <w:sz w:val="20"/>
                <w:szCs w:val="20"/>
              </w:rPr>
              <w:t>放混存。</w:t>
            </w:r>
          </w:p>
        </w:tc>
        <w:tc>
          <w:tcPr>
            <w:tcW w:w="5833" w:type="dxa"/>
            <w:shd w:val="clear" w:color="auto" w:fill="auto"/>
            <w:vAlign w:val="center"/>
          </w:tcPr>
          <w:p w14:paraId="2BEF52D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DB11/755-2010《危险化学品仓库建设及储存安全规范》第4.4.2条、第4.4.3条、第4.4.4条；《危险化学品安全管理条例》第八十条；《化工和危险化学品生产经营单位重大生产安全事故隐患判定标准（试行）》第二十条</w:t>
            </w:r>
          </w:p>
        </w:tc>
        <w:tc>
          <w:tcPr>
            <w:tcW w:w="518" w:type="dxa"/>
            <w:shd w:val="clear" w:color="auto" w:fill="auto"/>
            <w:vAlign w:val="center"/>
          </w:tcPr>
          <w:p w14:paraId="1749310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04BF28AB" w14:textId="77777777">
        <w:trPr>
          <w:jc w:val="center"/>
        </w:trPr>
        <w:tc>
          <w:tcPr>
            <w:tcW w:w="1828" w:type="dxa"/>
            <w:shd w:val="clear" w:color="auto" w:fill="auto"/>
            <w:vAlign w:val="center"/>
          </w:tcPr>
          <w:p w14:paraId="685C674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BF2F8D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340449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0394267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易燃易爆危险化学品、腐蚀性危险化学品、有毒危险化学品的储存不符合相关规定；剧毒、易制毒化</w:t>
            </w:r>
            <w:r>
              <w:rPr>
                <w:rFonts w:ascii="仿宋_GB2312" w:hAnsi="宋体" w:cs="宋体" w:hint="eastAsia"/>
                <w:color w:val="000000"/>
                <w:kern w:val="0"/>
                <w:sz w:val="20"/>
                <w:szCs w:val="20"/>
              </w:rPr>
              <w:lastRenderedPageBreak/>
              <w:t>学品、易制</w:t>
            </w:r>
            <w:proofErr w:type="gramStart"/>
            <w:r>
              <w:rPr>
                <w:rFonts w:ascii="仿宋_GB2312" w:hAnsi="宋体" w:cs="宋体" w:hint="eastAsia"/>
                <w:color w:val="000000"/>
                <w:kern w:val="0"/>
                <w:sz w:val="20"/>
                <w:szCs w:val="20"/>
              </w:rPr>
              <w:t>爆</w:t>
            </w:r>
            <w:proofErr w:type="gramEnd"/>
            <w:r>
              <w:rPr>
                <w:rFonts w:ascii="仿宋_GB2312" w:hAnsi="宋体" w:cs="宋体" w:hint="eastAsia"/>
                <w:color w:val="000000"/>
                <w:kern w:val="0"/>
                <w:sz w:val="20"/>
                <w:szCs w:val="20"/>
              </w:rPr>
              <w:t>危险化学品的存储未按相关标准执行。</w:t>
            </w:r>
          </w:p>
        </w:tc>
        <w:tc>
          <w:tcPr>
            <w:tcW w:w="5833" w:type="dxa"/>
            <w:shd w:val="clear" w:color="auto" w:fill="auto"/>
            <w:vAlign w:val="center"/>
          </w:tcPr>
          <w:p w14:paraId="659402A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DB11/T1322.2-2017《安全生产等级评定技术规范第2部分：安全生产通用要求》第3.8.1.19条</w:t>
            </w:r>
          </w:p>
        </w:tc>
        <w:tc>
          <w:tcPr>
            <w:tcW w:w="518" w:type="dxa"/>
            <w:shd w:val="clear" w:color="auto" w:fill="auto"/>
            <w:vAlign w:val="center"/>
          </w:tcPr>
          <w:p w14:paraId="7A36008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B5095AB" w14:textId="77777777">
        <w:trPr>
          <w:jc w:val="center"/>
        </w:trPr>
        <w:tc>
          <w:tcPr>
            <w:tcW w:w="1828" w:type="dxa"/>
            <w:shd w:val="clear" w:color="auto" w:fill="auto"/>
            <w:vAlign w:val="center"/>
          </w:tcPr>
          <w:p w14:paraId="3487D1B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984DF5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978536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7825B2D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未根据所储存的危险化学品性质和特点，为作业人员配置急救箱和个人防护用品。在有毒性、腐蚀性、刺激性危害的环境中，未设置淋洗器、</w:t>
            </w:r>
            <w:proofErr w:type="gramStart"/>
            <w:r>
              <w:rPr>
                <w:rFonts w:ascii="仿宋_GB2312" w:hAnsi="宋体" w:cs="宋体" w:hint="eastAsia"/>
                <w:color w:val="000000"/>
                <w:kern w:val="0"/>
                <w:sz w:val="20"/>
                <w:szCs w:val="20"/>
              </w:rPr>
              <w:t>洗眼器等</w:t>
            </w:r>
            <w:proofErr w:type="gramEnd"/>
            <w:r>
              <w:rPr>
                <w:rFonts w:ascii="仿宋_GB2312" w:hAnsi="宋体" w:cs="宋体" w:hint="eastAsia"/>
                <w:color w:val="000000"/>
                <w:kern w:val="0"/>
                <w:sz w:val="20"/>
                <w:szCs w:val="20"/>
              </w:rPr>
              <w:t>卫生防护设施，或其服务半径大于15m。</w:t>
            </w:r>
          </w:p>
        </w:tc>
        <w:tc>
          <w:tcPr>
            <w:tcW w:w="5833" w:type="dxa"/>
            <w:shd w:val="clear" w:color="auto" w:fill="auto"/>
            <w:vAlign w:val="center"/>
          </w:tcPr>
          <w:p w14:paraId="594A18E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DB11/T1322.2-2017《安全生产等级评定技术规范第2部分：安全生产通用要求》第3.8.1.22条</w:t>
            </w:r>
          </w:p>
        </w:tc>
        <w:tc>
          <w:tcPr>
            <w:tcW w:w="518" w:type="dxa"/>
            <w:shd w:val="clear" w:color="auto" w:fill="auto"/>
            <w:vAlign w:val="center"/>
          </w:tcPr>
          <w:p w14:paraId="0AAA1E1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178F56C" w14:textId="77777777">
        <w:trPr>
          <w:jc w:val="center"/>
        </w:trPr>
        <w:tc>
          <w:tcPr>
            <w:tcW w:w="1828" w:type="dxa"/>
            <w:shd w:val="clear" w:color="auto" w:fill="auto"/>
            <w:vAlign w:val="center"/>
          </w:tcPr>
          <w:p w14:paraId="1D8AA80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B5BCA8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B75CF0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3192F5C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废弃危险化学品未存放在专门的储存场所，未指定专人负责管理；废弃危险化学品未交由有危险废物处置资质的单位进行处置。</w:t>
            </w:r>
          </w:p>
        </w:tc>
        <w:tc>
          <w:tcPr>
            <w:tcW w:w="5833" w:type="dxa"/>
            <w:shd w:val="clear" w:color="auto" w:fill="auto"/>
            <w:vAlign w:val="center"/>
          </w:tcPr>
          <w:p w14:paraId="6DEB0D9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DB11/T1322.2-2017《安全生产等级评定技术规范第2部分：安全生产通用要求》第3.8.1.23条</w:t>
            </w:r>
          </w:p>
        </w:tc>
        <w:tc>
          <w:tcPr>
            <w:tcW w:w="518" w:type="dxa"/>
            <w:shd w:val="clear" w:color="auto" w:fill="auto"/>
            <w:vAlign w:val="center"/>
          </w:tcPr>
          <w:p w14:paraId="6D75F65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428FB35" w14:textId="77777777">
        <w:trPr>
          <w:jc w:val="center"/>
        </w:trPr>
        <w:tc>
          <w:tcPr>
            <w:tcW w:w="1828" w:type="dxa"/>
            <w:shd w:val="clear" w:color="auto" w:fill="auto"/>
            <w:vAlign w:val="center"/>
          </w:tcPr>
          <w:p w14:paraId="786C0D8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44F86A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9EC83C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187AF4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存放废弃危险化学品的场所、设施，未设置危险废弃物识别标志。</w:t>
            </w:r>
          </w:p>
        </w:tc>
        <w:tc>
          <w:tcPr>
            <w:tcW w:w="5833" w:type="dxa"/>
            <w:shd w:val="clear" w:color="auto" w:fill="auto"/>
            <w:vAlign w:val="center"/>
          </w:tcPr>
          <w:p w14:paraId="2D5CE02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DB11/T1322.2-2017《安全生产等级评定技术规范第2部分：安全生产通用要求》第3.8.1.24条</w:t>
            </w:r>
          </w:p>
        </w:tc>
        <w:tc>
          <w:tcPr>
            <w:tcW w:w="518" w:type="dxa"/>
            <w:shd w:val="clear" w:color="auto" w:fill="auto"/>
            <w:vAlign w:val="center"/>
          </w:tcPr>
          <w:p w14:paraId="5F11424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8C86A16" w14:textId="77777777">
        <w:trPr>
          <w:jc w:val="center"/>
        </w:trPr>
        <w:tc>
          <w:tcPr>
            <w:tcW w:w="1828" w:type="dxa"/>
            <w:shd w:val="clear" w:color="auto" w:fill="auto"/>
            <w:vAlign w:val="center"/>
          </w:tcPr>
          <w:p w14:paraId="2339F06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0C96D1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A6A45D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A0573E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危险化学品专用储存室、气瓶间设置在食堂、活动室等人员较为密集的建筑内。</w:t>
            </w:r>
          </w:p>
        </w:tc>
        <w:tc>
          <w:tcPr>
            <w:tcW w:w="5833" w:type="dxa"/>
            <w:shd w:val="clear" w:color="auto" w:fill="auto"/>
            <w:vAlign w:val="center"/>
          </w:tcPr>
          <w:p w14:paraId="6E3CA92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DB11/T1322.2-2017《安全生产等级评定技术规范第2部分：安全生产通用要求》第3.8.4.2条</w:t>
            </w:r>
          </w:p>
        </w:tc>
        <w:tc>
          <w:tcPr>
            <w:tcW w:w="518" w:type="dxa"/>
            <w:shd w:val="clear" w:color="auto" w:fill="auto"/>
            <w:vAlign w:val="center"/>
          </w:tcPr>
          <w:p w14:paraId="2832328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9F3B655" w14:textId="77777777">
        <w:trPr>
          <w:jc w:val="center"/>
        </w:trPr>
        <w:tc>
          <w:tcPr>
            <w:tcW w:w="1828" w:type="dxa"/>
            <w:shd w:val="clear" w:color="auto" w:fill="auto"/>
            <w:vAlign w:val="center"/>
          </w:tcPr>
          <w:p w14:paraId="2B9AA50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6BB0CD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0E8462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59D8534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危险化学品仓库未设置防雷和防静电设施。</w:t>
            </w:r>
          </w:p>
        </w:tc>
        <w:tc>
          <w:tcPr>
            <w:tcW w:w="5833" w:type="dxa"/>
            <w:shd w:val="clear" w:color="auto" w:fill="auto"/>
            <w:vAlign w:val="center"/>
          </w:tcPr>
          <w:p w14:paraId="5AFEE5F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DB11/755-2010《危险化学品仓库建设及储存安全规范》第4.3.5条</w:t>
            </w:r>
          </w:p>
        </w:tc>
        <w:tc>
          <w:tcPr>
            <w:tcW w:w="518" w:type="dxa"/>
            <w:shd w:val="clear" w:color="auto" w:fill="auto"/>
            <w:vAlign w:val="center"/>
          </w:tcPr>
          <w:p w14:paraId="7FC815A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C587210" w14:textId="77777777">
        <w:trPr>
          <w:jc w:val="center"/>
        </w:trPr>
        <w:tc>
          <w:tcPr>
            <w:tcW w:w="1828" w:type="dxa"/>
            <w:shd w:val="clear" w:color="auto" w:fill="auto"/>
            <w:vAlign w:val="center"/>
          </w:tcPr>
          <w:p w14:paraId="55A6AEB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689D2D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06B321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4B6D730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未在危险化学品储存场所和使用场所的显著位置张贴或悬挂危险化学品岗位安全操作规程和现场处置方案。</w:t>
            </w:r>
          </w:p>
        </w:tc>
        <w:tc>
          <w:tcPr>
            <w:tcW w:w="5833" w:type="dxa"/>
            <w:shd w:val="clear" w:color="auto" w:fill="auto"/>
            <w:vAlign w:val="center"/>
          </w:tcPr>
          <w:p w14:paraId="40E3734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DB11/T1322.2-2017《安全生产等级评定技术规范第2部分：安全生产通用要求》第3.8.1.14条</w:t>
            </w:r>
          </w:p>
        </w:tc>
        <w:tc>
          <w:tcPr>
            <w:tcW w:w="518" w:type="dxa"/>
            <w:shd w:val="clear" w:color="auto" w:fill="auto"/>
            <w:vAlign w:val="center"/>
          </w:tcPr>
          <w:p w14:paraId="70C9E4B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727218C" w14:textId="77777777">
        <w:trPr>
          <w:jc w:val="center"/>
        </w:trPr>
        <w:tc>
          <w:tcPr>
            <w:tcW w:w="1828" w:type="dxa"/>
            <w:shd w:val="clear" w:color="auto" w:fill="auto"/>
            <w:vAlign w:val="center"/>
          </w:tcPr>
          <w:p w14:paraId="381C962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BB9DEF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4AB806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226A8F2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作业场所危险化学品采用专柜存储，但存储量超过本岗位当班使用量；每个专柜的存储量超过50L或50kg。</w:t>
            </w:r>
          </w:p>
        </w:tc>
        <w:tc>
          <w:tcPr>
            <w:tcW w:w="5833" w:type="dxa"/>
            <w:shd w:val="clear" w:color="auto" w:fill="auto"/>
            <w:vAlign w:val="center"/>
          </w:tcPr>
          <w:p w14:paraId="6D02451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DB11/T1322.2-2017《安全生产等级评定技术规范第2部分：安全生产通用要求》第3.8.5.1条</w:t>
            </w:r>
          </w:p>
        </w:tc>
        <w:tc>
          <w:tcPr>
            <w:tcW w:w="518" w:type="dxa"/>
            <w:shd w:val="clear" w:color="auto" w:fill="auto"/>
            <w:vAlign w:val="center"/>
          </w:tcPr>
          <w:p w14:paraId="0B21B4F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01ECFB8" w14:textId="77777777">
        <w:trPr>
          <w:jc w:val="center"/>
        </w:trPr>
        <w:tc>
          <w:tcPr>
            <w:tcW w:w="1828" w:type="dxa"/>
            <w:shd w:val="clear" w:color="auto" w:fill="auto"/>
            <w:vAlign w:val="center"/>
          </w:tcPr>
          <w:p w14:paraId="233EC0D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978CEC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AA2480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EB1AE7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未根据易燃易爆、腐蚀性危险化学品的特性采用相适应的防爆柜、防腐柜等专柜储存；专柜未放置于阴凉干燥通风处，未设置进风和排风措施，排风未直通到室外；易燃易爆危险化学品柜体未进行可靠接地。</w:t>
            </w:r>
          </w:p>
        </w:tc>
        <w:tc>
          <w:tcPr>
            <w:tcW w:w="5833" w:type="dxa"/>
            <w:shd w:val="clear" w:color="auto" w:fill="auto"/>
            <w:vAlign w:val="center"/>
          </w:tcPr>
          <w:p w14:paraId="317F3CD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DB11/T1322.2-2017《安全生产等级评定技术规范第2部分：安全生产通用要求》第3.8.5.2条</w:t>
            </w:r>
          </w:p>
        </w:tc>
        <w:tc>
          <w:tcPr>
            <w:tcW w:w="518" w:type="dxa"/>
            <w:shd w:val="clear" w:color="auto" w:fill="auto"/>
            <w:vAlign w:val="center"/>
          </w:tcPr>
          <w:p w14:paraId="794CBDE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B866A36" w14:textId="77777777">
        <w:trPr>
          <w:jc w:val="center"/>
        </w:trPr>
        <w:tc>
          <w:tcPr>
            <w:tcW w:w="1828" w:type="dxa"/>
            <w:shd w:val="clear" w:color="auto" w:fill="auto"/>
            <w:vAlign w:val="center"/>
          </w:tcPr>
          <w:p w14:paraId="0913765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AAF15A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9DDCCA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0D00221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实验工作区和办公休息区未隔开设置。实验室的门未向疏散方向开启，未采用平开门。</w:t>
            </w:r>
          </w:p>
        </w:tc>
        <w:tc>
          <w:tcPr>
            <w:tcW w:w="5833" w:type="dxa"/>
            <w:shd w:val="clear" w:color="auto" w:fill="auto"/>
            <w:vAlign w:val="center"/>
          </w:tcPr>
          <w:p w14:paraId="5928B1E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《科研建筑设计标准》（JGJ 91-2019）第5.2.6条</w:t>
            </w:r>
          </w:p>
          <w:p w14:paraId="093D09A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 11/T 1191.1—2018《实验室危险化学品安全管理规范第1部分：工业企业》第5.2、5.3条</w:t>
            </w:r>
          </w:p>
        </w:tc>
        <w:tc>
          <w:tcPr>
            <w:tcW w:w="518" w:type="dxa"/>
            <w:shd w:val="clear" w:color="auto" w:fill="auto"/>
            <w:vAlign w:val="center"/>
          </w:tcPr>
          <w:p w14:paraId="05A87B1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30B2874" w14:textId="77777777">
        <w:trPr>
          <w:jc w:val="center"/>
        </w:trPr>
        <w:tc>
          <w:tcPr>
            <w:tcW w:w="1828" w:type="dxa"/>
            <w:shd w:val="clear" w:color="auto" w:fill="auto"/>
            <w:vAlign w:val="center"/>
          </w:tcPr>
          <w:p w14:paraId="5EA5591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8574EB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872FB3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0E1C9D8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使用或产生可燃气体、可燃</w:t>
            </w:r>
            <w:proofErr w:type="gramStart"/>
            <w:r>
              <w:rPr>
                <w:rFonts w:ascii="仿宋_GB2312" w:hAnsi="宋体" w:cs="宋体" w:hint="eastAsia"/>
                <w:color w:val="000000"/>
                <w:kern w:val="0"/>
                <w:sz w:val="20"/>
                <w:szCs w:val="20"/>
              </w:rPr>
              <w:t>蒸气</w:t>
            </w:r>
            <w:proofErr w:type="gramEnd"/>
            <w:r>
              <w:rPr>
                <w:rFonts w:ascii="仿宋_GB2312" w:hAnsi="宋体" w:cs="宋体" w:hint="eastAsia"/>
                <w:color w:val="000000"/>
                <w:kern w:val="0"/>
                <w:sz w:val="20"/>
                <w:szCs w:val="20"/>
              </w:rPr>
              <w:t>的实验室，未设置相应的可燃气体浓度检测报警器，未与防爆风机</w:t>
            </w:r>
            <w:proofErr w:type="gramStart"/>
            <w:r>
              <w:rPr>
                <w:rFonts w:ascii="仿宋_GB2312" w:hAnsi="宋体" w:cs="宋体" w:hint="eastAsia"/>
                <w:color w:val="000000"/>
                <w:kern w:val="0"/>
                <w:sz w:val="20"/>
                <w:szCs w:val="20"/>
              </w:rPr>
              <w:t>联</w:t>
            </w:r>
            <w:r>
              <w:rPr>
                <w:rFonts w:ascii="仿宋_GB2312" w:hAnsi="宋体" w:cs="宋体" w:hint="eastAsia"/>
                <w:color w:val="000000"/>
                <w:kern w:val="0"/>
                <w:sz w:val="20"/>
                <w:szCs w:val="20"/>
              </w:rPr>
              <w:lastRenderedPageBreak/>
              <w:t>锁</w:t>
            </w:r>
            <w:proofErr w:type="gramEnd"/>
            <w:r>
              <w:rPr>
                <w:rFonts w:ascii="仿宋_GB2312" w:hAnsi="宋体" w:cs="宋体" w:hint="eastAsia"/>
                <w:color w:val="000000"/>
                <w:kern w:val="0"/>
                <w:sz w:val="20"/>
                <w:szCs w:val="20"/>
              </w:rPr>
              <w:t>；使用或产生有毒有害气体的实验室，未安装相应的有毒有害气体浓度检测报警器，未与风机</w:t>
            </w:r>
            <w:proofErr w:type="gramStart"/>
            <w:r>
              <w:rPr>
                <w:rFonts w:ascii="仿宋_GB2312" w:hAnsi="宋体" w:cs="宋体" w:hint="eastAsia"/>
                <w:color w:val="000000"/>
                <w:kern w:val="0"/>
                <w:sz w:val="20"/>
                <w:szCs w:val="20"/>
              </w:rPr>
              <w:t>联锁</w:t>
            </w:r>
            <w:proofErr w:type="gramEnd"/>
            <w:r>
              <w:rPr>
                <w:rFonts w:ascii="仿宋_GB2312" w:hAnsi="宋体" w:cs="宋体" w:hint="eastAsia"/>
                <w:color w:val="000000"/>
                <w:kern w:val="0"/>
                <w:sz w:val="20"/>
                <w:szCs w:val="20"/>
              </w:rPr>
              <w:t>；使用或产生惰性气体的实验室，</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设置氧含量浓度检测报警器，未与风机</w:t>
            </w:r>
            <w:proofErr w:type="gramStart"/>
            <w:r>
              <w:rPr>
                <w:rFonts w:ascii="仿宋_GB2312" w:hAnsi="宋体" w:cs="宋体" w:hint="eastAsia"/>
                <w:color w:val="000000"/>
                <w:kern w:val="0"/>
                <w:sz w:val="20"/>
                <w:szCs w:val="20"/>
              </w:rPr>
              <w:t>联锁</w:t>
            </w:r>
            <w:proofErr w:type="gramEnd"/>
            <w:r>
              <w:rPr>
                <w:rFonts w:ascii="仿宋_GB2312" w:hAnsi="宋体" w:cs="宋体" w:hint="eastAsia"/>
                <w:color w:val="000000"/>
                <w:kern w:val="0"/>
                <w:sz w:val="20"/>
                <w:szCs w:val="20"/>
              </w:rPr>
              <w:t>。</w:t>
            </w:r>
          </w:p>
        </w:tc>
        <w:tc>
          <w:tcPr>
            <w:tcW w:w="5833" w:type="dxa"/>
            <w:shd w:val="clear" w:color="auto" w:fill="auto"/>
            <w:vAlign w:val="center"/>
          </w:tcPr>
          <w:p w14:paraId="7AD3825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北京市安全生产委员《北京市实验室危险化学品安全专项治理工作方案》（京安发〔2022〕11号）验收表</w:t>
            </w:r>
          </w:p>
        </w:tc>
        <w:tc>
          <w:tcPr>
            <w:tcW w:w="518" w:type="dxa"/>
            <w:shd w:val="clear" w:color="auto" w:fill="auto"/>
            <w:vAlign w:val="center"/>
          </w:tcPr>
          <w:p w14:paraId="1F3BC54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FF7224A" w14:textId="77777777">
        <w:trPr>
          <w:jc w:val="center"/>
        </w:trPr>
        <w:tc>
          <w:tcPr>
            <w:tcW w:w="1828" w:type="dxa"/>
            <w:shd w:val="clear" w:color="auto" w:fill="auto"/>
            <w:vAlign w:val="center"/>
          </w:tcPr>
          <w:p w14:paraId="6E1BBBC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900F3F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49BA5F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1239E146"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每间实验室内存放的除压缩气体和液化气体外的危险化学品总量超过100L或100kg，易燃易爆性化学品的存放总量超过50L或50kg，</w:t>
            </w:r>
            <w:r w:rsidR="00A105EB">
              <w:rPr>
                <w:rFonts w:ascii="仿宋_GB2312" w:hAnsi="宋体" w:cs="宋体" w:hint="eastAsia"/>
                <w:color w:val="000000"/>
                <w:kern w:val="0"/>
                <w:sz w:val="20"/>
                <w:szCs w:val="20"/>
              </w:rPr>
              <w:t>或</w:t>
            </w:r>
            <w:r>
              <w:rPr>
                <w:rFonts w:ascii="仿宋_GB2312" w:hAnsi="宋体" w:cs="宋体" w:hint="eastAsia"/>
                <w:color w:val="000000"/>
                <w:kern w:val="0"/>
                <w:sz w:val="20"/>
                <w:szCs w:val="20"/>
              </w:rPr>
              <w:t>单一包装容器大于25L或25kg。</w:t>
            </w:r>
          </w:p>
        </w:tc>
        <w:tc>
          <w:tcPr>
            <w:tcW w:w="5833" w:type="dxa"/>
            <w:shd w:val="clear" w:color="auto" w:fill="auto"/>
            <w:vAlign w:val="center"/>
          </w:tcPr>
          <w:p w14:paraId="5184024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北京市安全生产委员《北京市实验室危险化学品安全专项治理工作方案》（京安发〔2022〕11号）验收表</w:t>
            </w:r>
          </w:p>
        </w:tc>
        <w:tc>
          <w:tcPr>
            <w:tcW w:w="518" w:type="dxa"/>
            <w:shd w:val="clear" w:color="auto" w:fill="auto"/>
            <w:vAlign w:val="center"/>
          </w:tcPr>
          <w:p w14:paraId="50588BC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FED57A3" w14:textId="77777777">
        <w:trPr>
          <w:jc w:val="center"/>
        </w:trPr>
        <w:tc>
          <w:tcPr>
            <w:tcW w:w="1828" w:type="dxa"/>
            <w:shd w:val="clear" w:color="auto" w:fill="auto"/>
            <w:vAlign w:val="center"/>
          </w:tcPr>
          <w:p w14:paraId="76EB584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DA6B57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F8CAB6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1298CDCA"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液体化学试剂</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放置在防遗撒托盘上。</w:t>
            </w:r>
          </w:p>
        </w:tc>
        <w:tc>
          <w:tcPr>
            <w:tcW w:w="5833" w:type="dxa"/>
            <w:shd w:val="clear" w:color="auto" w:fill="auto"/>
            <w:vAlign w:val="center"/>
          </w:tcPr>
          <w:p w14:paraId="0B1B6E6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北京市安全生产委员《北京市实验室危险化学品安全专项治理工作方案》（京安发〔2022〕11号）验收表</w:t>
            </w:r>
          </w:p>
        </w:tc>
        <w:tc>
          <w:tcPr>
            <w:tcW w:w="518" w:type="dxa"/>
            <w:shd w:val="clear" w:color="auto" w:fill="auto"/>
            <w:vAlign w:val="center"/>
          </w:tcPr>
          <w:p w14:paraId="36679C8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A14CF3B" w14:textId="77777777">
        <w:trPr>
          <w:jc w:val="center"/>
        </w:trPr>
        <w:tc>
          <w:tcPr>
            <w:tcW w:w="1828" w:type="dxa"/>
            <w:shd w:val="clear" w:color="auto" w:fill="auto"/>
            <w:vAlign w:val="center"/>
          </w:tcPr>
          <w:p w14:paraId="0F47EB9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525145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A89E7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67955F9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采用管道输送危险化学品的，未对其铺设的危险化学品管道设置明显标志；未对危险化学品管道定期检查、检测。</w:t>
            </w:r>
          </w:p>
        </w:tc>
        <w:tc>
          <w:tcPr>
            <w:tcW w:w="5833" w:type="dxa"/>
            <w:shd w:val="clear" w:color="auto" w:fill="auto"/>
            <w:vAlign w:val="center"/>
          </w:tcPr>
          <w:p w14:paraId="688255F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DB11/T1322.2-2017《安全生产等级评定技术规范第2部分：安全生产通用要求》第3.8.2.5条</w:t>
            </w:r>
          </w:p>
        </w:tc>
        <w:tc>
          <w:tcPr>
            <w:tcW w:w="518" w:type="dxa"/>
            <w:shd w:val="clear" w:color="auto" w:fill="auto"/>
            <w:vAlign w:val="center"/>
          </w:tcPr>
          <w:p w14:paraId="6B29B51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C19111A" w14:textId="77777777">
        <w:trPr>
          <w:jc w:val="center"/>
        </w:trPr>
        <w:tc>
          <w:tcPr>
            <w:tcW w:w="1828" w:type="dxa"/>
            <w:shd w:val="clear" w:color="auto" w:fill="auto"/>
            <w:vAlign w:val="center"/>
          </w:tcPr>
          <w:p w14:paraId="4B5ED3C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FEFBF8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B9475E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097B745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未按要求对本单位的危险化学品储存和使用装置、设施或者场所进行重大危险源辨识、评估与控制。</w:t>
            </w:r>
          </w:p>
        </w:tc>
        <w:tc>
          <w:tcPr>
            <w:tcW w:w="5833" w:type="dxa"/>
            <w:shd w:val="clear" w:color="auto" w:fill="auto"/>
            <w:vAlign w:val="center"/>
          </w:tcPr>
          <w:p w14:paraId="602BC0A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《危险化学品重大危险源监督管理暂行规定》第七条</w:t>
            </w:r>
          </w:p>
        </w:tc>
        <w:tc>
          <w:tcPr>
            <w:tcW w:w="518" w:type="dxa"/>
            <w:shd w:val="clear" w:color="auto" w:fill="auto"/>
            <w:vAlign w:val="center"/>
          </w:tcPr>
          <w:p w14:paraId="098B326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7DE05C8" w14:textId="77777777">
        <w:trPr>
          <w:jc w:val="center"/>
        </w:trPr>
        <w:tc>
          <w:tcPr>
            <w:tcW w:w="1828" w:type="dxa"/>
            <w:shd w:val="clear" w:color="auto" w:fill="auto"/>
            <w:vAlign w:val="center"/>
          </w:tcPr>
          <w:p w14:paraId="28B1E61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BD3E8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B9BA24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危险化学品类</w:t>
            </w:r>
          </w:p>
        </w:tc>
        <w:tc>
          <w:tcPr>
            <w:tcW w:w="4666" w:type="dxa"/>
            <w:shd w:val="clear" w:color="auto" w:fill="auto"/>
            <w:vAlign w:val="center"/>
          </w:tcPr>
          <w:p w14:paraId="3CACE03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未针对储存或使用的危险化学品特性，在危险化学品仓库、储存室、气瓶间、实验室设置相适应的消防器材。消防器材的管理不符合要求。</w:t>
            </w:r>
          </w:p>
        </w:tc>
        <w:tc>
          <w:tcPr>
            <w:tcW w:w="5833" w:type="dxa"/>
            <w:shd w:val="clear" w:color="auto" w:fill="auto"/>
            <w:vAlign w:val="center"/>
          </w:tcPr>
          <w:p w14:paraId="4F21C1A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DB11/T1322.2-2017《安全生产等级评定技术规范第2部分：安全生产通用要求》第3.8.1.21条</w:t>
            </w:r>
          </w:p>
          <w:p w14:paraId="5D0F9F5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 11/T 1191.1—2018《实验室危险化学品安全管理规范第1部分：工业企业》第5.10条</w:t>
            </w:r>
          </w:p>
        </w:tc>
        <w:tc>
          <w:tcPr>
            <w:tcW w:w="518" w:type="dxa"/>
            <w:shd w:val="clear" w:color="auto" w:fill="auto"/>
            <w:vAlign w:val="center"/>
          </w:tcPr>
          <w:p w14:paraId="3B611E8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B98900B" w14:textId="77777777">
        <w:trPr>
          <w:jc w:val="center"/>
        </w:trPr>
        <w:tc>
          <w:tcPr>
            <w:tcW w:w="1828" w:type="dxa"/>
            <w:shd w:val="clear" w:color="auto" w:fill="auto"/>
            <w:vAlign w:val="center"/>
          </w:tcPr>
          <w:p w14:paraId="3B90751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FE9C0D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598A44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3BE2B79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涉及危险化工工艺、重点监管危险化学品的装置未按要求装设自动化控制系统或未投入使用；涉及危险化工工艺的大型化工装置未按要求装设紧急停车系统或未投入使用。</w:t>
            </w:r>
          </w:p>
        </w:tc>
        <w:tc>
          <w:tcPr>
            <w:tcW w:w="5833" w:type="dxa"/>
            <w:shd w:val="clear" w:color="auto" w:fill="auto"/>
            <w:vAlign w:val="center"/>
          </w:tcPr>
          <w:p w14:paraId="03A920F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《危险化学品生产企业安全生产许可证实施办法》（国家安全监管总局令第41号）第九条；《化工和危险化学品生产经营单位重大生产安全事故隐患判定标准（试行）》第四条</w:t>
            </w:r>
          </w:p>
        </w:tc>
        <w:tc>
          <w:tcPr>
            <w:tcW w:w="518" w:type="dxa"/>
            <w:shd w:val="clear" w:color="auto" w:fill="auto"/>
            <w:vAlign w:val="center"/>
          </w:tcPr>
          <w:p w14:paraId="0A62CE7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2D9A62E7" w14:textId="77777777">
        <w:trPr>
          <w:jc w:val="center"/>
        </w:trPr>
        <w:tc>
          <w:tcPr>
            <w:tcW w:w="1828" w:type="dxa"/>
            <w:shd w:val="clear" w:color="auto" w:fill="auto"/>
            <w:vAlign w:val="center"/>
          </w:tcPr>
          <w:p w14:paraId="76DAA86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D7C1A7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D0F276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967B02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危险化工工艺装置的自动化控制和紧急停车系统未正常投入使用。</w:t>
            </w:r>
          </w:p>
        </w:tc>
        <w:tc>
          <w:tcPr>
            <w:tcW w:w="5833" w:type="dxa"/>
            <w:shd w:val="clear" w:color="auto" w:fill="auto"/>
            <w:vAlign w:val="center"/>
          </w:tcPr>
          <w:p w14:paraId="09DC925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《危险化学品生产企业安全生产许可证实施办法》（国家安全监管总局令第41号）第九条</w:t>
            </w:r>
          </w:p>
        </w:tc>
        <w:tc>
          <w:tcPr>
            <w:tcW w:w="518" w:type="dxa"/>
            <w:shd w:val="clear" w:color="auto" w:fill="auto"/>
            <w:vAlign w:val="center"/>
          </w:tcPr>
          <w:p w14:paraId="6DE60D55" w14:textId="77777777" w:rsidR="003F7E00" w:rsidRDefault="003F7E00" w:rsidP="003F7E00">
            <w:pPr>
              <w:widowControl/>
              <w:adjustRightInd w:val="0"/>
              <w:snapToGrid w:val="0"/>
              <w:spacing w:line="240" w:lineRule="auto"/>
              <w:jc w:val="center"/>
              <w:rPr>
                <w:rFonts w:ascii="仿宋_GB2312" w:hAnsi="仿宋" w:cs="宋体"/>
                <w:color w:val="000000"/>
                <w:kern w:val="0"/>
                <w:sz w:val="20"/>
                <w:szCs w:val="20"/>
              </w:rPr>
            </w:pPr>
          </w:p>
        </w:tc>
      </w:tr>
      <w:tr w:rsidR="003F7E00" w14:paraId="14F42BF9" w14:textId="77777777">
        <w:trPr>
          <w:jc w:val="center"/>
        </w:trPr>
        <w:tc>
          <w:tcPr>
            <w:tcW w:w="1828" w:type="dxa"/>
            <w:shd w:val="clear" w:color="auto" w:fill="auto"/>
            <w:vAlign w:val="center"/>
          </w:tcPr>
          <w:p w14:paraId="16D0F67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98CC03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7B727F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8861A9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构成一级、二级重大危险源的危险化学品罐区未实现紧急切断功能。</w:t>
            </w:r>
          </w:p>
        </w:tc>
        <w:tc>
          <w:tcPr>
            <w:tcW w:w="5833" w:type="dxa"/>
            <w:shd w:val="clear" w:color="auto" w:fill="auto"/>
            <w:vAlign w:val="center"/>
          </w:tcPr>
          <w:p w14:paraId="3BB6A1C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《危险化学品重大危险源监督管理暂行规定》（国家安全监管总局令第40号）第十三条；《化工和危险化学品生产经营单位重大生产安全事故隐患判定标准（试行）》第五条</w:t>
            </w:r>
          </w:p>
        </w:tc>
        <w:tc>
          <w:tcPr>
            <w:tcW w:w="518" w:type="dxa"/>
            <w:shd w:val="clear" w:color="auto" w:fill="auto"/>
            <w:vAlign w:val="center"/>
          </w:tcPr>
          <w:p w14:paraId="6868BBA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3A29B38D" w14:textId="77777777">
        <w:trPr>
          <w:jc w:val="center"/>
        </w:trPr>
        <w:tc>
          <w:tcPr>
            <w:tcW w:w="1828" w:type="dxa"/>
            <w:shd w:val="clear" w:color="auto" w:fill="auto"/>
            <w:vAlign w:val="center"/>
          </w:tcPr>
          <w:p w14:paraId="7647A04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4DDE10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F0E736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86F0B0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涉及毒性气体、液化气体、剧毒液体的一级、二级重大危险源的危险化学品罐区未配备独立的安全仪表系统。</w:t>
            </w:r>
          </w:p>
        </w:tc>
        <w:tc>
          <w:tcPr>
            <w:tcW w:w="5833" w:type="dxa"/>
            <w:shd w:val="clear" w:color="auto" w:fill="auto"/>
            <w:vAlign w:val="center"/>
          </w:tcPr>
          <w:p w14:paraId="470774C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《危险化学品重大危险源监督管理暂行规定》（国家安全监管总局令第40号）第十三条；《化工和危险化学品生产经营单位重大生产安全事故隐患判定标准（试行）》第五条</w:t>
            </w:r>
          </w:p>
        </w:tc>
        <w:tc>
          <w:tcPr>
            <w:tcW w:w="518" w:type="dxa"/>
            <w:shd w:val="clear" w:color="auto" w:fill="auto"/>
            <w:vAlign w:val="center"/>
          </w:tcPr>
          <w:p w14:paraId="04187AB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4EA87309" w14:textId="77777777">
        <w:trPr>
          <w:jc w:val="center"/>
        </w:trPr>
        <w:tc>
          <w:tcPr>
            <w:tcW w:w="1828" w:type="dxa"/>
            <w:shd w:val="clear" w:color="auto" w:fill="auto"/>
            <w:vAlign w:val="center"/>
          </w:tcPr>
          <w:p w14:paraId="6CD9EA9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F0A39F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65E83B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32F096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全压力式液化</w:t>
            </w:r>
            <w:proofErr w:type="gramStart"/>
            <w:r>
              <w:rPr>
                <w:rFonts w:ascii="仿宋_GB2312" w:hAnsi="宋体" w:cs="宋体" w:hint="eastAsia"/>
                <w:color w:val="000000"/>
                <w:kern w:val="0"/>
                <w:sz w:val="20"/>
                <w:szCs w:val="20"/>
              </w:rPr>
              <w:t>烃</w:t>
            </w:r>
            <w:proofErr w:type="gramEnd"/>
            <w:r>
              <w:rPr>
                <w:rFonts w:ascii="仿宋_GB2312" w:hAnsi="宋体" w:cs="宋体" w:hint="eastAsia"/>
                <w:color w:val="000000"/>
                <w:kern w:val="0"/>
                <w:sz w:val="20"/>
                <w:szCs w:val="20"/>
              </w:rPr>
              <w:t>储罐未按国家标准设置注水措施。</w:t>
            </w:r>
          </w:p>
        </w:tc>
        <w:tc>
          <w:tcPr>
            <w:tcW w:w="5833" w:type="dxa"/>
            <w:shd w:val="clear" w:color="auto" w:fill="auto"/>
            <w:vAlign w:val="center"/>
          </w:tcPr>
          <w:p w14:paraId="52C66506"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《石油化工企业设计防火规范》（GB50160-2008）第6.3.16条；《化工和危险化学品生产经营单位重大生产安全事故隐患判定标准（试行）》第六条</w:t>
            </w:r>
          </w:p>
        </w:tc>
        <w:tc>
          <w:tcPr>
            <w:tcW w:w="518" w:type="dxa"/>
            <w:shd w:val="clear" w:color="auto" w:fill="auto"/>
            <w:vAlign w:val="center"/>
          </w:tcPr>
          <w:p w14:paraId="201E8A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3382FCD8" w14:textId="77777777">
        <w:trPr>
          <w:jc w:val="center"/>
        </w:trPr>
        <w:tc>
          <w:tcPr>
            <w:tcW w:w="1828" w:type="dxa"/>
            <w:shd w:val="clear" w:color="auto" w:fill="auto"/>
            <w:vAlign w:val="center"/>
          </w:tcPr>
          <w:p w14:paraId="2F51F61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6599CD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6E242C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1128134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火灾危险性较大的大型精细化工企业、大中型石油化工企业未设置消防站。</w:t>
            </w:r>
          </w:p>
        </w:tc>
        <w:tc>
          <w:tcPr>
            <w:tcW w:w="5833" w:type="dxa"/>
            <w:shd w:val="clear" w:color="auto" w:fill="auto"/>
            <w:vAlign w:val="center"/>
          </w:tcPr>
          <w:p w14:paraId="4978358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50160-2008《石油化工企业设计防火标准（2018年版）》第8.2.1条；GB51283-2020《精细化工企业工程设计防火标准》第9.2.1条</w:t>
            </w:r>
          </w:p>
        </w:tc>
        <w:tc>
          <w:tcPr>
            <w:tcW w:w="518" w:type="dxa"/>
            <w:shd w:val="clear" w:color="auto" w:fill="auto"/>
            <w:vAlign w:val="center"/>
          </w:tcPr>
          <w:p w14:paraId="23A95DD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D1040BE" w14:textId="77777777">
        <w:trPr>
          <w:jc w:val="center"/>
        </w:trPr>
        <w:tc>
          <w:tcPr>
            <w:tcW w:w="1828" w:type="dxa"/>
            <w:shd w:val="clear" w:color="auto" w:fill="auto"/>
            <w:vAlign w:val="center"/>
          </w:tcPr>
          <w:p w14:paraId="432AB33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82A79D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091B2D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0865AE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生产区、公用及辅助生产设施、全厂性重要设施和区域性重要设施的火灾危险场所未设置火灾自动报警系统和火灾电话报警。</w:t>
            </w:r>
          </w:p>
        </w:tc>
        <w:tc>
          <w:tcPr>
            <w:tcW w:w="5833" w:type="dxa"/>
            <w:shd w:val="clear" w:color="auto" w:fill="auto"/>
            <w:vAlign w:val="center"/>
          </w:tcPr>
          <w:p w14:paraId="5D5A8C1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50160-2008《石油化工企业设计防火标准（2018年版）》第8.12.1条；GB51283-2020《精细化工企业工程设计防火标准》第11.5.1条</w:t>
            </w:r>
          </w:p>
        </w:tc>
        <w:tc>
          <w:tcPr>
            <w:tcW w:w="518" w:type="dxa"/>
            <w:shd w:val="clear" w:color="auto" w:fill="auto"/>
            <w:vAlign w:val="center"/>
          </w:tcPr>
          <w:p w14:paraId="75BC1F7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C52984B" w14:textId="77777777">
        <w:trPr>
          <w:jc w:val="center"/>
        </w:trPr>
        <w:tc>
          <w:tcPr>
            <w:tcW w:w="1828" w:type="dxa"/>
            <w:shd w:val="clear" w:color="auto" w:fill="auto"/>
            <w:vAlign w:val="center"/>
          </w:tcPr>
          <w:p w14:paraId="0390A67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F50181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EB864C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2FDD70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甲、乙类装置区周围和</w:t>
            </w:r>
            <w:proofErr w:type="gramStart"/>
            <w:r>
              <w:rPr>
                <w:rFonts w:ascii="仿宋_GB2312" w:hAnsi="宋体" w:cs="宋体" w:hint="eastAsia"/>
                <w:color w:val="000000"/>
                <w:kern w:val="0"/>
                <w:sz w:val="20"/>
                <w:szCs w:val="20"/>
              </w:rPr>
              <w:t>罐组</w:t>
            </w:r>
            <w:proofErr w:type="gramEnd"/>
            <w:r>
              <w:rPr>
                <w:rFonts w:ascii="仿宋_GB2312" w:hAnsi="宋体" w:cs="宋体" w:hint="eastAsia"/>
                <w:color w:val="000000"/>
                <w:kern w:val="0"/>
                <w:sz w:val="20"/>
                <w:szCs w:val="20"/>
              </w:rPr>
              <w:t>四周</w:t>
            </w:r>
            <w:proofErr w:type="gramStart"/>
            <w:r>
              <w:rPr>
                <w:rFonts w:ascii="仿宋_GB2312" w:hAnsi="宋体" w:cs="宋体" w:hint="eastAsia"/>
                <w:color w:val="000000"/>
                <w:kern w:val="0"/>
                <w:sz w:val="20"/>
                <w:szCs w:val="20"/>
              </w:rPr>
              <w:t>道路边未设置</w:t>
            </w:r>
            <w:proofErr w:type="gramEnd"/>
            <w:r>
              <w:rPr>
                <w:rFonts w:ascii="仿宋_GB2312" w:hAnsi="宋体" w:cs="宋体" w:hint="eastAsia"/>
                <w:color w:val="000000"/>
                <w:kern w:val="0"/>
                <w:sz w:val="20"/>
                <w:szCs w:val="20"/>
              </w:rPr>
              <w:t>手动火灾报警按钮。</w:t>
            </w:r>
          </w:p>
        </w:tc>
        <w:tc>
          <w:tcPr>
            <w:tcW w:w="5833" w:type="dxa"/>
            <w:shd w:val="clear" w:color="auto" w:fill="auto"/>
            <w:vAlign w:val="center"/>
          </w:tcPr>
          <w:p w14:paraId="7F2F8AC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50160-2008《石油化工企业设计防火标准（2018年版）》第8.12.4条；GB51283-2020《精细化工企业工程设计防火标准》第11.5.5条</w:t>
            </w:r>
          </w:p>
        </w:tc>
        <w:tc>
          <w:tcPr>
            <w:tcW w:w="518" w:type="dxa"/>
            <w:shd w:val="clear" w:color="auto" w:fill="auto"/>
            <w:vAlign w:val="center"/>
          </w:tcPr>
          <w:p w14:paraId="5DECB11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0411182" w14:textId="77777777">
        <w:trPr>
          <w:jc w:val="center"/>
        </w:trPr>
        <w:tc>
          <w:tcPr>
            <w:tcW w:w="1828" w:type="dxa"/>
            <w:shd w:val="clear" w:color="auto" w:fill="auto"/>
            <w:vAlign w:val="center"/>
          </w:tcPr>
          <w:p w14:paraId="67A9666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8C9C87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01B872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5B1C661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石油化工企业未采取防止泄漏的可燃液体和受污染的消防水排出厂外的措施。</w:t>
            </w:r>
          </w:p>
        </w:tc>
        <w:tc>
          <w:tcPr>
            <w:tcW w:w="5833" w:type="dxa"/>
            <w:shd w:val="clear" w:color="auto" w:fill="auto"/>
            <w:vAlign w:val="center"/>
          </w:tcPr>
          <w:p w14:paraId="6B855D6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50160-2008《石油化工企业设计防火标准（2018年版）》第4.1.5条</w:t>
            </w:r>
          </w:p>
        </w:tc>
        <w:tc>
          <w:tcPr>
            <w:tcW w:w="518" w:type="dxa"/>
            <w:shd w:val="clear" w:color="auto" w:fill="auto"/>
            <w:vAlign w:val="center"/>
          </w:tcPr>
          <w:p w14:paraId="765D9C4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4B00F1C" w14:textId="77777777">
        <w:trPr>
          <w:jc w:val="center"/>
        </w:trPr>
        <w:tc>
          <w:tcPr>
            <w:tcW w:w="1828" w:type="dxa"/>
            <w:shd w:val="clear" w:color="auto" w:fill="auto"/>
            <w:vAlign w:val="center"/>
          </w:tcPr>
          <w:p w14:paraId="5B49673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A0A862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0C932B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71ACCC8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爆炸危险场所通风不良，未</w:t>
            </w:r>
            <w:proofErr w:type="gramStart"/>
            <w:r>
              <w:rPr>
                <w:rFonts w:ascii="仿宋_GB2312" w:hAnsi="宋体" w:cs="宋体" w:hint="eastAsia"/>
                <w:color w:val="000000"/>
                <w:kern w:val="0"/>
                <w:sz w:val="20"/>
                <w:szCs w:val="20"/>
              </w:rPr>
              <w:t>设置泄爆设施</w:t>
            </w:r>
            <w:proofErr w:type="gramEnd"/>
            <w:r>
              <w:rPr>
                <w:rFonts w:ascii="仿宋_GB2312" w:hAnsi="宋体" w:cs="宋体" w:hint="eastAsia"/>
                <w:color w:val="000000"/>
                <w:kern w:val="0"/>
                <w:sz w:val="20"/>
                <w:szCs w:val="20"/>
              </w:rPr>
              <w:t>。</w:t>
            </w:r>
          </w:p>
        </w:tc>
        <w:tc>
          <w:tcPr>
            <w:tcW w:w="5833" w:type="dxa"/>
            <w:shd w:val="clear" w:color="auto" w:fill="auto"/>
            <w:vAlign w:val="center"/>
          </w:tcPr>
          <w:p w14:paraId="0D2E92A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第90部分：化工企业》第4.2.2条</w:t>
            </w:r>
          </w:p>
        </w:tc>
        <w:tc>
          <w:tcPr>
            <w:tcW w:w="518" w:type="dxa"/>
            <w:shd w:val="clear" w:color="auto" w:fill="auto"/>
            <w:vAlign w:val="center"/>
          </w:tcPr>
          <w:p w14:paraId="4EBC30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EB7ACF5" w14:textId="77777777">
        <w:trPr>
          <w:jc w:val="center"/>
        </w:trPr>
        <w:tc>
          <w:tcPr>
            <w:tcW w:w="1828" w:type="dxa"/>
            <w:shd w:val="clear" w:color="auto" w:fill="auto"/>
            <w:vAlign w:val="center"/>
          </w:tcPr>
          <w:p w14:paraId="11407DA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221AA1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0870B3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7C56B1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化工生产装置未按国家标准要求设置双重电源供电，自动化控制系统未设置不间断电源。</w:t>
            </w:r>
          </w:p>
        </w:tc>
        <w:tc>
          <w:tcPr>
            <w:tcW w:w="5833" w:type="dxa"/>
            <w:shd w:val="clear" w:color="auto" w:fill="auto"/>
            <w:vAlign w:val="center"/>
          </w:tcPr>
          <w:p w14:paraId="5BA9F06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《化工和危险化学品生产经营单位重大生产安全事故隐患判定标准（试行）》第十四条</w:t>
            </w:r>
          </w:p>
        </w:tc>
        <w:tc>
          <w:tcPr>
            <w:tcW w:w="518" w:type="dxa"/>
            <w:shd w:val="clear" w:color="auto" w:fill="auto"/>
            <w:vAlign w:val="center"/>
          </w:tcPr>
          <w:p w14:paraId="2177745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仿宋" w:cs="宋体" w:hint="eastAsia"/>
                <w:color w:val="000000"/>
                <w:kern w:val="0"/>
                <w:sz w:val="20"/>
                <w:szCs w:val="20"/>
              </w:rPr>
              <w:t>★</w:t>
            </w:r>
          </w:p>
        </w:tc>
      </w:tr>
      <w:tr w:rsidR="003F7E00" w14:paraId="2FE95DCD" w14:textId="77777777">
        <w:trPr>
          <w:jc w:val="center"/>
        </w:trPr>
        <w:tc>
          <w:tcPr>
            <w:tcW w:w="1828" w:type="dxa"/>
            <w:shd w:val="clear" w:color="auto" w:fill="auto"/>
            <w:vAlign w:val="center"/>
          </w:tcPr>
          <w:p w14:paraId="6773346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9AE47E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3E0A609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2F2910C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消防控制室的消防用电设备、消防水泵和</w:t>
            </w:r>
            <w:proofErr w:type="gramStart"/>
            <w:r>
              <w:rPr>
                <w:rFonts w:ascii="仿宋_GB2312" w:hAnsi="宋体" w:cs="宋体" w:hint="eastAsia"/>
                <w:color w:val="000000"/>
                <w:kern w:val="0"/>
                <w:sz w:val="20"/>
                <w:szCs w:val="20"/>
              </w:rPr>
              <w:t>泡沫消防</w:t>
            </w:r>
            <w:proofErr w:type="gramEnd"/>
            <w:r>
              <w:rPr>
                <w:rFonts w:ascii="仿宋_GB2312" w:hAnsi="宋体" w:cs="宋体" w:hint="eastAsia"/>
                <w:color w:val="000000"/>
                <w:kern w:val="0"/>
                <w:sz w:val="20"/>
                <w:szCs w:val="20"/>
              </w:rPr>
              <w:t>水泵、防烟与排烟风机、消防电梯等重要的低压下方设备的供电，未在其最末一级配电装置或配电箱处设置双电源自动切换装置。</w:t>
            </w:r>
          </w:p>
        </w:tc>
        <w:tc>
          <w:tcPr>
            <w:tcW w:w="5833" w:type="dxa"/>
            <w:shd w:val="clear" w:color="auto" w:fill="auto"/>
            <w:vAlign w:val="center"/>
          </w:tcPr>
          <w:p w14:paraId="5575361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GB51283-2020《精细化工企业工程设计防火标准》第11.1.2条</w:t>
            </w:r>
          </w:p>
        </w:tc>
        <w:tc>
          <w:tcPr>
            <w:tcW w:w="518" w:type="dxa"/>
            <w:shd w:val="clear" w:color="auto" w:fill="auto"/>
            <w:vAlign w:val="center"/>
          </w:tcPr>
          <w:p w14:paraId="0CA84EF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35E50C5" w14:textId="77777777">
        <w:trPr>
          <w:jc w:val="center"/>
        </w:trPr>
        <w:tc>
          <w:tcPr>
            <w:tcW w:w="1828" w:type="dxa"/>
            <w:shd w:val="clear" w:color="auto" w:fill="auto"/>
            <w:vAlign w:val="center"/>
          </w:tcPr>
          <w:p w14:paraId="26C04AA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9FDBA7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5E67AF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0607F72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消防用电设备未采用专用的供电回路。</w:t>
            </w:r>
          </w:p>
        </w:tc>
        <w:tc>
          <w:tcPr>
            <w:tcW w:w="5833" w:type="dxa"/>
            <w:shd w:val="clear" w:color="auto" w:fill="auto"/>
            <w:vAlign w:val="center"/>
          </w:tcPr>
          <w:p w14:paraId="7AA1471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GB51283-2020《精细化工企业工程设计防火标准》第11.1.3条</w:t>
            </w:r>
          </w:p>
        </w:tc>
        <w:tc>
          <w:tcPr>
            <w:tcW w:w="518" w:type="dxa"/>
            <w:shd w:val="clear" w:color="auto" w:fill="auto"/>
            <w:vAlign w:val="center"/>
          </w:tcPr>
          <w:p w14:paraId="183138D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813FFFC" w14:textId="77777777">
        <w:trPr>
          <w:jc w:val="center"/>
        </w:trPr>
        <w:tc>
          <w:tcPr>
            <w:tcW w:w="1828" w:type="dxa"/>
            <w:shd w:val="clear" w:color="auto" w:fill="auto"/>
            <w:vAlign w:val="center"/>
          </w:tcPr>
          <w:p w14:paraId="444D660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8506A9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701719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412E7F4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设施区的露天地面层、消防控制室、消防泵房、配电室、防烟与排烟机房、发电机房、UPS室/蓄电池室等自备电源室、通讯机房、大中型电子计算机房、中控室等电气控制室、仪表室、发生火灾时仍应正常工作的其他房间、建（构）筑物内的疏散走道及楼梯未按要求设置消防应急照明。</w:t>
            </w:r>
          </w:p>
        </w:tc>
        <w:tc>
          <w:tcPr>
            <w:tcW w:w="5833" w:type="dxa"/>
            <w:shd w:val="clear" w:color="auto" w:fill="auto"/>
            <w:vAlign w:val="center"/>
          </w:tcPr>
          <w:p w14:paraId="2FD5F18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50160-2008《石油化工企业设计防火标准（2018年版）》第9.1.2条；GB51283-2020《精细化工企业工程设计防火标准》第11.3.1条</w:t>
            </w:r>
          </w:p>
        </w:tc>
        <w:tc>
          <w:tcPr>
            <w:tcW w:w="518" w:type="dxa"/>
            <w:shd w:val="clear" w:color="auto" w:fill="auto"/>
            <w:vAlign w:val="center"/>
          </w:tcPr>
          <w:p w14:paraId="3DA0ACD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A8A9539" w14:textId="77777777">
        <w:trPr>
          <w:jc w:val="center"/>
        </w:trPr>
        <w:tc>
          <w:tcPr>
            <w:tcW w:w="1828" w:type="dxa"/>
            <w:shd w:val="clear" w:color="auto" w:fill="auto"/>
            <w:vAlign w:val="center"/>
          </w:tcPr>
          <w:p w14:paraId="125049C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D2A377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79EE5F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35E7FEE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生产设施区内建筑未设置防雷措施。</w:t>
            </w:r>
          </w:p>
        </w:tc>
        <w:tc>
          <w:tcPr>
            <w:tcW w:w="5833" w:type="dxa"/>
            <w:shd w:val="clear" w:color="auto" w:fill="auto"/>
            <w:vAlign w:val="center"/>
          </w:tcPr>
          <w:p w14:paraId="2029DDA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50160-2008《石油化工企业设计防火标准（2018年版）》第9.2.1条；GB51283-2020《精细化工企业工程设计防火标准》第11.4.1条</w:t>
            </w:r>
          </w:p>
        </w:tc>
        <w:tc>
          <w:tcPr>
            <w:tcW w:w="518" w:type="dxa"/>
            <w:shd w:val="clear" w:color="auto" w:fill="auto"/>
            <w:vAlign w:val="center"/>
          </w:tcPr>
          <w:p w14:paraId="0128EFF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60D7D4F" w14:textId="77777777">
        <w:trPr>
          <w:jc w:val="center"/>
        </w:trPr>
        <w:tc>
          <w:tcPr>
            <w:tcW w:w="1828" w:type="dxa"/>
            <w:shd w:val="clear" w:color="auto" w:fill="auto"/>
            <w:vAlign w:val="center"/>
          </w:tcPr>
          <w:p w14:paraId="518B71E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D9E0AE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315A08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4FBD30A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工艺装置塔、容器等未设置防雷接地。</w:t>
            </w:r>
          </w:p>
        </w:tc>
        <w:tc>
          <w:tcPr>
            <w:tcW w:w="5833" w:type="dxa"/>
            <w:shd w:val="clear" w:color="auto" w:fill="auto"/>
            <w:vAlign w:val="center"/>
          </w:tcPr>
          <w:p w14:paraId="27FFE13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50160-2008《石油化工企业设计防火标准（2018年版）》第9.2.2条、第9.2.3条；GB51283-2020《精细化工企业工程设计防火标准》第11.4.2条</w:t>
            </w:r>
          </w:p>
        </w:tc>
        <w:tc>
          <w:tcPr>
            <w:tcW w:w="518" w:type="dxa"/>
            <w:shd w:val="clear" w:color="auto" w:fill="auto"/>
            <w:vAlign w:val="center"/>
          </w:tcPr>
          <w:p w14:paraId="1E70BCF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074065F" w14:textId="77777777">
        <w:trPr>
          <w:jc w:val="center"/>
        </w:trPr>
        <w:tc>
          <w:tcPr>
            <w:tcW w:w="1828" w:type="dxa"/>
            <w:shd w:val="clear" w:color="auto" w:fill="auto"/>
            <w:vAlign w:val="center"/>
          </w:tcPr>
          <w:p w14:paraId="2E8D210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73907D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61EFD94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496FDFA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化工装置、设备、设施、储罐以及建（构）筑物的防雷、防静电保护装置，设计不合理；爆炸和火灾危险环境场所的防雷装置未按要求每半年检测一次。</w:t>
            </w:r>
          </w:p>
        </w:tc>
        <w:tc>
          <w:tcPr>
            <w:tcW w:w="5833" w:type="dxa"/>
            <w:shd w:val="clear" w:color="auto" w:fill="auto"/>
            <w:vAlign w:val="center"/>
          </w:tcPr>
          <w:p w14:paraId="63E3AF2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《化工、医药制造企业危险化学品安全专项整治工作方案》（京应急通〔2019〕235号）附件7</w:t>
            </w:r>
          </w:p>
        </w:tc>
        <w:tc>
          <w:tcPr>
            <w:tcW w:w="518" w:type="dxa"/>
            <w:shd w:val="clear" w:color="auto" w:fill="auto"/>
            <w:vAlign w:val="center"/>
          </w:tcPr>
          <w:p w14:paraId="30C27E4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4684AD7" w14:textId="77777777">
        <w:trPr>
          <w:jc w:val="center"/>
        </w:trPr>
        <w:tc>
          <w:tcPr>
            <w:tcW w:w="1828" w:type="dxa"/>
            <w:shd w:val="clear" w:color="auto" w:fill="auto"/>
            <w:vAlign w:val="center"/>
          </w:tcPr>
          <w:p w14:paraId="6E253F6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5FE4AE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78C5CC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4ECF33F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顶板厚度小于4mm的甲B、乙类可燃液体地上</w:t>
            </w:r>
            <w:proofErr w:type="gramStart"/>
            <w:r>
              <w:rPr>
                <w:rFonts w:ascii="仿宋_GB2312" w:hAnsi="宋体" w:cs="宋体" w:hint="eastAsia"/>
                <w:color w:val="000000"/>
                <w:kern w:val="0"/>
                <w:sz w:val="20"/>
                <w:szCs w:val="20"/>
              </w:rPr>
              <w:t>固定顶罐未</w:t>
            </w:r>
            <w:proofErr w:type="gramEnd"/>
            <w:r>
              <w:rPr>
                <w:rFonts w:ascii="仿宋_GB2312" w:hAnsi="宋体" w:cs="宋体" w:hint="eastAsia"/>
                <w:color w:val="000000"/>
                <w:kern w:val="0"/>
                <w:sz w:val="20"/>
                <w:szCs w:val="20"/>
              </w:rPr>
              <w:t>装设避雷针。</w:t>
            </w:r>
          </w:p>
        </w:tc>
        <w:tc>
          <w:tcPr>
            <w:tcW w:w="5833" w:type="dxa"/>
            <w:shd w:val="clear" w:color="auto" w:fill="auto"/>
            <w:vAlign w:val="center"/>
          </w:tcPr>
          <w:p w14:paraId="7E09CBD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50160-2008《石油化工企业设计防火标准（2018年版）》第9.2.3条</w:t>
            </w:r>
          </w:p>
        </w:tc>
        <w:tc>
          <w:tcPr>
            <w:tcW w:w="518" w:type="dxa"/>
            <w:shd w:val="clear" w:color="auto" w:fill="auto"/>
            <w:vAlign w:val="center"/>
          </w:tcPr>
          <w:p w14:paraId="58DD148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353C715" w14:textId="77777777">
        <w:trPr>
          <w:jc w:val="center"/>
        </w:trPr>
        <w:tc>
          <w:tcPr>
            <w:tcW w:w="1828" w:type="dxa"/>
            <w:shd w:val="clear" w:color="auto" w:fill="auto"/>
            <w:vAlign w:val="center"/>
          </w:tcPr>
          <w:p w14:paraId="200BF9D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67D725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15996D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3A00CF5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甲、乙、丙类液体仓库未设置防止液体流散的设施。</w:t>
            </w:r>
            <w:proofErr w:type="gramStart"/>
            <w:r>
              <w:rPr>
                <w:rFonts w:ascii="仿宋_GB2312" w:hAnsi="宋体" w:cs="宋体" w:hint="eastAsia"/>
                <w:color w:val="000000"/>
                <w:kern w:val="0"/>
                <w:sz w:val="20"/>
                <w:szCs w:val="20"/>
              </w:rPr>
              <w:t>遇湿会发生</w:t>
            </w:r>
            <w:proofErr w:type="gramEnd"/>
            <w:r>
              <w:rPr>
                <w:rFonts w:ascii="仿宋_GB2312" w:hAnsi="宋体" w:cs="宋体" w:hint="eastAsia"/>
                <w:color w:val="000000"/>
                <w:kern w:val="0"/>
                <w:sz w:val="20"/>
                <w:szCs w:val="20"/>
              </w:rPr>
              <w:t>燃烧爆炸的物品仓库未采取防止水浸渍的措施。</w:t>
            </w:r>
          </w:p>
        </w:tc>
        <w:tc>
          <w:tcPr>
            <w:tcW w:w="5833" w:type="dxa"/>
            <w:shd w:val="clear" w:color="auto" w:fill="auto"/>
            <w:vAlign w:val="center"/>
          </w:tcPr>
          <w:p w14:paraId="4C1F4B6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50016-2014《建筑设计防火规范（2018年版）》第3.6.12条</w:t>
            </w:r>
          </w:p>
        </w:tc>
        <w:tc>
          <w:tcPr>
            <w:tcW w:w="518" w:type="dxa"/>
            <w:shd w:val="clear" w:color="auto" w:fill="auto"/>
            <w:vAlign w:val="center"/>
          </w:tcPr>
          <w:p w14:paraId="679D29A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50BAE9C" w14:textId="77777777">
        <w:trPr>
          <w:jc w:val="center"/>
        </w:trPr>
        <w:tc>
          <w:tcPr>
            <w:tcW w:w="1828" w:type="dxa"/>
            <w:shd w:val="clear" w:color="auto" w:fill="auto"/>
            <w:vAlign w:val="center"/>
          </w:tcPr>
          <w:p w14:paraId="10093B3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D3049A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0863B6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48A1869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爆炸危险环境内，电气设备金属外壳、金属管线、铠装电缆的技术外皮等未采用专业的接地线进行可靠接地。</w:t>
            </w:r>
          </w:p>
        </w:tc>
        <w:tc>
          <w:tcPr>
            <w:tcW w:w="5833" w:type="dxa"/>
            <w:shd w:val="clear" w:color="auto" w:fill="auto"/>
            <w:vAlign w:val="center"/>
          </w:tcPr>
          <w:p w14:paraId="77B4C36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50160-2008《石油化工企业设计防火标准（2018年版）》第9.3.1条；GB51283-2020《精细化工企业工程设计防火标准》第11.4.3条</w:t>
            </w:r>
          </w:p>
        </w:tc>
        <w:tc>
          <w:tcPr>
            <w:tcW w:w="518" w:type="dxa"/>
            <w:shd w:val="clear" w:color="auto" w:fill="auto"/>
            <w:vAlign w:val="center"/>
          </w:tcPr>
          <w:p w14:paraId="6CB8B52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9471AD6" w14:textId="77777777">
        <w:trPr>
          <w:jc w:val="center"/>
        </w:trPr>
        <w:tc>
          <w:tcPr>
            <w:tcW w:w="1828" w:type="dxa"/>
            <w:shd w:val="clear" w:color="auto" w:fill="auto"/>
            <w:vAlign w:val="center"/>
          </w:tcPr>
          <w:p w14:paraId="2C3644C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8F86EC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DBF0A9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1505CFB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在爆炸危险区域内使用的叉车或用于装卸易燃易爆危险化学品的叉车，不符合防爆要求。机动车辆进入易燃、易爆生产区和易燃、易爆化学品库区、罐区</w:t>
            </w:r>
            <w:r w:rsidR="00A105EB">
              <w:rPr>
                <w:rFonts w:ascii="仿宋_GB2312" w:hAnsi="宋体" w:cs="宋体" w:hint="eastAsia"/>
                <w:color w:val="000000"/>
                <w:kern w:val="0"/>
                <w:sz w:val="20"/>
                <w:szCs w:val="20"/>
              </w:rPr>
              <w:t>未</w:t>
            </w:r>
            <w:r>
              <w:rPr>
                <w:rFonts w:ascii="仿宋_GB2312" w:hAnsi="宋体" w:cs="宋体" w:hint="eastAsia"/>
                <w:color w:val="000000"/>
                <w:kern w:val="0"/>
                <w:sz w:val="20"/>
                <w:szCs w:val="20"/>
              </w:rPr>
              <w:t>配装阻火器。</w:t>
            </w:r>
          </w:p>
        </w:tc>
        <w:tc>
          <w:tcPr>
            <w:tcW w:w="5833" w:type="dxa"/>
            <w:shd w:val="clear" w:color="auto" w:fill="auto"/>
            <w:vAlign w:val="center"/>
          </w:tcPr>
          <w:p w14:paraId="1AFF8F2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TSG 81-2022《场(厂)内专用机动车辆安全技术规程》第2.5.9条；《化工、医药制造企业危险化学品安全专项整治工作方案》（京应急通〔2019〕235号）附件7</w:t>
            </w:r>
          </w:p>
        </w:tc>
        <w:tc>
          <w:tcPr>
            <w:tcW w:w="518" w:type="dxa"/>
            <w:shd w:val="clear" w:color="auto" w:fill="auto"/>
            <w:vAlign w:val="center"/>
          </w:tcPr>
          <w:p w14:paraId="5923B0E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E13F489" w14:textId="77777777">
        <w:trPr>
          <w:jc w:val="center"/>
        </w:trPr>
        <w:tc>
          <w:tcPr>
            <w:tcW w:w="1828" w:type="dxa"/>
            <w:shd w:val="clear" w:color="auto" w:fill="auto"/>
            <w:vAlign w:val="center"/>
          </w:tcPr>
          <w:p w14:paraId="47DD5A0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1D4D4E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CF7970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3168BDF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不同压力的压缩机串联运行时，未在两台空气压缩机之间设置缓冲罐，未在后置压缩机后设缓冲罐。</w:t>
            </w:r>
          </w:p>
        </w:tc>
        <w:tc>
          <w:tcPr>
            <w:tcW w:w="5833" w:type="dxa"/>
            <w:shd w:val="clear" w:color="auto" w:fill="auto"/>
            <w:vAlign w:val="center"/>
          </w:tcPr>
          <w:p w14:paraId="1A4D1E0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GB50029-2014《压缩空气站设计规范》第3.0.9条</w:t>
            </w:r>
          </w:p>
        </w:tc>
        <w:tc>
          <w:tcPr>
            <w:tcW w:w="518" w:type="dxa"/>
            <w:shd w:val="clear" w:color="auto" w:fill="auto"/>
            <w:vAlign w:val="center"/>
          </w:tcPr>
          <w:p w14:paraId="1B84BB5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9323665" w14:textId="77777777">
        <w:trPr>
          <w:jc w:val="center"/>
        </w:trPr>
        <w:tc>
          <w:tcPr>
            <w:tcW w:w="1828" w:type="dxa"/>
            <w:shd w:val="clear" w:color="auto" w:fill="auto"/>
            <w:vAlign w:val="center"/>
          </w:tcPr>
          <w:p w14:paraId="6E99163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1F726A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191F41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574DC4A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活塞空气压缩机、隔膜压缩机与储气罐之间，未装设止回阀；空气压缩机与止回阀之间，未设置放空管，放空管上未设置消声器。活塞空气压缩机、隔膜压缩机与储气罐之间，装设切断阀，当需要装设切断阀时，在空气压缩机与切断阀之间未装设安全阀。</w:t>
            </w:r>
          </w:p>
        </w:tc>
        <w:tc>
          <w:tcPr>
            <w:tcW w:w="5833" w:type="dxa"/>
            <w:shd w:val="clear" w:color="auto" w:fill="auto"/>
            <w:vAlign w:val="center"/>
          </w:tcPr>
          <w:p w14:paraId="5D7E81F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GB50029-2014《压缩空气站设计规范》第3.0.14条</w:t>
            </w:r>
          </w:p>
        </w:tc>
        <w:tc>
          <w:tcPr>
            <w:tcW w:w="518" w:type="dxa"/>
            <w:shd w:val="clear" w:color="auto" w:fill="auto"/>
            <w:vAlign w:val="center"/>
          </w:tcPr>
          <w:p w14:paraId="594CFA7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DCF819C" w14:textId="77777777">
        <w:trPr>
          <w:jc w:val="center"/>
        </w:trPr>
        <w:tc>
          <w:tcPr>
            <w:tcW w:w="1828" w:type="dxa"/>
            <w:shd w:val="clear" w:color="auto" w:fill="auto"/>
            <w:vAlign w:val="center"/>
          </w:tcPr>
          <w:p w14:paraId="165DA83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20C2D9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83CBB6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5CEDA92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离心空气压缩机的排气管上未装设止回阀和切断阀，空气压缩机与止回阀之间，未设置放空管，放空管上未装设防喘振调节阀和消声器。</w:t>
            </w:r>
          </w:p>
        </w:tc>
        <w:tc>
          <w:tcPr>
            <w:tcW w:w="5833" w:type="dxa"/>
            <w:shd w:val="clear" w:color="auto" w:fill="auto"/>
            <w:vAlign w:val="center"/>
          </w:tcPr>
          <w:p w14:paraId="247EC4A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GB50029-2014《压缩空气站设计规范》第3.0.15条</w:t>
            </w:r>
          </w:p>
        </w:tc>
        <w:tc>
          <w:tcPr>
            <w:tcW w:w="518" w:type="dxa"/>
            <w:shd w:val="clear" w:color="auto" w:fill="auto"/>
            <w:vAlign w:val="center"/>
          </w:tcPr>
          <w:p w14:paraId="2E4B678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5D4F22D" w14:textId="77777777">
        <w:trPr>
          <w:jc w:val="center"/>
        </w:trPr>
        <w:tc>
          <w:tcPr>
            <w:tcW w:w="1828" w:type="dxa"/>
            <w:shd w:val="clear" w:color="auto" w:fill="auto"/>
            <w:vAlign w:val="center"/>
          </w:tcPr>
          <w:p w14:paraId="3CABEFC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B1B52C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2447FA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建（构）筑物类</w:t>
            </w:r>
          </w:p>
        </w:tc>
        <w:tc>
          <w:tcPr>
            <w:tcW w:w="4666" w:type="dxa"/>
            <w:shd w:val="clear" w:color="auto" w:fill="auto"/>
            <w:vAlign w:val="center"/>
          </w:tcPr>
          <w:p w14:paraId="28E2FDB2"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锅炉房的耐火等级低于二级。</w:t>
            </w:r>
          </w:p>
        </w:tc>
        <w:tc>
          <w:tcPr>
            <w:tcW w:w="5833" w:type="dxa"/>
            <w:shd w:val="clear" w:color="auto" w:fill="auto"/>
            <w:vAlign w:val="center"/>
          </w:tcPr>
          <w:p w14:paraId="272B541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《锅炉房设计标准》（GB 50041-2020）第15.1.1条</w:t>
            </w:r>
          </w:p>
        </w:tc>
        <w:tc>
          <w:tcPr>
            <w:tcW w:w="518" w:type="dxa"/>
            <w:shd w:val="clear" w:color="auto" w:fill="auto"/>
            <w:vAlign w:val="center"/>
          </w:tcPr>
          <w:p w14:paraId="444568D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89508A9" w14:textId="77777777">
        <w:trPr>
          <w:jc w:val="center"/>
        </w:trPr>
        <w:tc>
          <w:tcPr>
            <w:tcW w:w="1828" w:type="dxa"/>
            <w:shd w:val="clear" w:color="auto" w:fill="auto"/>
            <w:vAlign w:val="center"/>
          </w:tcPr>
          <w:p w14:paraId="455B86E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35354F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0EEF43A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0C04035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锅炉房出入口设置不符合要求。</w:t>
            </w:r>
          </w:p>
        </w:tc>
        <w:tc>
          <w:tcPr>
            <w:tcW w:w="5833" w:type="dxa"/>
            <w:shd w:val="clear" w:color="auto" w:fill="auto"/>
            <w:vAlign w:val="center"/>
          </w:tcPr>
          <w:p w14:paraId="10FFE82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《锅炉房设计标准》（GB 50041-2020）第4.3.7条</w:t>
            </w:r>
          </w:p>
        </w:tc>
        <w:tc>
          <w:tcPr>
            <w:tcW w:w="518" w:type="dxa"/>
            <w:shd w:val="clear" w:color="auto" w:fill="auto"/>
            <w:vAlign w:val="center"/>
          </w:tcPr>
          <w:p w14:paraId="4479328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4CD68C6" w14:textId="77777777">
        <w:trPr>
          <w:jc w:val="center"/>
        </w:trPr>
        <w:tc>
          <w:tcPr>
            <w:tcW w:w="1828" w:type="dxa"/>
            <w:shd w:val="clear" w:color="auto" w:fill="auto"/>
            <w:vAlign w:val="center"/>
          </w:tcPr>
          <w:p w14:paraId="087A398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3FCB1F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04397F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5C2891C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锅炉房酸、碱贮存区内未设操作人员安全冲洗设施，或其有效服务半径大于 15 m。</w:t>
            </w:r>
          </w:p>
        </w:tc>
        <w:tc>
          <w:tcPr>
            <w:tcW w:w="5833" w:type="dxa"/>
            <w:shd w:val="clear" w:color="auto" w:fill="auto"/>
            <w:vAlign w:val="center"/>
          </w:tcPr>
          <w:p w14:paraId="1B6E477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《安全生产等级评定技术规范第35部分：医药制造企业》（DB11/T1322.35-2018）第3.5.1.5条</w:t>
            </w:r>
          </w:p>
        </w:tc>
        <w:tc>
          <w:tcPr>
            <w:tcW w:w="518" w:type="dxa"/>
            <w:shd w:val="clear" w:color="auto" w:fill="auto"/>
            <w:vAlign w:val="center"/>
          </w:tcPr>
          <w:p w14:paraId="70B903A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7BA5C86" w14:textId="77777777">
        <w:trPr>
          <w:jc w:val="center"/>
        </w:trPr>
        <w:tc>
          <w:tcPr>
            <w:tcW w:w="1828" w:type="dxa"/>
            <w:shd w:val="clear" w:color="auto" w:fill="auto"/>
            <w:vAlign w:val="center"/>
          </w:tcPr>
          <w:p w14:paraId="57391E6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550A1F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4162A2A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0006A84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燃气锅炉烟道出口未装设防爆装置。</w:t>
            </w:r>
          </w:p>
        </w:tc>
        <w:tc>
          <w:tcPr>
            <w:tcW w:w="5833" w:type="dxa"/>
            <w:shd w:val="clear" w:color="auto" w:fill="auto"/>
            <w:vAlign w:val="center"/>
          </w:tcPr>
          <w:p w14:paraId="1A735E5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《锅炉房设计标准》（GB 50041-2020）第8.0.4条</w:t>
            </w:r>
          </w:p>
        </w:tc>
        <w:tc>
          <w:tcPr>
            <w:tcW w:w="518" w:type="dxa"/>
            <w:shd w:val="clear" w:color="auto" w:fill="auto"/>
            <w:vAlign w:val="center"/>
          </w:tcPr>
          <w:p w14:paraId="56F6738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9055EDC" w14:textId="77777777">
        <w:trPr>
          <w:jc w:val="center"/>
        </w:trPr>
        <w:tc>
          <w:tcPr>
            <w:tcW w:w="1828" w:type="dxa"/>
            <w:shd w:val="clear" w:color="auto" w:fill="auto"/>
            <w:vAlign w:val="center"/>
          </w:tcPr>
          <w:p w14:paraId="537C529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378BFB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A5EF7E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1858B2B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燃气锅炉房未选用防爆型的事故排风机。</w:t>
            </w:r>
          </w:p>
        </w:tc>
        <w:tc>
          <w:tcPr>
            <w:tcW w:w="5833" w:type="dxa"/>
            <w:shd w:val="clear" w:color="auto" w:fill="auto"/>
            <w:vAlign w:val="center"/>
          </w:tcPr>
          <w:p w14:paraId="1DCC8B2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《建筑设计防火规范》(GB50016-2014)第9.3.16条</w:t>
            </w:r>
          </w:p>
        </w:tc>
        <w:tc>
          <w:tcPr>
            <w:tcW w:w="518" w:type="dxa"/>
            <w:shd w:val="clear" w:color="auto" w:fill="auto"/>
            <w:vAlign w:val="center"/>
          </w:tcPr>
          <w:p w14:paraId="4B03BA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3CE12EA" w14:textId="77777777">
        <w:trPr>
          <w:jc w:val="center"/>
        </w:trPr>
        <w:tc>
          <w:tcPr>
            <w:tcW w:w="1828" w:type="dxa"/>
            <w:shd w:val="clear" w:color="auto" w:fill="auto"/>
            <w:vAlign w:val="center"/>
          </w:tcPr>
          <w:p w14:paraId="0E150B7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865C37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309D53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3B45CFB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燃气锅炉间、燃气调压间等有爆炸和火灾危险场所的电气不符合防爆要求。</w:t>
            </w:r>
          </w:p>
        </w:tc>
        <w:tc>
          <w:tcPr>
            <w:tcW w:w="5833" w:type="dxa"/>
            <w:shd w:val="clear" w:color="auto" w:fill="auto"/>
            <w:vAlign w:val="center"/>
          </w:tcPr>
          <w:p w14:paraId="003F4BF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《锅炉房设计标准》（GB 50041-2020）第15.2.2条</w:t>
            </w:r>
          </w:p>
        </w:tc>
        <w:tc>
          <w:tcPr>
            <w:tcW w:w="518" w:type="dxa"/>
            <w:shd w:val="clear" w:color="auto" w:fill="auto"/>
            <w:vAlign w:val="center"/>
          </w:tcPr>
          <w:p w14:paraId="175144E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C10FC84" w14:textId="77777777">
        <w:trPr>
          <w:jc w:val="center"/>
        </w:trPr>
        <w:tc>
          <w:tcPr>
            <w:tcW w:w="1828" w:type="dxa"/>
            <w:shd w:val="clear" w:color="auto" w:fill="auto"/>
            <w:vAlign w:val="center"/>
          </w:tcPr>
          <w:p w14:paraId="33B8628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3A9621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5425B06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辅助系统设备设施类</w:t>
            </w:r>
          </w:p>
        </w:tc>
        <w:tc>
          <w:tcPr>
            <w:tcW w:w="4666" w:type="dxa"/>
            <w:shd w:val="clear" w:color="auto" w:fill="auto"/>
            <w:vAlign w:val="center"/>
          </w:tcPr>
          <w:p w14:paraId="44EE20C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燃气锅炉间、 燃气调压间等有爆炸和火灾危险场所未安装燃气泄漏报警装置，或未与事故通风机、燃气供气母管总切断阀联动，或未定期检定。</w:t>
            </w:r>
          </w:p>
        </w:tc>
        <w:tc>
          <w:tcPr>
            <w:tcW w:w="5833" w:type="dxa"/>
            <w:shd w:val="clear" w:color="auto" w:fill="auto"/>
            <w:vAlign w:val="center"/>
          </w:tcPr>
          <w:p w14:paraId="7E6C9B0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《中华人民共和国计量法》第九条；《中华人民共和国计量法实施细则》第十二条；《锅炉房设计标准》（GB 50041-2020）第11.1.8条、第11.1.9条；JJG 693-2011 《可燃气体检测报警器检定规程》第5.5条</w:t>
            </w:r>
          </w:p>
        </w:tc>
        <w:tc>
          <w:tcPr>
            <w:tcW w:w="518" w:type="dxa"/>
            <w:shd w:val="clear" w:color="auto" w:fill="auto"/>
            <w:vAlign w:val="center"/>
          </w:tcPr>
          <w:p w14:paraId="27845DD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1572E8C" w14:textId="77777777">
        <w:trPr>
          <w:jc w:val="center"/>
        </w:trPr>
        <w:tc>
          <w:tcPr>
            <w:tcW w:w="1828" w:type="dxa"/>
            <w:shd w:val="clear" w:color="auto" w:fill="auto"/>
            <w:vAlign w:val="center"/>
          </w:tcPr>
          <w:p w14:paraId="52B40DA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07C6DE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设备设施及物料类</w:t>
            </w:r>
          </w:p>
        </w:tc>
        <w:tc>
          <w:tcPr>
            <w:tcW w:w="1134" w:type="dxa"/>
            <w:shd w:val="clear" w:color="auto" w:fill="auto"/>
            <w:vAlign w:val="center"/>
          </w:tcPr>
          <w:p w14:paraId="2090ED2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其他设备设施类</w:t>
            </w:r>
          </w:p>
        </w:tc>
        <w:tc>
          <w:tcPr>
            <w:tcW w:w="4666" w:type="dxa"/>
            <w:shd w:val="clear" w:color="auto" w:fill="auto"/>
            <w:vAlign w:val="center"/>
          </w:tcPr>
          <w:p w14:paraId="72E7519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可燃性粉尘的除尘系统不符合GB 15577和AQ 4273的规定。</w:t>
            </w:r>
          </w:p>
        </w:tc>
        <w:tc>
          <w:tcPr>
            <w:tcW w:w="5833" w:type="dxa"/>
            <w:shd w:val="clear" w:color="auto" w:fill="auto"/>
            <w:vAlign w:val="center"/>
          </w:tcPr>
          <w:p w14:paraId="2F31752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第90部分：化工企业》第4.5.3节</w:t>
            </w:r>
          </w:p>
        </w:tc>
        <w:tc>
          <w:tcPr>
            <w:tcW w:w="518" w:type="dxa"/>
            <w:shd w:val="clear" w:color="auto" w:fill="auto"/>
            <w:vAlign w:val="center"/>
          </w:tcPr>
          <w:p w14:paraId="17674F3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491B1EF" w14:textId="77777777">
        <w:trPr>
          <w:trHeight w:val="1517"/>
          <w:jc w:val="center"/>
        </w:trPr>
        <w:tc>
          <w:tcPr>
            <w:tcW w:w="1828" w:type="dxa"/>
            <w:shd w:val="clear" w:color="auto" w:fill="auto"/>
            <w:vAlign w:val="center"/>
          </w:tcPr>
          <w:p w14:paraId="38A19FD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B7D624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4311F7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6B908C2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企业内部装置、设备设施防火间距不符合要求。</w:t>
            </w:r>
          </w:p>
        </w:tc>
        <w:tc>
          <w:tcPr>
            <w:tcW w:w="5833" w:type="dxa"/>
            <w:shd w:val="clear" w:color="auto" w:fill="auto"/>
            <w:vAlign w:val="center"/>
          </w:tcPr>
          <w:p w14:paraId="235E1E1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50016-2014《建筑设计防火规范（2018年版）》；GB 50160-2008《石油化工企业设计防火标准（2018年版）》第4.2.12条、第5.2.9条、第6.2.8条、第6.3.3条；GB51283-2020《精细化工企业工程设计防火标准》第4.2.6条、第4.2.9条、第4.3.2条、第5.5.2条、第5.5.3条、第5.5.4条、第6.2.6条、第6.2.7条、第6.2.8条</w:t>
            </w:r>
          </w:p>
        </w:tc>
        <w:tc>
          <w:tcPr>
            <w:tcW w:w="518" w:type="dxa"/>
            <w:shd w:val="clear" w:color="auto" w:fill="auto"/>
            <w:vAlign w:val="center"/>
          </w:tcPr>
          <w:p w14:paraId="6CB55BD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FA81DC6" w14:textId="77777777">
        <w:trPr>
          <w:jc w:val="center"/>
        </w:trPr>
        <w:tc>
          <w:tcPr>
            <w:tcW w:w="1828" w:type="dxa"/>
            <w:shd w:val="clear" w:color="auto" w:fill="auto"/>
            <w:vAlign w:val="center"/>
          </w:tcPr>
          <w:p w14:paraId="6463DB7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5E8370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894FC7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26A615A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涉及“两重点</w:t>
            </w:r>
            <w:proofErr w:type="gramStart"/>
            <w:r>
              <w:rPr>
                <w:rFonts w:ascii="仿宋_GB2312" w:hAnsi="宋体" w:cs="宋体" w:hint="eastAsia"/>
                <w:color w:val="000000"/>
                <w:kern w:val="0"/>
                <w:sz w:val="20"/>
                <w:szCs w:val="20"/>
              </w:rPr>
              <w:t>一</w:t>
            </w:r>
            <w:proofErr w:type="gramEnd"/>
            <w:r>
              <w:rPr>
                <w:rFonts w:ascii="仿宋_GB2312" w:hAnsi="宋体" w:cs="宋体" w:hint="eastAsia"/>
                <w:color w:val="000000"/>
                <w:kern w:val="0"/>
                <w:sz w:val="20"/>
                <w:szCs w:val="20"/>
              </w:rPr>
              <w:t>重大”的生产装置、储存设施与企业外部防火间距不足。</w:t>
            </w:r>
          </w:p>
        </w:tc>
        <w:tc>
          <w:tcPr>
            <w:tcW w:w="5833" w:type="dxa"/>
            <w:shd w:val="clear" w:color="auto" w:fill="auto"/>
            <w:vAlign w:val="center"/>
          </w:tcPr>
          <w:p w14:paraId="4C9A93BE" w14:textId="77777777" w:rsidR="003F7E00" w:rsidRDefault="003F7E00" w:rsidP="003F7E00">
            <w:pPr>
              <w:widowControl/>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GB 50016-2014《建筑设计防火规范（2018年版）》；GB 50160-2008《石油化工企业设计防火标准（2018年版）》第4.1.9条；GB51283-2020《精细化工企业工程设计防火标准》第4.1.5条；《化工和危险化学品生产经营单位重大生产安全事故隐患判定标准（试行）》第三条</w:t>
            </w:r>
          </w:p>
        </w:tc>
        <w:tc>
          <w:tcPr>
            <w:tcW w:w="518" w:type="dxa"/>
            <w:shd w:val="clear" w:color="auto" w:fill="auto"/>
            <w:vAlign w:val="center"/>
          </w:tcPr>
          <w:p w14:paraId="6122D09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087D1D29" w14:textId="77777777">
        <w:trPr>
          <w:jc w:val="center"/>
        </w:trPr>
        <w:tc>
          <w:tcPr>
            <w:tcW w:w="1828" w:type="dxa"/>
            <w:shd w:val="clear" w:color="auto" w:fill="auto"/>
            <w:vAlign w:val="center"/>
          </w:tcPr>
          <w:p w14:paraId="3F8AF94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189725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20F4DFE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6D3F834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地区架空电力线路穿越生产区且不符合国家标准要求。</w:t>
            </w:r>
          </w:p>
        </w:tc>
        <w:tc>
          <w:tcPr>
            <w:tcW w:w="5833" w:type="dxa"/>
            <w:shd w:val="clear" w:color="auto" w:fill="auto"/>
            <w:vAlign w:val="center"/>
          </w:tcPr>
          <w:p w14:paraId="389B2DA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50160-2008《石油化工企业设计防火标准（2018年版）》；《化工和危险化学品生产经营单位重大生产安全事故隐患判定标准（试行）》第九条</w:t>
            </w:r>
          </w:p>
        </w:tc>
        <w:tc>
          <w:tcPr>
            <w:tcW w:w="518" w:type="dxa"/>
            <w:shd w:val="clear" w:color="auto" w:fill="auto"/>
            <w:vAlign w:val="center"/>
          </w:tcPr>
          <w:p w14:paraId="34324B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15031A17" w14:textId="77777777">
        <w:trPr>
          <w:jc w:val="center"/>
        </w:trPr>
        <w:tc>
          <w:tcPr>
            <w:tcW w:w="1828" w:type="dxa"/>
            <w:shd w:val="clear" w:color="auto" w:fill="auto"/>
            <w:vAlign w:val="center"/>
          </w:tcPr>
          <w:p w14:paraId="42D451A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64CA65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2596466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11188FE1"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装置的控制室、机柜间、变配电所、化验室、办公室等不得与设有甲、乙A类设备的房间布置在同一建筑物内。</w:t>
            </w:r>
          </w:p>
        </w:tc>
        <w:tc>
          <w:tcPr>
            <w:tcW w:w="5833" w:type="dxa"/>
            <w:shd w:val="clear" w:color="auto" w:fill="auto"/>
            <w:vAlign w:val="center"/>
          </w:tcPr>
          <w:p w14:paraId="76545AC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50160-2008《石油化工企业设计防火标准（2018年版）》第5.2.16条；DB11/T 1322.90-2020《安全生产等级评定技术规范 第90部分：化工企业》第4.2.2条、第4.1.10条、</w:t>
            </w:r>
          </w:p>
        </w:tc>
        <w:tc>
          <w:tcPr>
            <w:tcW w:w="518" w:type="dxa"/>
            <w:shd w:val="clear" w:color="auto" w:fill="auto"/>
            <w:vAlign w:val="center"/>
          </w:tcPr>
          <w:p w14:paraId="1D2AFB9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064FF68" w14:textId="77777777">
        <w:trPr>
          <w:jc w:val="center"/>
        </w:trPr>
        <w:tc>
          <w:tcPr>
            <w:tcW w:w="1828" w:type="dxa"/>
            <w:shd w:val="clear" w:color="auto" w:fill="auto"/>
            <w:vAlign w:val="center"/>
          </w:tcPr>
          <w:p w14:paraId="330CA15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696A7A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CA98C3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6F75648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涉及爆炸性危险化学品的生产装置控制室、交接班室布置在装置区内；具有甲、乙类火灾危险性、粉尘爆炸危险性、中毒危险性的厂房(含装置或车间)和仓库内,设置办公室、休息室、外操室、巡检室。</w:t>
            </w:r>
          </w:p>
        </w:tc>
        <w:tc>
          <w:tcPr>
            <w:tcW w:w="5833" w:type="dxa"/>
            <w:shd w:val="clear" w:color="auto" w:fill="auto"/>
            <w:vAlign w:val="center"/>
          </w:tcPr>
          <w:p w14:paraId="059DCE7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3034—2022《化工过程安全管理导则》第4.7.2.9条</w:t>
            </w:r>
          </w:p>
        </w:tc>
        <w:tc>
          <w:tcPr>
            <w:tcW w:w="518" w:type="dxa"/>
            <w:shd w:val="clear" w:color="auto" w:fill="auto"/>
            <w:vAlign w:val="center"/>
          </w:tcPr>
          <w:p w14:paraId="1206227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D85FF2A" w14:textId="77777777">
        <w:trPr>
          <w:jc w:val="center"/>
        </w:trPr>
        <w:tc>
          <w:tcPr>
            <w:tcW w:w="1828" w:type="dxa"/>
            <w:shd w:val="clear" w:color="auto" w:fill="auto"/>
            <w:vAlign w:val="center"/>
          </w:tcPr>
          <w:p w14:paraId="0DA6F9E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9CD9A1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3F9E0EC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2DAA6DC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控制室或机柜间面向具有火灾、爆炸危险性装置一侧不满足国家标准关于防火防爆的要求。</w:t>
            </w:r>
          </w:p>
        </w:tc>
        <w:tc>
          <w:tcPr>
            <w:tcW w:w="5833" w:type="dxa"/>
            <w:shd w:val="clear" w:color="auto" w:fill="auto"/>
            <w:vAlign w:val="center"/>
          </w:tcPr>
          <w:p w14:paraId="7E42DBB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50160-2008《石油化工企业设计防火标准（2018年版）》第4.1.12条、第4.2.8条、第5.2.18条、第5.5.17条、第5.7.1条；《化工和危险化学品生产经营单位重大生产安全事故隐患判定标准（试行）》第十三条</w:t>
            </w:r>
          </w:p>
          <w:p w14:paraId="65F4B71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（1）控制室、机柜间距具有火灾、爆炸危险性装置防火间距不应小于15m。</w:t>
            </w:r>
          </w:p>
          <w:p w14:paraId="782056C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（2）布置在装置区的控制室、有人值守的机柜间宜进行抗爆设计，抗爆设计应按现行国家标准《石油化工控制室抗爆设计规范》GB50779的规定执行。</w:t>
            </w:r>
          </w:p>
          <w:p w14:paraId="0BAEDCD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（3）控制室、机柜间面向有火灾危险性设备侧的外墙应为无门窗洞口、耐火极限不低于3h的不燃烧材料实体墙。</w:t>
            </w:r>
          </w:p>
        </w:tc>
        <w:tc>
          <w:tcPr>
            <w:tcW w:w="518" w:type="dxa"/>
            <w:shd w:val="clear" w:color="auto" w:fill="auto"/>
            <w:vAlign w:val="center"/>
          </w:tcPr>
          <w:p w14:paraId="4E5A694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lastRenderedPageBreak/>
              <w:t>★</w:t>
            </w:r>
          </w:p>
        </w:tc>
      </w:tr>
      <w:tr w:rsidR="003F7E00" w14:paraId="0B1BFDA3" w14:textId="77777777">
        <w:trPr>
          <w:jc w:val="center"/>
        </w:trPr>
        <w:tc>
          <w:tcPr>
            <w:tcW w:w="1828" w:type="dxa"/>
            <w:shd w:val="clear" w:color="auto" w:fill="auto"/>
            <w:vAlign w:val="center"/>
          </w:tcPr>
          <w:p w14:paraId="189AF2C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B61AF1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3D87C3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1C52A98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生产经营场所或员工宿舍出口、疏散通道不符合紧急疏散要求、无疏散标志或标志不明显。</w:t>
            </w:r>
          </w:p>
        </w:tc>
        <w:tc>
          <w:tcPr>
            <w:tcW w:w="5833" w:type="dxa"/>
            <w:shd w:val="clear" w:color="auto" w:fill="auto"/>
            <w:vAlign w:val="center"/>
          </w:tcPr>
          <w:p w14:paraId="2A3F92A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《中华人民共和国安全生产法》第四十二条</w:t>
            </w:r>
          </w:p>
        </w:tc>
        <w:tc>
          <w:tcPr>
            <w:tcW w:w="518" w:type="dxa"/>
            <w:shd w:val="clear" w:color="auto" w:fill="auto"/>
            <w:vAlign w:val="center"/>
          </w:tcPr>
          <w:p w14:paraId="63E9603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958C143" w14:textId="77777777">
        <w:trPr>
          <w:jc w:val="center"/>
        </w:trPr>
        <w:tc>
          <w:tcPr>
            <w:tcW w:w="1828" w:type="dxa"/>
            <w:shd w:val="clear" w:color="auto" w:fill="auto"/>
            <w:vAlign w:val="center"/>
          </w:tcPr>
          <w:p w14:paraId="4BDE14C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1D009D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45160DA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7A17121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生产经营场所或者员工宿舍的出口、疏散通道存在被占用、锁闭、封堵等情况。</w:t>
            </w:r>
          </w:p>
        </w:tc>
        <w:tc>
          <w:tcPr>
            <w:tcW w:w="5833" w:type="dxa"/>
            <w:shd w:val="clear" w:color="auto" w:fill="auto"/>
            <w:vAlign w:val="center"/>
          </w:tcPr>
          <w:p w14:paraId="621CF1D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《中华人民共和国安全生产法》第四十二条</w:t>
            </w:r>
          </w:p>
        </w:tc>
        <w:tc>
          <w:tcPr>
            <w:tcW w:w="518" w:type="dxa"/>
            <w:shd w:val="clear" w:color="auto" w:fill="auto"/>
            <w:vAlign w:val="center"/>
          </w:tcPr>
          <w:p w14:paraId="0B75981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0E8D7C8" w14:textId="77777777">
        <w:trPr>
          <w:jc w:val="center"/>
        </w:trPr>
        <w:tc>
          <w:tcPr>
            <w:tcW w:w="1828" w:type="dxa"/>
            <w:shd w:val="clear" w:color="auto" w:fill="auto"/>
            <w:vAlign w:val="center"/>
          </w:tcPr>
          <w:p w14:paraId="1CFAFA70"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3665F0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695835D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7815FF3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厂区出入口不足2个。</w:t>
            </w:r>
          </w:p>
        </w:tc>
        <w:tc>
          <w:tcPr>
            <w:tcW w:w="5833" w:type="dxa"/>
            <w:shd w:val="clear" w:color="auto" w:fill="auto"/>
            <w:vAlign w:val="center"/>
          </w:tcPr>
          <w:p w14:paraId="7EEE100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50160-2008《石油化工企业设计防火标准（2018年版）》第4.3.1条；GB51283-2020《精细化工企业工程设计防火标准》第4.3.1条</w:t>
            </w:r>
          </w:p>
        </w:tc>
        <w:tc>
          <w:tcPr>
            <w:tcW w:w="518" w:type="dxa"/>
            <w:shd w:val="clear" w:color="auto" w:fill="auto"/>
            <w:vAlign w:val="center"/>
          </w:tcPr>
          <w:p w14:paraId="0DEA4F1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2DEA6D8" w14:textId="77777777">
        <w:trPr>
          <w:jc w:val="center"/>
        </w:trPr>
        <w:tc>
          <w:tcPr>
            <w:tcW w:w="1828" w:type="dxa"/>
            <w:shd w:val="clear" w:color="auto" w:fill="auto"/>
            <w:vAlign w:val="center"/>
          </w:tcPr>
          <w:p w14:paraId="2FAAF6D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CCD42A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79827CE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1DFF406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一个防火分区或楼层的建筑面积大于100m</w:t>
            </w:r>
            <w:r>
              <w:rPr>
                <w:rFonts w:ascii="Calibri" w:hAnsi="Calibri" w:cs="Calibri"/>
                <w:color w:val="000000"/>
                <w:kern w:val="0"/>
                <w:sz w:val="20"/>
                <w:szCs w:val="20"/>
              </w:rPr>
              <w:t>²</w:t>
            </w:r>
            <w:r>
              <w:rPr>
                <w:rFonts w:ascii="仿宋_GB2312" w:hAnsi="宋体" w:cs="宋体" w:hint="eastAsia"/>
                <w:color w:val="000000"/>
                <w:kern w:val="0"/>
                <w:sz w:val="20"/>
                <w:szCs w:val="20"/>
              </w:rPr>
              <w:t>或同一时间的使用人数大于5人的甲类地上生产场所，一个防火分区或楼层的建筑面积大于150m</w:t>
            </w:r>
            <w:r>
              <w:rPr>
                <w:rFonts w:ascii="Calibri" w:hAnsi="Calibri" w:cs="Calibri"/>
                <w:color w:val="000000"/>
                <w:kern w:val="0"/>
                <w:sz w:val="20"/>
                <w:szCs w:val="20"/>
              </w:rPr>
              <w:t>²</w:t>
            </w:r>
            <w:r>
              <w:rPr>
                <w:rFonts w:ascii="仿宋_GB2312" w:hAnsi="宋体" w:cs="宋体" w:hint="eastAsia"/>
                <w:color w:val="000000"/>
                <w:kern w:val="0"/>
                <w:sz w:val="20"/>
                <w:szCs w:val="20"/>
              </w:rPr>
              <w:t>或同一时间的使用人数大于10人乙类地上生产场所，一个防火分区或楼层的建筑面积大于250m</w:t>
            </w:r>
            <w:r>
              <w:rPr>
                <w:rFonts w:ascii="Calibri" w:hAnsi="Calibri" w:cs="Calibri"/>
                <w:color w:val="000000"/>
                <w:kern w:val="0"/>
                <w:sz w:val="20"/>
                <w:szCs w:val="20"/>
              </w:rPr>
              <w:t>²</w:t>
            </w:r>
            <w:r>
              <w:rPr>
                <w:rFonts w:ascii="仿宋_GB2312" w:hAnsi="宋体" w:cs="宋体" w:hint="eastAsia"/>
                <w:color w:val="000000"/>
                <w:kern w:val="0"/>
                <w:sz w:val="20"/>
                <w:szCs w:val="20"/>
              </w:rPr>
              <w:t>或同一时间的使用人数大于20人的丙类地上生产场所，一个防火分区或楼层的建筑面积大于400m</w:t>
            </w:r>
            <w:r>
              <w:rPr>
                <w:rFonts w:ascii="Calibri" w:hAnsi="Calibri" w:cs="Calibri"/>
                <w:color w:val="000000"/>
                <w:kern w:val="0"/>
                <w:sz w:val="20"/>
                <w:szCs w:val="20"/>
              </w:rPr>
              <w:t>²</w:t>
            </w:r>
            <w:r>
              <w:rPr>
                <w:rFonts w:ascii="仿宋_GB2312" w:hAnsi="宋体" w:cs="宋体" w:hint="eastAsia"/>
                <w:color w:val="000000"/>
                <w:kern w:val="0"/>
                <w:sz w:val="20"/>
                <w:szCs w:val="20"/>
              </w:rPr>
              <w:t>或同一时间的使用人数大于30人的丁、</w:t>
            </w:r>
            <w:proofErr w:type="gramStart"/>
            <w:r>
              <w:rPr>
                <w:rFonts w:ascii="仿宋_GB2312" w:hAnsi="宋体" w:cs="宋体" w:hint="eastAsia"/>
                <w:color w:val="000000"/>
                <w:kern w:val="0"/>
                <w:sz w:val="20"/>
                <w:szCs w:val="20"/>
              </w:rPr>
              <w:t>戊类地上</w:t>
            </w:r>
            <w:proofErr w:type="gramEnd"/>
            <w:r>
              <w:rPr>
                <w:rFonts w:ascii="仿宋_GB2312" w:hAnsi="宋体" w:cs="宋体" w:hint="eastAsia"/>
                <w:color w:val="000000"/>
                <w:kern w:val="0"/>
                <w:sz w:val="20"/>
                <w:szCs w:val="20"/>
              </w:rPr>
              <w:t>生产场所，一个防火分区或楼层的建筑面积大于50m</w:t>
            </w:r>
            <w:r>
              <w:rPr>
                <w:rFonts w:ascii="Calibri" w:hAnsi="Calibri" w:cs="Calibri"/>
                <w:color w:val="000000"/>
                <w:kern w:val="0"/>
                <w:sz w:val="20"/>
                <w:szCs w:val="20"/>
              </w:rPr>
              <w:t>²</w:t>
            </w:r>
            <w:r>
              <w:rPr>
                <w:rFonts w:ascii="仿宋_GB2312" w:hAnsi="宋体" w:cs="宋体" w:hint="eastAsia"/>
                <w:color w:val="000000"/>
                <w:kern w:val="0"/>
                <w:sz w:val="20"/>
                <w:szCs w:val="20"/>
              </w:rPr>
              <w:t>或同一时间的使用人数大于15人的丙类地下或半地下生产场所，或一个防火分区或楼层的建筑面积大于200m</w:t>
            </w:r>
            <w:r>
              <w:rPr>
                <w:rFonts w:ascii="Calibri" w:hAnsi="Calibri" w:cs="Calibri"/>
                <w:color w:val="000000"/>
                <w:kern w:val="0"/>
                <w:sz w:val="20"/>
                <w:szCs w:val="20"/>
              </w:rPr>
              <w:t>²</w:t>
            </w:r>
            <w:r>
              <w:rPr>
                <w:rFonts w:ascii="仿宋_GB2312" w:hAnsi="宋体" w:cs="宋体" w:hint="eastAsia"/>
                <w:color w:val="000000"/>
                <w:kern w:val="0"/>
                <w:sz w:val="20"/>
                <w:szCs w:val="20"/>
              </w:rPr>
              <w:t>或同一时间的使用人数大于15人的丁、</w:t>
            </w:r>
            <w:proofErr w:type="gramStart"/>
            <w:r>
              <w:rPr>
                <w:rFonts w:ascii="仿宋_GB2312" w:hAnsi="宋体" w:cs="宋体" w:hint="eastAsia"/>
                <w:color w:val="000000"/>
                <w:kern w:val="0"/>
                <w:sz w:val="20"/>
                <w:szCs w:val="20"/>
              </w:rPr>
              <w:t>戊类地下</w:t>
            </w:r>
            <w:proofErr w:type="gramEnd"/>
            <w:r>
              <w:rPr>
                <w:rFonts w:ascii="仿宋_GB2312" w:hAnsi="宋体" w:cs="宋体" w:hint="eastAsia"/>
                <w:color w:val="000000"/>
                <w:kern w:val="0"/>
                <w:sz w:val="20"/>
                <w:szCs w:val="20"/>
              </w:rPr>
              <w:t>或半地下生产场所，安全出口不足2个。</w:t>
            </w:r>
          </w:p>
        </w:tc>
        <w:tc>
          <w:tcPr>
            <w:tcW w:w="5833" w:type="dxa"/>
            <w:shd w:val="clear" w:color="auto" w:fill="auto"/>
            <w:vAlign w:val="center"/>
          </w:tcPr>
          <w:p w14:paraId="6457759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55037-2022《建筑通用防火技术规范》第7.2.1条</w:t>
            </w:r>
          </w:p>
        </w:tc>
        <w:tc>
          <w:tcPr>
            <w:tcW w:w="518" w:type="dxa"/>
            <w:shd w:val="clear" w:color="auto" w:fill="auto"/>
            <w:vAlign w:val="center"/>
          </w:tcPr>
          <w:p w14:paraId="0A46A2C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131BD58" w14:textId="77777777">
        <w:trPr>
          <w:jc w:val="center"/>
        </w:trPr>
        <w:tc>
          <w:tcPr>
            <w:tcW w:w="1828" w:type="dxa"/>
            <w:shd w:val="clear" w:color="auto" w:fill="auto"/>
            <w:vAlign w:val="center"/>
          </w:tcPr>
          <w:p w14:paraId="42B3996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F11556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705CE0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14BD76D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高层厂房或甲、乙、丙类多层厂房的疏散楼梯未设为封闭楼梯间或室外楼梯，建筑高度大于32m且任一层使用人数大于10人的厂房的疏散楼梯未设为防烟楼梯间或室外楼梯。</w:t>
            </w:r>
          </w:p>
        </w:tc>
        <w:tc>
          <w:tcPr>
            <w:tcW w:w="5833" w:type="dxa"/>
            <w:shd w:val="clear" w:color="auto" w:fill="auto"/>
            <w:vAlign w:val="center"/>
          </w:tcPr>
          <w:p w14:paraId="4385454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55037-2022《建筑通用防火技术规范》第7.2.2条</w:t>
            </w:r>
          </w:p>
        </w:tc>
        <w:tc>
          <w:tcPr>
            <w:tcW w:w="518" w:type="dxa"/>
            <w:shd w:val="clear" w:color="auto" w:fill="auto"/>
            <w:vAlign w:val="center"/>
          </w:tcPr>
          <w:p w14:paraId="6ABFF54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653EF55" w14:textId="77777777">
        <w:trPr>
          <w:jc w:val="center"/>
        </w:trPr>
        <w:tc>
          <w:tcPr>
            <w:tcW w:w="1828" w:type="dxa"/>
            <w:shd w:val="clear" w:color="auto" w:fill="auto"/>
            <w:vAlign w:val="center"/>
          </w:tcPr>
          <w:p w14:paraId="4C39D24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144CA8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271B7E7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64D006C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占地面积大于300m</w:t>
            </w:r>
            <w:r>
              <w:rPr>
                <w:rFonts w:ascii="Calibri" w:hAnsi="Calibri" w:cs="Calibri"/>
                <w:color w:val="000000"/>
                <w:kern w:val="0"/>
                <w:sz w:val="20"/>
                <w:szCs w:val="20"/>
              </w:rPr>
              <w:t>²</w:t>
            </w:r>
            <w:r>
              <w:rPr>
                <w:rFonts w:ascii="仿宋_GB2312" w:hAnsi="宋体" w:cs="宋体" w:hint="eastAsia"/>
                <w:color w:val="000000"/>
                <w:kern w:val="0"/>
                <w:sz w:val="20"/>
                <w:szCs w:val="20"/>
              </w:rPr>
              <w:t>的地上仓库安全出口少于2个；建筑面积大于100m</w:t>
            </w:r>
            <w:r>
              <w:rPr>
                <w:rFonts w:ascii="Calibri" w:hAnsi="Calibri" w:cs="Calibri"/>
                <w:color w:val="000000"/>
                <w:kern w:val="0"/>
                <w:sz w:val="20"/>
                <w:szCs w:val="20"/>
              </w:rPr>
              <w:t>²</w:t>
            </w:r>
            <w:r>
              <w:rPr>
                <w:rFonts w:ascii="仿宋_GB2312" w:hAnsi="宋体" w:cs="宋体" w:hint="eastAsia"/>
                <w:color w:val="000000"/>
                <w:kern w:val="0"/>
                <w:sz w:val="20"/>
                <w:szCs w:val="20"/>
              </w:rPr>
              <w:t>的地下或半地下仓库，安</w:t>
            </w:r>
            <w:r>
              <w:rPr>
                <w:rFonts w:ascii="仿宋_GB2312" w:hAnsi="宋体" w:cs="宋体" w:hint="eastAsia"/>
                <w:color w:val="000000"/>
                <w:kern w:val="0"/>
                <w:sz w:val="20"/>
                <w:szCs w:val="20"/>
              </w:rPr>
              <w:lastRenderedPageBreak/>
              <w:t>全出口少于2个。仓库内每个建筑面积大于100m</w:t>
            </w:r>
            <w:r>
              <w:rPr>
                <w:rFonts w:ascii="Calibri" w:hAnsi="Calibri" w:cs="Calibri"/>
                <w:color w:val="000000"/>
                <w:kern w:val="0"/>
                <w:sz w:val="20"/>
                <w:szCs w:val="20"/>
              </w:rPr>
              <w:t>²</w:t>
            </w:r>
            <w:r>
              <w:rPr>
                <w:rFonts w:ascii="仿宋_GB2312" w:hAnsi="宋体" w:cs="宋体" w:hint="eastAsia"/>
                <w:color w:val="000000"/>
                <w:kern w:val="0"/>
                <w:sz w:val="20"/>
                <w:szCs w:val="20"/>
              </w:rPr>
              <w:t>的房间的疏散出口少于2个。</w:t>
            </w:r>
          </w:p>
        </w:tc>
        <w:tc>
          <w:tcPr>
            <w:tcW w:w="5833" w:type="dxa"/>
            <w:shd w:val="clear" w:color="auto" w:fill="auto"/>
            <w:vAlign w:val="center"/>
          </w:tcPr>
          <w:p w14:paraId="1BA1E9A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GB 55037-2022《建筑通用防火技术规范》第7.2.3条</w:t>
            </w:r>
          </w:p>
        </w:tc>
        <w:tc>
          <w:tcPr>
            <w:tcW w:w="518" w:type="dxa"/>
            <w:shd w:val="clear" w:color="auto" w:fill="auto"/>
            <w:vAlign w:val="center"/>
          </w:tcPr>
          <w:p w14:paraId="2D8E475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7A9A22A" w14:textId="77777777">
        <w:trPr>
          <w:jc w:val="center"/>
        </w:trPr>
        <w:tc>
          <w:tcPr>
            <w:tcW w:w="1828" w:type="dxa"/>
            <w:shd w:val="clear" w:color="auto" w:fill="auto"/>
            <w:vAlign w:val="center"/>
          </w:tcPr>
          <w:p w14:paraId="1D116D1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092E3B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E36036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592E255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甲类或乙类生产场所、甲类或乙类物质的存储场所、其他建筑中使用人数大于60人的房间或每楼门的平均疏散人数大于30人的房间、疏散楼梯间及其前室、室内通向室外疏散楼梯的疏散出口门未向疏散方向开启。</w:t>
            </w:r>
          </w:p>
        </w:tc>
        <w:tc>
          <w:tcPr>
            <w:tcW w:w="5833" w:type="dxa"/>
            <w:shd w:val="clear" w:color="auto" w:fill="auto"/>
            <w:vAlign w:val="center"/>
          </w:tcPr>
          <w:p w14:paraId="5A5A818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55037-2022《建筑防火通用规范》第7.1.6条；GB 50160-2008《石油化工企业设计防火标准（2018年版）》第5.2.25条</w:t>
            </w:r>
          </w:p>
        </w:tc>
        <w:tc>
          <w:tcPr>
            <w:tcW w:w="518" w:type="dxa"/>
            <w:shd w:val="clear" w:color="auto" w:fill="auto"/>
            <w:vAlign w:val="center"/>
          </w:tcPr>
          <w:p w14:paraId="5D27B72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152DD90" w14:textId="77777777">
        <w:trPr>
          <w:jc w:val="center"/>
        </w:trPr>
        <w:tc>
          <w:tcPr>
            <w:tcW w:w="1828" w:type="dxa"/>
            <w:shd w:val="clear" w:color="auto" w:fill="auto"/>
            <w:vAlign w:val="center"/>
          </w:tcPr>
          <w:p w14:paraId="21BF070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87DE60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0EF24E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0167F49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疏散出口门设置为推拉门、卷帘门、吊门、专门或折叠门（设置在丙、丁、</w:t>
            </w:r>
            <w:proofErr w:type="gramStart"/>
            <w:r>
              <w:rPr>
                <w:rFonts w:ascii="仿宋_GB2312" w:hAnsi="宋体" w:cs="宋体" w:hint="eastAsia"/>
                <w:color w:val="000000"/>
                <w:kern w:val="0"/>
                <w:sz w:val="20"/>
                <w:szCs w:val="20"/>
              </w:rPr>
              <w:t>戊类仓库</w:t>
            </w:r>
            <w:proofErr w:type="gramEnd"/>
            <w:r>
              <w:rPr>
                <w:rFonts w:ascii="仿宋_GB2312" w:hAnsi="宋体" w:cs="宋体" w:hint="eastAsia"/>
                <w:color w:val="000000"/>
                <w:kern w:val="0"/>
                <w:sz w:val="20"/>
                <w:szCs w:val="20"/>
              </w:rPr>
              <w:t>首层靠外侧的疏散门可设为推拉门或卷帘门）。</w:t>
            </w:r>
          </w:p>
        </w:tc>
        <w:tc>
          <w:tcPr>
            <w:tcW w:w="5833" w:type="dxa"/>
            <w:shd w:val="clear" w:color="auto" w:fill="auto"/>
            <w:vAlign w:val="center"/>
          </w:tcPr>
          <w:p w14:paraId="0C1ECE3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55037-2022《建筑防火通用规范》第7.1.6条</w:t>
            </w:r>
          </w:p>
        </w:tc>
        <w:tc>
          <w:tcPr>
            <w:tcW w:w="518" w:type="dxa"/>
            <w:shd w:val="clear" w:color="auto" w:fill="auto"/>
            <w:vAlign w:val="center"/>
          </w:tcPr>
          <w:p w14:paraId="14DA2F3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CD03299" w14:textId="77777777">
        <w:trPr>
          <w:jc w:val="center"/>
        </w:trPr>
        <w:tc>
          <w:tcPr>
            <w:tcW w:w="1828" w:type="dxa"/>
            <w:shd w:val="clear" w:color="auto" w:fill="auto"/>
            <w:vAlign w:val="center"/>
          </w:tcPr>
          <w:p w14:paraId="330AA77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AC6EFE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7CEF7D6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物料类</w:t>
            </w:r>
          </w:p>
        </w:tc>
        <w:tc>
          <w:tcPr>
            <w:tcW w:w="4666" w:type="dxa"/>
            <w:shd w:val="clear" w:color="auto" w:fill="auto"/>
            <w:vAlign w:val="center"/>
          </w:tcPr>
          <w:p w14:paraId="0AAAA4D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仓库内堆垛的面积大于150m</w:t>
            </w:r>
            <w:r>
              <w:rPr>
                <w:rFonts w:ascii="仿宋_GB2312" w:hAnsi="宋体" w:cs="宋体" w:hint="eastAsia"/>
                <w:color w:val="000000"/>
                <w:kern w:val="0"/>
                <w:sz w:val="20"/>
                <w:szCs w:val="20"/>
                <w:vertAlign w:val="superscript"/>
              </w:rPr>
              <w:t>2</w:t>
            </w:r>
            <w:r>
              <w:rPr>
                <w:rFonts w:ascii="仿宋_GB2312" w:hAnsi="宋体" w:cs="宋体" w:hint="eastAsia"/>
                <w:color w:val="000000"/>
                <w:kern w:val="0"/>
                <w:sz w:val="20"/>
                <w:szCs w:val="20"/>
              </w:rPr>
              <w:t>，主通道宽度不足2 m。</w:t>
            </w:r>
          </w:p>
        </w:tc>
        <w:tc>
          <w:tcPr>
            <w:tcW w:w="5833" w:type="dxa"/>
            <w:shd w:val="clear" w:color="auto" w:fill="auto"/>
            <w:vAlign w:val="center"/>
          </w:tcPr>
          <w:p w14:paraId="4F82D6C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XF 1131-2014《仓储场所消防安全管理通则》第6.7条</w:t>
            </w:r>
          </w:p>
        </w:tc>
        <w:tc>
          <w:tcPr>
            <w:tcW w:w="518" w:type="dxa"/>
            <w:shd w:val="clear" w:color="auto" w:fill="auto"/>
            <w:vAlign w:val="center"/>
          </w:tcPr>
          <w:p w14:paraId="6977324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6C4A92D" w14:textId="77777777">
        <w:trPr>
          <w:jc w:val="center"/>
        </w:trPr>
        <w:tc>
          <w:tcPr>
            <w:tcW w:w="1828" w:type="dxa"/>
            <w:shd w:val="clear" w:color="auto" w:fill="auto"/>
            <w:vAlign w:val="center"/>
          </w:tcPr>
          <w:p w14:paraId="7A31CD8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3A6ABD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C1BB51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1E00217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仓库未设置醒目的禁止吸烟和禁止使用明火等标志。</w:t>
            </w:r>
          </w:p>
        </w:tc>
        <w:tc>
          <w:tcPr>
            <w:tcW w:w="5833" w:type="dxa"/>
            <w:shd w:val="clear" w:color="auto" w:fill="auto"/>
            <w:vAlign w:val="center"/>
          </w:tcPr>
          <w:p w14:paraId="06104C0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XF1131-2014《仓储场所消防安全管理通则》第3.4条、第9.2条、第9.3条</w:t>
            </w:r>
          </w:p>
        </w:tc>
        <w:tc>
          <w:tcPr>
            <w:tcW w:w="518" w:type="dxa"/>
            <w:shd w:val="clear" w:color="auto" w:fill="auto"/>
            <w:vAlign w:val="center"/>
          </w:tcPr>
          <w:p w14:paraId="3A40E60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BFD0FFC" w14:textId="77777777">
        <w:trPr>
          <w:jc w:val="center"/>
        </w:trPr>
        <w:tc>
          <w:tcPr>
            <w:tcW w:w="1828" w:type="dxa"/>
            <w:shd w:val="clear" w:color="auto" w:fill="auto"/>
            <w:vAlign w:val="center"/>
          </w:tcPr>
          <w:p w14:paraId="219B040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2F5805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2F496B9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2EB22FF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甲类或乙类生产场所（仓库）设置在地下或半地下，有粉尘爆炸危险的生产场所、滤尘设备间设置在地下或半地下。</w:t>
            </w:r>
          </w:p>
        </w:tc>
        <w:tc>
          <w:tcPr>
            <w:tcW w:w="5833" w:type="dxa"/>
            <w:shd w:val="clear" w:color="auto" w:fill="auto"/>
            <w:vAlign w:val="center"/>
          </w:tcPr>
          <w:p w14:paraId="04E7E17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55037-2022《建筑通用防火技术规范》第4.2.1条</w:t>
            </w:r>
          </w:p>
        </w:tc>
        <w:tc>
          <w:tcPr>
            <w:tcW w:w="518" w:type="dxa"/>
            <w:shd w:val="clear" w:color="auto" w:fill="auto"/>
            <w:vAlign w:val="center"/>
          </w:tcPr>
          <w:p w14:paraId="4EC162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541AB52" w14:textId="77777777">
        <w:trPr>
          <w:jc w:val="center"/>
        </w:trPr>
        <w:tc>
          <w:tcPr>
            <w:tcW w:w="1828" w:type="dxa"/>
            <w:shd w:val="clear" w:color="auto" w:fill="auto"/>
            <w:vAlign w:val="center"/>
          </w:tcPr>
          <w:p w14:paraId="665B3A5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4DA2F4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15504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4590C0F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宿舍设置在厂房（仓库）内。</w:t>
            </w:r>
          </w:p>
        </w:tc>
        <w:tc>
          <w:tcPr>
            <w:tcW w:w="5833" w:type="dxa"/>
            <w:shd w:val="clear" w:color="auto" w:fill="auto"/>
            <w:vAlign w:val="center"/>
          </w:tcPr>
          <w:p w14:paraId="5D47F35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55037-2022《建筑通用防火技术规范》第4.2.2条、第4.2.7条</w:t>
            </w:r>
          </w:p>
        </w:tc>
        <w:tc>
          <w:tcPr>
            <w:tcW w:w="518" w:type="dxa"/>
            <w:shd w:val="clear" w:color="auto" w:fill="auto"/>
            <w:vAlign w:val="center"/>
          </w:tcPr>
          <w:p w14:paraId="2C5007A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6808150" w14:textId="77777777">
        <w:trPr>
          <w:jc w:val="center"/>
        </w:trPr>
        <w:tc>
          <w:tcPr>
            <w:tcW w:w="1828" w:type="dxa"/>
            <w:shd w:val="clear" w:color="auto" w:fill="auto"/>
            <w:vAlign w:val="center"/>
          </w:tcPr>
          <w:p w14:paraId="1356179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8D4F66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4CFD4D0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2C817C5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办公室、休息室设置在甲类或乙类厂房（仓库）内。</w:t>
            </w:r>
          </w:p>
        </w:tc>
        <w:tc>
          <w:tcPr>
            <w:tcW w:w="5833" w:type="dxa"/>
            <w:shd w:val="clear" w:color="auto" w:fill="auto"/>
            <w:vAlign w:val="center"/>
          </w:tcPr>
          <w:p w14:paraId="7E8C955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55037-2022《建筑通用防火技术规范》第4.2.2条、第4.2.7条</w:t>
            </w:r>
          </w:p>
        </w:tc>
        <w:tc>
          <w:tcPr>
            <w:tcW w:w="518" w:type="dxa"/>
            <w:shd w:val="clear" w:color="auto" w:fill="auto"/>
            <w:vAlign w:val="center"/>
          </w:tcPr>
          <w:p w14:paraId="7249DBC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A05F3EC" w14:textId="77777777">
        <w:trPr>
          <w:jc w:val="center"/>
        </w:trPr>
        <w:tc>
          <w:tcPr>
            <w:tcW w:w="1828" w:type="dxa"/>
            <w:shd w:val="clear" w:color="auto" w:fill="auto"/>
            <w:vAlign w:val="center"/>
          </w:tcPr>
          <w:p w14:paraId="5AED99D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833239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CE9664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建（构）筑物类</w:t>
            </w:r>
          </w:p>
        </w:tc>
        <w:tc>
          <w:tcPr>
            <w:tcW w:w="4666" w:type="dxa"/>
            <w:shd w:val="clear" w:color="auto" w:fill="auto"/>
            <w:vAlign w:val="center"/>
          </w:tcPr>
          <w:p w14:paraId="7106308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与甲乙类</w:t>
            </w:r>
            <w:proofErr w:type="gramStart"/>
            <w:r>
              <w:rPr>
                <w:rFonts w:ascii="仿宋_GB2312" w:hAnsi="宋体" w:cs="宋体" w:hint="eastAsia"/>
                <w:color w:val="000000"/>
                <w:kern w:val="0"/>
                <w:sz w:val="20"/>
                <w:szCs w:val="20"/>
              </w:rPr>
              <w:t>厂房贴临的</w:t>
            </w:r>
            <w:proofErr w:type="gramEnd"/>
            <w:r>
              <w:rPr>
                <w:rFonts w:ascii="仿宋_GB2312" w:hAnsi="宋体" w:cs="宋体" w:hint="eastAsia"/>
                <w:color w:val="000000"/>
                <w:kern w:val="0"/>
                <w:sz w:val="20"/>
                <w:szCs w:val="20"/>
              </w:rPr>
              <w:t>辅助用房耐火等级不足二级，未采用耐火极限不低于3h的抗爆墙与厂房中有爆炸危险的区域分隔，或未设置独立的安全出口。</w:t>
            </w:r>
          </w:p>
        </w:tc>
        <w:tc>
          <w:tcPr>
            <w:tcW w:w="5833" w:type="dxa"/>
            <w:shd w:val="clear" w:color="auto" w:fill="auto"/>
            <w:vAlign w:val="center"/>
          </w:tcPr>
          <w:p w14:paraId="15815AE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55037-2022《建筑通用防火技术规范》第4.2.2条</w:t>
            </w:r>
          </w:p>
        </w:tc>
        <w:tc>
          <w:tcPr>
            <w:tcW w:w="518" w:type="dxa"/>
            <w:shd w:val="clear" w:color="auto" w:fill="auto"/>
            <w:vAlign w:val="center"/>
          </w:tcPr>
          <w:p w14:paraId="1E88327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CBD01A9" w14:textId="77777777">
        <w:trPr>
          <w:jc w:val="center"/>
        </w:trPr>
        <w:tc>
          <w:tcPr>
            <w:tcW w:w="1828" w:type="dxa"/>
            <w:shd w:val="clear" w:color="auto" w:fill="auto"/>
            <w:vAlign w:val="center"/>
          </w:tcPr>
          <w:p w14:paraId="016B910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6A6BF4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604366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建（构）筑物类</w:t>
            </w:r>
          </w:p>
        </w:tc>
        <w:tc>
          <w:tcPr>
            <w:tcW w:w="4666" w:type="dxa"/>
            <w:shd w:val="clear" w:color="auto" w:fill="auto"/>
            <w:vAlign w:val="center"/>
          </w:tcPr>
          <w:p w14:paraId="3AA7A9D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设置在丙类厂房内的辅助用房未采用防火门、防火窗或耐火极限不低于2h的防火墙或耐火极限不低于1h的楼板与厂房内的其他部位分隔，或未设置独立的安全出口。</w:t>
            </w:r>
          </w:p>
        </w:tc>
        <w:tc>
          <w:tcPr>
            <w:tcW w:w="5833" w:type="dxa"/>
            <w:shd w:val="clear" w:color="auto" w:fill="auto"/>
            <w:vAlign w:val="center"/>
          </w:tcPr>
          <w:p w14:paraId="4D2BFAA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55037-2022《建筑通用防火技术规范》第4.2.2条</w:t>
            </w:r>
          </w:p>
        </w:tc>
        <w:tc>
          <w:tcPr>
            <w:tcW w:w="518" w:type="dxa"/>
            <w:shd w:val="clear" w:color="auto" w:fill="auto"/>
            <w:vAlign w:val="center"/>
          </w:tcPr>
          <w:p w14:paraId="2B3AE05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883D146" w14:textId="77777777">
        <w:trPr>
          <w:jc w:val="center"/>
        </w:trPr>
        <w:tc>
          <w:tcPr>
            <w:tcW w:w="1828" w:type="dxa"/>
            <w:shd w:val="clear" w:color="auto" w:fill="auto"/>
            <w:vAlign w:val="center"/>
          </w:tcPr>
          <w:p w14:paraId="49F56FA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7C87F6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1CB8AC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建（构）筑物类</w:t>
            </w:r>
          </w:p>
        </w:tc>
        <w:tc>
          <w:tcPr>
            <w:tcW w:w="4666" w:type="dxa"/>
            <w:shd w:val="clear" w:color="auto" w:fill="auto"/>
            <w:vAlign w:val="center"/>
          </w:tcPr>
          <w:p w14:paraId="489896C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设置在厂房内的甲、乙、丙类中间仓库未采用防火墙或耐火极限不低于1.50h的不燃性楼板与其他部位分隔。</w:t>
            </w:r>
          </w:p>
        </w:tc>
        <w:tc>
          <w:tcPr>
            <w:tcW w:w="5833" w:type="dxa"/>
            <w:shd w:val="clear" w:color="auto" w:fill="auto"/>
            <w:vAlign w:val="center"/>
          </w:tcPr>
          <w:p w14:paraId="20DDA5B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55037-2022《建筑通用防火技术规范》第4.2.3条</w:t>
            </w:r>
          </w:p>
        </w:tc>
        <w:tc>
          <w:tcPr>
            <w:tcW w:w="518" w:type="dxa"/>
            <w:shd w:val="clear" w:color="auto" w:fill="auto"/>
            <w:vAlign w:val="center"/>
          </w:tcPr>
          <w:p w14:paraId="722A36C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70FB389" w14:textId="77777777">
        <w:trPr>
          <w:jc w:val="center"/>
        </w:trPr>
        <w:tc>
          <w:tcPr>
            <w:tcW w:w="1828" w:type="dxa"/>
            <w:shd w:val="clear" w:color="auto" w:fill="auto"/>
            <w:vAlign w:val="center"/>
          </w:tcPr>
          <w:p w14:paraId="54003CC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82869A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316ABA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669424A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与甲、乙类厂房贴邻并</w:t>
            </w:r>
            <w:proofErr w:type="gramStart"/>
            <w:r>
              <w:rPr>
                <w:rFonts w:ascii="仿宋_GB2312" w:hAnsi="宋体" w:cs="宋体" w:hint="eastAsia"/>
                <w:color w:val="000000"/>
                <w:kern w:val="0"/>
                <w:sz w:val="20"/>
                <w:szCs w:val="20"/>
              </w:rPr>
              <w:t>供该甲</w:t>
            </w:r>
            <w:proofErr w:type="gramEnd"/>
            <w:r>
              <w:rPr>
                <w:rFonts w:ascii="仿宋_GB2312" w:hAnsi="宋体" w:cs="宋体" w:hint="eastAsia"/>
                <w:color w:val="000000"/>
                <w:kern w:val="0"/>
                <w:sz w:val="20"/>
                <w:szCs w:val="20"/>
              </w:rPr>
              <w:t>、乙类厂房专用的10kV及以下的变（配）电站未采用无开口的防火墙或抗爆墙一面贴邻，与乙类厂房贴邻的防火墙上的开口未设置为甲级防火窗，其他变（配）电站未设置在甲、乙类厂房以及爆炸危险性区域外。</w:t>
            </w:r>
          </w:p>
        </w:tc>
        <w:tc>
          <w:tcPr>
            <w:tcW w:w="5833" w:type="dxa"/>
            <w:shd w:val="clear" w:color="auto" w:fill="auto"/>
            <w:vAlign w:val="center"/>
          </w:tcPr>
          <w:p w14:paraId="5C4FAD2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55037-2022《建筑通用防火技术规范》第4.2.4条</w:t>
            </w:r>
          </w:p>
        </w:tc>
        <w:tc>
          <w:tcPr>
            <w:tcW w:w="518" w:type="dxa"/>
            <w:shd w:val="clear" w:color="auto" w:fill="auto"/>
            <w:vAlign w:val="center"/>
          </w:tcPr>
          <w:p w14:paraId="77B1B23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DF9FEA0" w14:textId="77777777">
        <w:trPr>
          <w:jc w:val="center"/>
        </w:trPr>
        <w:tc>
          <w:tcPr>
            <w:tcW w:w="1828" w:type="dxa"/>
            <w:shd w:val="clear" w:color="auto" w:fill="auto"/>
            <w:vAlign w:val="center"/>
          </w:tcPr>
          <w:p w14:paraId="306785D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E8607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46ED0C9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0F08BF9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仓库内的防火分区或库房之间未采用防火墙分隔，甲、乙类库房内的防火分区或库房之间未用无任何开口的防火墙分隔。</w:t>
            </w:r>
          </w:p>
        </w:tc>
        <w:tc>
          <w:tcPr>
            <w:tcW w:w="5833" w:type="dxa"/>
            <w:shd w:val="clear" w:color="auto" w:fill="auto"/>
            <w:vAlign w:val="center"/>
          </w:tcPr>
          <w:p w14:paraId="5DABE42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55037-2022《建筑通用防火技术规范》第4.2.6条</w:t>
            </w:r>
          </w:p>
        </w:tc>
        <w:tc>
          <w:tcPr>
            <w:tcW w:w="518" w:type="dxa"/>
            <w:shd w:val="clear" w:color="auto" w:fill="auto"/>
            <w:vAlign w:val="center"/>
          </w:tcPr>
          <w:p w14:paraId="265D224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8F739F3" w14:textId="77777777">
        <w:trPr>
          <w:jc w:val="center"/>
        </w:trPr>
        <w:tc>
          <w:tcPr>
            <w:tcW w:w="1828" w:type="dxa"/>
            <w:shd w:val="clear" w:color="auto" w:fill="auto"/>
            <w:vAlign w:val="center"/>
          </w:tcPr>
          <w:p w14:paraId="5AAA165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A28F09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FA3700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5C0EABB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仓库内设置与库房运行、管理无直接关系的其他用房。</w:t>
            </w:r>
          </w:p>
        </w:tc>
        <w:tc>
          <w:tcPr>
            <w:tcW w:w="5833" w:type="dxa"/>
            <w:shd w:val="clear" w:color="auto" w:fill="auto"/>
            <w:vAlign w:val="center"/>
          </w:tcPr>
          <w:p w14:paraId="39DD80A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55037-2022《建筑通用防火技术规范》第4.2.7条</w:t>
            </w:r>
          </w:p>
        </w:tc>
        <w:tc>
          <w:tcPr>
            <w:tcW w:w="518" w:type="dxa"/>
            <w:shd w:val="clear" w:color="auto" w:fill="auto"/>
            <w:vAlign w:val="center"/>
          </w:tcPr>
          <w:p w14:paraId="019CD72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2304C219" w14:textId="77777777">
        <w:trPr>
          <w:jc w:val="center"/>
        </w:trPr>
        <w:tc>
          <w:tcPr>
            <w:tcW w:w="1828" w:type="dxa"/>
            <w:shd w:val="clear" w:color="auto" w:fill="auto"/>
            <w:vAlign w:val="center"/>
          </w:tcPr>
          <w:p w14:paraId="3F771B5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761760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0F8FF8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平面布置类</w:t>
            </w:r>
          </w:p>
        </w:tc>
        <w:tc>
          <w:tcPr>
            <w:tcW w:w="4666" w:type="dxa"/>
            <w:shd w:val="clear" w:color="auto" w:fill="auto"/>
            <w:vAlign w:val="center"/>
          </w:tcPr>
          <w:p w14:paraId="7B70690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办公室、休息室或其他</w:t>
            </w:r>
            <w:proofErr w:type="gramStart"/>
            <w:r>
              <w:rPr>
                <w:rFonts w:ascii="仿宋_GB2312" w:hAnsi="宋体" w:cs="宋体" w:hint="eastAsia"/>
                <w:color w:val="000000"/>
                <w:kern w:val="0"/>
                <w:sz w:val="20"/>
                <w:szCs w:val="20"/>
              </w:rPr>
              <w:t>场所贴临甲类</w:t>
            </w:r>
            <w:proofErr w:type="gramEnd"/>
            <w:r>
              <w:rPr>
                <w:rFonts w:ascii="仿宋_GB2312" w:hAnsi="宋体" w:cs="宋体" w:hint="eastAsia"/>
                <w:color w:val="000000"/>
                <w:kern w:val="0"/>
                <w:sz w:val="20"/>
                <w:szCs w:val="20"/>
              </w:rPr>
              <w:t>或乙类仓库。</w:t>
            </w:r>
          </w:p>
        </w:tc>
        <w:tc>
          <w:tcPr>
            <w:tcW w:w="5833" w:type="dxa"/>
            <w:shd w:val="clear" w:color="auto" w:fill="auto"/>
            <w:vAlign w:val="center"/>
          </w:tcPr>
          <w:p w14:paraId="2279790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55037-2022《建筑通用防火技术规范》第4.2.7条</w:t>
            </w:r>
          </w:p>
        </w:tc>
        <w:tc>
          <w:tcPr>
            <w:tcW w:w="518" w:type="dxa"/>
            <w:shd w:val="clear" w:color="auto" w:fill="auto"/>
            <w:vAlign w:val="center"/>
          </w:tcPr>
          <w:p w14:paraId="29259D0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414F2A5" w14:textId="77777777">
        <w:trPr>
          <w:jc w:val="center"/>
        </w:trPr>
        <w:tc>
          <w:tcPr>
            <w:tcW w:w="1828" w:type="dxa"/>
            <w:shd w:val="clear" w:color="auto" w:fill="auto"/>
            <w:vAlign w:val="center"/>
          </w:tcPr>
          <w:p w14:paraId="0896FC4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359A07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406DB93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建（构）筑物类</w:t>
            </w:r>
          </w:p>
        </w:tc>
        <w:tc>
          <w:tcPr>
            <w:tcW w:w="4666" w:type="dxa"/>
            <w:shd w:val="clear" w:color="auto" w:fill="auto"/>
            <w:vAlign w:val="center"/>
          </w:tcPr>
          <w:p w14:paraId="4C665CF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丙、</w:t>
            </w:r>
            <w:proofErr w:type="gramStart"/>
            <w:r>
              <w:rPr>
                <w:rFonts w:ascii="仿宋_GB2312" w:hAnsi="宋体" w:cs="宋体" w:hint="eastAsia"/>
                <w:color w:val="000000"/>
                <w:kern w:val="0"/>
                <w:sz w:val="20"/>
                <w:szCs w:val="20"/>
              </w:rPr>
              <w:t>丁类仓库</w:t>
            </w:r>
            <w:proofErr w:type="gramEnd"/>
            <w:r>
              <w:rPr>
                <w:rFonts w:ascii="仿宋_GB2312" w:hAnsi="宋体" w:cs="宋体" w:hint="eastAsia"/>
                <w:color w:val="000000"/>
                <w:kern w:val="0"/>
                <w:sz w:val="20"/>
                <w:szCs w:val="20"/>
              </w:rPr>
              <w:t>内的办公室、休息室等辅助用房未采用防火门、防火窗、耐火极限不低于2.00h的防火隔墙或耐火极限不低于1.00h的楼板与其他部位分隔，未设置独立的安全出口。</w:t>
            </w:r>
          </w:p>
        </w:tc>
        <w:tc>
          <w:tcPr>
            <w:tcW w:w="5833" w:type="dxa"/>
            <w:shd w:val="clear" w:color="auto" w:fill="auto"/>
            <w:vAlign w:val="center"/>
          </w:tcPr>
          <w:p w14:paraId="0E09A3F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55037-2022《建筑通用防火技术规范》第4.2.7条</w:t>
            </w:r>
          </w:p>
        </w:tc>
        <w:tc>
          <w:tcPr>
            <w:tcW w:w="518" w:type="dxa"/>
            <w:shd w:val="clear" w:color="auto" w:fill="auto"/>
            <w:vAlign w:val="center"/>
          </w:tcPr>
          <w:p w14:paraId="22E2DBB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4CEFB5D" w14:textId="77777777">
        <w:trPr>
          <w:jc w:val="center"/>
        </w:trPr>
        <w:tc>
          <w:tcPr>
            <w:tcW w:w="1828" w:type="dxa"/>
            <w:shd w:val="clear" w:color="auto" w:fill="auto"/>
            <w:vAlign w:val="center"/>
          </w:tcPr>
          <w:p w14:paraId="62AD8FF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779B40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52FD3A1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57A9E58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石油化工企业：</w:t>
            </w:r>
          </w:p>
          <w:p w14:paraId="2BD8860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1）装置或联合装置、液化</w:t>
            </w:r>
            <w:proofErr w:type="gramStart"/>
            <w:r>
              <w:rPr>
                <w:rFonts w:ascii="仿宋_GB2312" w:hAnsi="宋体" w:cs="宋体" w:hint="eastAsia"/>
                <w:color w:val="000000"/>
                <w:kern w:val="0"/>
                <w:sz w:val="20"/>
                <w:szCs w:val="20"/>
              </w:rPr>
              <w:t>烃罐组</w:t>
            </w:r>
            <w:proofErr w:type="gramEnd"/>
            <w:r>
              <w:rPr>
                <w:rFonts w:ascii="仿宋_GB2312" w:hAnsi="宋体" w:cs="宋体" w:hint="eastAsia"/>
                <w:color w:val="000000"/>
                <w:kern w:val="0"/>
                <w:sz w:val="20"/>
                <w:szCs w:val="20"/>
              </w:rPr>
              <w:t>、总容积大于或等于120000m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的可燃液体罐组、总容积大于或等于120000m</w:t>
            </w:r>
            <w:r>
              <w:rPr>
                <w:rFonts w:ascii="仿宋_GB2312" w:hAnsi="宋体" w:cs="宋体" w:hint="eastAsia"/>
                <w:color w:val="000000"/>
                <w:kern w:val="0"/>
                <w:sz w:val="20"/>
                <w:szCs w:val="20"/>
                <w:vertAlign w:val="superscript"/>
              </w:rPr>
              <w:t>3</w:t>
            </w:r>
            <w:r>
              <w:rPr>
                <w:rFonts w:ascii="仿宋_GB2312" w:hAnsi="宋体" w:cs="宋体" w:hint="eastAsia"/>
                <w:color w:val="000000"/>
                <w:kern w:val="0"/>
                <w:sz w:val="20"/>
                <w:szCs w:val="20"/>
              </w:rPr>
              <w:t>的2个或2个以上可燃液体</w:t>
            </w:r>
            <w:proofErr w:type="gramStart"/>
            <w:r>
              <w:rPr>
                <w:rFonts w:ascii="仿宋_GB2312" w:hAnsi="宋体" w:cs="宋体" w:hint="eastAsia"/>
                <w:color w:val="000000"/>
                <w:kern w:val="0"/>
                <w:sz w:val="20"/>
                <w:szCs w:val="20"/>
              </w:rPr>
              <w:t>罐组未设环形消防</w:t>
            </w:r>
            <w:proofErr w:type="gramEnd"/>
            <w:r>
              <w:rPr>
                <w:rFonts w:ascii="仿宋_GB2312" w:hAnsi="宋体" w:cs="宋体" w:hint="eastAsia"/>
                <w:color w:val="000000"/>
                <w:kern w:val="0"/>
                <w:sz w:val="20"/>
                <w:szCs w:val="20"/>
              </w:rPr>
              <w:t>车道。可燃液体的储罐区、可燃气体储罐区、装卸区及化学危险品仓库区未设</w:t>
            </w:r>
            <w:proofErr w:type="gramStart"/>
            <w:r>
              <w:rPr>
                <w:rFonts w:ascii="仿宋_GB2312" w:hAnsi="宋体" w:cs="宋体" w:hint="eastAsia"/>
                <w:color w:val="000000"/>
                <w:kern w:val="0"/>
                <w:sz w:val="20"/>
                <w:szCs w:val="20"/>
              </w:rPr>
              <w:t>环形消防</w:t>
            </w:r>
            <w:proofErr w:type="gramEnd"/>
            <w:r>
              <w:rPr>
                <w:rFonts w:ascii="仿宋_GB2312" w:hAnsi="宋体" w:cs="宋体" w:hint="eastAsia"/>
                <w:color w:val="000000"/>
                <w:kern w:val="0"/>
                <w:sz w:val="20"/>
                <w:szCs w:val="20"/>
              </w:rPr>
              <w:t>车道（当受地形条件限制时，也可</w:t>
            </w:r>
            <w:proofErr w:type="gramStart"/>
            <w:r>
              <w:rPr>
                <w:rFonts w:ascii="仿宋_GB2312" w:hAnsi="宋体" w:cs="宋体" w:hint="eastAsia"/>
                <w:color w:val="000000"/>
                <w:kern w:val="0"/>
                <w:sz w:val="20"/>
                <w:szCs w:val="20"/>
              </w:rPr>
              <w:t>设有回</w:t>
            </w:r>
            <w:proofErr w:type="gramEnd"/>
            <w:r>
              <w:rPr>
                <w:rFonts w:ascii="仿宋_GB2312" w:hAnsi="宋体" w:cs="宋体" w:hint="eastAsia"/>
                <w:color w:val="000000"/>
                <w:kern w:val="0"/>
                <w:sz w:val="20"/>
                <w:szCs w:val="20"/>
              </w:rPr>
              <w:t>车场的</w:t>
            </w:r>
            <w:proofErr w:type="gramStart"/>
            <w:r>
              <w:rPr>
                <w:rFonts w:ascii="仿宋_GB2312" w:hAnsi="宋体" w:cs="宋体" w:hint="eastAsia"/>
                <w:color w:val="000000"/>
                <w:kern w:val="0"/>
                <w:sz w:val="20"/>
                <w:szCs w:val="20"/>
              </w:rPr>
              <w:t>尽头式</w:t>
            </w:r>
            <w:proofErr w:type="gramEnd"/>
            <w:r>
              <w:rPr>
                <w:rFonts w:ascii="仿宋_GB2312" w:hAnsi="宋体" w:cs="宋体" w:hint="eastAsia"/>
                <w:color w:val="000000"/>
                <w:kern w:val="0"/>
                <w:sz w:val="20"/>
                <w:szCs w:val="20"/>
              </w:rPr>
              <w:t>消防车道）。消防车道的路面宽度小于6m，路面上净空高度低于5m；占地大于80000m</w:t>
            </w:r>
            <w:r>
              <w:rPr>
                <w:rFonts w:ascii="Calibri" w:hAnsi="Calibri" w:cs="Calibri"/>
                <w:color w:val="000000"/>
                <w:kern w:val="0"/>
                <w:sz w:val="20"/>
                <w:szCs w:val="20"/>
              </w:rPr>
              <w:t>²</w:t>
            </w:r>
            <w:r>
              <w:rPr>
                <w:rFonts w:ascii="仿宋_GB2312" w:hAnsi="宋体" w:cs="宋体" w:hint="eastAsia"/>
                <w:color w:val="000000"/>
                <w:kern w:val="0"/>
                <w:sz w:val="20"/>
                <w:szCs w:val="20"/>
              </w:rPr>
              <w:t>的装置或联合装置及含有单罐容积大于50000m</w:t>
            </w:r>
            <w:r>
              <w:rPr>
                <w:rFonts w:ascii="Calibri" w:hAnsi="Calibri" w:cs="Calibri"/>
                <w:color w:val="000000"/>
                <w:kern w:val="0"/>
                <w:sz w:val="20"/>
                <w:szCs w:val="20"/>
              </w:rPr>
              <w:t>³</w:t>
            </w:r>
            <w:r>
              <w:rPr>
                <w:rFonts w:ascii="仿宋_GB2312" w:hAnsi="宋体" w:cs="宋体" w:hint="eastAsia"/>
                <w:color w:val="000000"/>
                <w:kern w:val="0"/>
                <w:sz w:val="20"/>
                <w:szCs w:val="20"/>
              </w:rPr>
              <w:t>的可燃液体罐组，其</w:t>
            </w:r>
            <w:proofErr w:type="gramStart"/>
            <w:r>
              <w:rPr>
                <w:rFonts w:ascii="仿宋_GB2312" w:hAnsi="宋体" w:cs="宋体" w:hint="eastAsia"/>
                <w:color w:val="000000"/>
                <w:kern w:val="0"/>
                <w:sz w:val="20"/>
                <w:szCs w:val="20"/>
              </w:rPr>
              <w:t>周边消防</w:t>
            </w:r>
            <w:proofErr w:type="gramEnd"/>
            <w:r>
              <w:rPr>
                <w:rFonts w:ascii="仿宋_GB2312" w:hAnsi="宋体" w:cs="宋体" w:hint="eastAsia"/>
                <w:color w:val="000000"/>
                <w:kern w:val="0"/>
                <w:sz w:val="20"/>
                <w:szCs w:val="20"/>
              </w:rPr>
              <w:t>车道的路面宽度小于9m。</w:t>
            </w:r>
          </w:p>
          <w:p w14:paraId="2C9B782A" w14:textId="77777777" w:rsidR="003F7E00" w:rsidRDefault="003F7E00" w:rsidP="003F7E00">
            <w:pPr>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2）装置区及储罐区的消防道路，两个路口间长度大于300m时，该消防道路</w:t>
            </w:r>
            <w:proofErr w:type="gramStart"/>
            <w:r>
              <w:rPr>
                <w:rFonts w:ascii="仿宋_GB2312" w:hAnsi="宋体" w:cs="宋体" w:hint="eastAsia"/>
                <w:color w:val="000000"/>
                <w:kern w:val="0"/>
                <w:sz w:val="20"/>
                <w:szCs w:val="20"/>
              </w:rPr>
              <w:t>中段未</w:t>
            </w:r>
            <w:proofErr w:type="gramEnd"/>
            <w:r>
              <w:rPr>
                <w:rFonts w:ascii="仿宋_GB2312" w:hAnsi="宋体" w:cs="宋体" w:hint="eastAsia"/>
                <w:color w:val="000000"/>
                <w:kern w:val="0"/>
                <w:sz w:val="20"/>
                <w:szCs w:val="20"/>
              </w:rPr>
              <w:t>设置供火灾施救时用的回车场地。</w:t>
            </w:r>
          </w:p>
          <w:p w14:paraId="635DBC1F" w14:textId="77777777" w:rsidR="003F7E00" w:rsidRDefault="003F7E00" w:rsidP="003F7E00">
            <w:pPr>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3）液化烃、可燃液体、可燃气体的罐区内，任何</w:t>
            </w:r>
            <w:r>
              <w:rPr>
                <w:rFonts w:ascii="仿宋_GB2312" w:hAnsi="宋体" w:cs="宋体" w:hint="eastAsia"/>
                <w:color w:val="000000"/>
                <w:kern w:val="0"/>
                <w:sz w:val="20"/>
                <w:szCs w:val="20"/>
              </w:rPr>
              <w:lastRenderedPageBreak/>
              <w:t>储罐的中心距至少2条消防车道的距离大于120m；当不能满足此要求时，任何储罐中心与最近的消防车道之间的距离大于80m，最近消防车道的路面宽度小于9m。</w:t>
            </w:r>
          </w:p>
          <w:p w14:paraId="1E06DB70" w14:textId="77777777" w:rsidR="003F7E00" w:rsidRDefault="003F7E00" w:rsidP="003F7E00">
            <w:pPr>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4）在液化烃、可燃液体的铁路装卸区未设与铁路线平行的消防车道；若一侧设消防车道，车道至最远的铁路线的距离大于80m；若两侧设消防车道，车道之间的距离大于200m，超过200m时，其间尚未增设消防车道。</w:t>
            </w:r>
          </w:p>
          <w:p w14:paraId="081D19EE" w14:textId="77777777" w:rsidR="003F7E00" w:rsidRDefault="003F7E00" w:rsidP="003F7E00">
            <w:pPr>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5）当道路路面高出附近地面2.5m以上、且在</w:t>
            </w:r>
            <w:proofErr w:type="gramStart"/>
            <w:r>
              <w:rPr>
                <w:rFonts w:ascii="仿宋_GB2312" w:hAnsi="宋体" w:cs="宋体" w:hint="eastAsia"/>
                <w:color w:val="000000"/>
                <w:kern w:val="0"/>
                <w:sz w:val="20"/>
                <w:szCs w:val="20"/>
              </w:rPr>
              <w:t>距道路</w:t>
            </w:r>
            <w:proofErr w:type="gramEnd"/>
            <w:r>
              <w:rPr>
                <w:rFonts w:ascii="仿宋_GB2312" w:hAnsi="宋体" w:cs="宋体" w:hint="eastAsia"/>
                <w:color w:val="000000"/>
                <w:kern w:val="0"/>
                <w:sz w:val="20"/>
                <w:szCs w:val="20"/>
              </w:rPr>
              <w:t>边缘15m范围内，有工艺装置或可燃气体、液化烃、可燃液体的储罐及管道时，未在该段道路的边缘</w:t>
            </w:r>
            <w:proofErr w:type="gramStart"/>
            <w:r>
              <w:rPr>
                <w:rFonts w:ascii="仿宋_GB2312" w:hAnsi="宋体" w:cs="宋体" w:hint="eastAsia"/>
                <w:color w:val="000000"/>
                <w:kern w:val="0"/>
                <w:sz w:val="20"/>
                <w:szCs w:val="20"/>
              </w:rPr>
              <w:t>设护墩</w:t>
            </w:r>
            <w:proofErr w:type="gramEnd"/>
            <w:r>
              <w:rPr>
                <w:rFonts w:ascii="仿宋_GB2312" w:hAnsi="宋体" w:cs="宋体" w:hint="eastAsia"/>
                <w:color w:val="000000"/>
                <w:kern w:val="0"/>
                <w:sz w:val="20"/>
                <w:szCs w:val="20"/>
              </w:rPr>
              <w:t>、矮墙等防护设施。</w:t>
            </w:r>
          </w:p>
        </w:tc>
        <w:tc>
          <w:tcPr>
            <w:tcW w:w="5833" w:type="dxa"/>
            <w:shd w:val="clear" w:color="auto" w:fill="auto"/>
            <w:vAlign w:val="center"/>
          </w:tcPr>
          <w:p w14:paraId="5F78627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GB 50160-2008《石油化工企业设计防火标准（2018年版）》第4.3.4条、第4.3.5条、第4.3.6条；DB11/T 1322.90-2020《安全生产等级评定技术规范 第90部分：化工企业》第4.2.1条</w:t>
            </w:r>
          </w:p>
        </w:tc>
        <w:tc>
          <w:tcPr>
            <w:tcW w:w="518" w:type="dxa"/>
            <w:shd w:val="clear" w:color="auto" w:fill="auto"/>
            <w:vAlign w:val="center"/>
          </w:tcPr>
          <w:p w14:paraId="2865CF5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F39F11B" w14:textId="77777777">
        <w:trPr>
          <w:jc w:val="center"/>
        </w:trPr>
        <w:tc>
          <w:tcPr>
            <w:tcW w:w="1828" w:type="dxa"/>
            <w:shd w:val="clear" w:color="auto" w:fill="auto"/>
            <w:vAlign w:val="center"/>
          </w:tcPr>
          <w:p w14:paraId="738E0DA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BAF9F7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B851DD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安全出口及疏散通道类</w:t>
            </w:r>
          </w:p>
        </w:tc>
        <w:tc>
          <w:tcPr>
            <w:tcW w:w="4666" w:type="dxa"/>
            <w:shd w:val="clear" w:color="auto" w:fill="auto"/>
            <w:vAlign w:val="center"/>
          </w:tcPr>
          <w:p w14:paraId="0CD6FF9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精细化工企业：</w:t>
            </w:r>
          </w:p>
          <w:p w14:paraId="2F1779E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（1）高层厂房，占地面积大于3000m</w:t>
            </w:r>
            <w:r>
              <w:rPr>
                <w:rFonts w:ascii="仿宋_GB2312" w:hAnsi="宋体" w:cs="宋体" w:hint="eastAsia"/>
                <w:color w:val="000000"/>
                <w:kern w:val="0"/>
                <w:sz w:val="20"/>
                <w:szCs w:val="20"/>
                <w:vertAlign w:val="superscript"/>
              </w:rPr>
              <w:t>2</w:t>
            </w:r>
            <w:r>
              <w:rPr>
                <w:rFonts w:ascii="仿宋_GB2312" w:hAnsi="宋体" w:cs="宋体" w:hint="eastAsia"/>
                <w:color w:val="000000"/>
                <w:kern w:val="0"/>
                <w:sz w:val="20"/>
                <w:szCs w:val="20"/>
              </w:rPr>
              <w:t>的甲、乙、丙类厂房，和占地面积大于1500m</w:t>
            </w:r>
            <w:r>
              <w:rPr>
                <w:rFonts w:ascii="仿宋_GB2312" w:hAnsi="宋体" w:cs="宋体" w:hint="eastAsia"/>
                <w:color w:val="000000"/>
                <w:kern w:val="0"/>
                <w:sz w:val="20"/>
                <w:szCs w:val="20"/>
                <w:vertAlign w:val="superscript"/>
              </w:rPr>
              <w:t>2</w:t>
            </w:r>
            <w:r>
              <w:rPr>
                <w:rFonts w:ascii="仿宋_GB2312" w:hAnsi="宋体" w:cs="宋体" w:hint="eastAsia"/>
                <w:color w:val="000000"/>
                <w:kern w:val="0"/>
                <w:sz w:val="20"/>
                <w:szCs w:val="20"/>
              </w:rPr>
              <w:t>的乙、丙类仓库，未设置</w:t>
            </w:r>
            <w:proofErr w:type="gramStart"/>
            <w:r>
              <w:rPr>
                <w:rFonts w:ascii="仿宋_GB2312" w:hAnsi="宋体" w:cs="宋体" w:hint="eastAsia"/>
                <w:color w:val="000000"/>
                <w:kern w:val="0"/>
                <w:sz w:val="20"/>
                <w:szCs w:val="20"/>
              </w:rPr>
              <w:t>环形消防</w:t>
            </w:r>
            <w:proofErr w:type="gramEnd"/>
            <w:r>
              <w:rPr>
                <w:rFonts w:ascii="仿宋_GB2312" w:hAnsi="宋体" w:cs="宋体" w:hint="eastAsia"/>
                <w:color w:val="000000"/>
                <w:kern w:val="0"/>
                <w:sz w:val="20"/>
                <w:szCs w:val="20"/>
              </w:rPr>
              <w:t>车道；</w:t>
            </w:r>
          </w:p>
          <w:p w14:paraId="32AC620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（2）甲、乙、丙类液体储罐区和</w:t>
            </w:r>
            <w:proofErr w:type="gramStart"/>
            <w:r>
              <w:rPr>
                <w:rFonts w:ascii="仿宋_GB2312" w:hAnsi="宋体" w:cs="宋体" w:hint="eastAsia"/>
                <w:color w:val="000000"/>
                <w:kern w:val="0"/>
                <w:sz w:val="20"/>
                <w:szCs w:val="20"/>
              </w:rPr>
              <w:t>可</w:t>
            </w:r>
            <w:proofErr w:type="gramEnd"/>
            <w:r>
              <w:rPr>
                <w:rFonts w:ascii="仿宋_GB2312" w:hAnsi="宋体" w:cs="宋体" w:hint="eastAsia"/>
                <w:color w:val="000000"/>
                <w:kern w:val="0"/>
                <w:sz w:val="20"/>
                <w:szCs w:val="20"/>
              </w:rPr>
              <w:t>燃气体储罐区未设置消防车道，其中，甲、乙、丙类液体储罐区1500 m</w:t>
            </w:r>
            <w:r>
              <w:rPr>
                <w:rFonts w:ascii="仿宋_GB2312" w:hAnsi="宋体" w:cs="宋体" w:hint="eastAsia"/>
                <w:color w:val="000000"/>
                <w:kern w:val="0"/>
                <w:sz w:val="20"/>
                <w:szCs w:val="20"/>
                <w:vertAlign w:val="superscript"/>
              </w:rPr>
              <w:t>2</w:t>
            </w:r>
            <w:r>
              <w:rPr>
                <w:rFonts w:ascii="仿宋_GB2312" w:hAnsi="宋体" w:cs="宋体" w:hint="eastAsia"/>
                <w:color w:val="000000"/>
                <w:kern w:val="0"/>
                <w:sz w:val="20"/>
                <w:szCs w:val="20"/>
              </w:rPr>
              <w:t>以上和液化气储罐区500 m</w:t>
            </w:r>
            <w:r>
              <w:rPr>
                <w:rFonts w:ascii="仿宋_GB2312" w:hAnsi="宋体" w:cs="宋体" w:hint="eastAsia"/>
                <w:color w:val="000000"/>
                <w:kern w:val="0"/>
                <w:sz w:val="20"/>
                <w:szCs w:val="20"/>
                <w:vertAlign w:val="superscript"/>
              </w:rPr>
              <w:t>2</w:t>
            </w:r>
            <w:r>
              <w:rPr>
                <w:rFonts w:ascii="仿宋_GB2312" w:hAnsi="宋体" w:cs="宋体" w:hint="eastAsia"/>
                <w:color w:val="000000"/>
                <w:kern w:val="0"/>
                <w:sz w:val="20"/>
                <w:szCs w:val="20"/>
              </w:rPr>
              <w:t>以上、可燃气体罐区30000 m</w:t>
            </w:r>
            <w:r>
              <w:rPr>
                <w:rFonts w:ascii="仿宋_GB2312" w:hAnsi="宋体" w:cs="宋体" w:hint="eastAsia"/>
                <w:color w:val="000000"/>
                <w:kern w:val="0"/>
                <w:sz w:val="20"/>
                <w:szCs w:val="20"/>
                <w:vertAlign w:val="superscript"/>
              </w:rPr>
              <w:t>2</w:t>
            </w:r>
            <w:r>
              <w:rPr>
                <w:rFonts w:ascii="仿宋_GB2312" w:hAnsi="宋体" w:cs="宋体" w:hint="eastAsia"/>
                <w:color w:val="000000"/>
                <w:kern w:val="0"/>
                <w:sz w:val="20"/>
                <w:szCs w:val="20"/>
              </w:rPr>
              <w:t>以上的，未设置</w:t>
            </w:r>
            <w:proofErr w:type="gramStart"/>
            <w:r>
              <w:rPr>
                <w:rFonts w:ascii="仿宋_GB2312" w:hAnsi="宋体" w:cs="宋体" w:hint="eastAsia"/>
                <w:color w:val="000000"/>
                <w:kern w:val="0"/>
                <w:sz w:val="20"/>
                <w:szCs w:val="20"/>
              </w:rPr>
              <w:t>环形消防</w:t>
            </w:r>
            <w:proofErr w:type="gramEnd"/>
            <w:r>
              <w:rPr>
                <w:rFonts w:ascii="仿宋_GB2312" w:hAnsi="宋体" w:cs="宋体" w:hint="eastAsia"/>
                <w:color w:val="000000"/>
                <w:kern w:val="0"/>
                <w:sz w:val="20"/>
                <w:szCs w:val="20"/>
              </w:rPr>
              <w:t>车道；</w:t>
            </w:r>
          </w:p>
          <w:p w14:paraId="1A3A12A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（3）消防车道的路面宽度小于4.0 m，路面上的净空高度小于4.5 m，路面内缘转弯半径不符合消防车转弯的要求；</w:t>
            </w:r>
          </w:p>
          <w:p w14:paraId="40EA04D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（4）消防车道醒目处未设明显、保持完好的“禁止阻塞”标志；</w:t>
            </w:r>
          </w:p>
          <w:p w14:paraId="6CC81E6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（5）消防车道与建筑之间设置妨碍消防车操作的树木、架空管线等障碍物；消防车道被占用、堵塞、封闭，妨碍消防车通行。</w:t>
            </w:r>
          </w:p>
        </w:tc>
        <w:tc>
          <w:tcPr>
            <w:tcW w:w="5833" w:type="dxa"/>
            <w:shd w:val="clear" w:color="auto" w:fill="auto"/>
            <w:vAlign w:val="center"/>
          </w:tcPr>
          <w:p w14:paraId="5442D95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《精细化工企业工程设计防火标准》第4.3.3条；DB11/T 1322.90-2020《安全生产等级评定技术规范 第90部分：化工企业》第4.2.1条</w:t>
            </w:r>
          </w:p>
        </w:tc>
        <w:tc>
          <w:tcPr>
            <w:tcW w:w="518" w:type="dxa"/>
            <w:shd w:val="clear" w:color="auto" w:fill="auto"/>
            <w:vAlign w:val="center"/>
          </w:tcPr>
          <w:p w14:paraId="2397BCF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BD0C2CF" w14:textId="77777777">
        <w:trPr>
          <w:jc w:val="center"/>
        </w:trPr>
        <w:tc>
          <w:tcPr>
            <w:tcW w:w="1828" w:type="dxa"/>
            <w:shd w:val="clear" w:color="auto" w:fill="auto"/>
            <w:vAlign w:val="center"/>
          </w:tcPr>
          <w:p w14:paraId="3CE35F5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9CC7D5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34F1676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2C19549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甲、乙、丙类厂房（仓库）、全厂性重要设施的耐火等级低于二级。</w:t>
            </w:r>
          </w:p>
        </w:tc>
        <w:tc>
          <w:tcPr>
            <w:tcW w:w="5833" w:type="dxa"/>
            <w:shd w:val="clear" w:color="auto" w:fill="auto"/>
            <w:vAlign w:val="center"/>
          </w:tcPr>
          <w:p w14:paraId="62CF84E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GB51283-2020《精细化工企业工程设计防火标准》第5.5.3条、第8.1.1条；DB11/T1322.2-2017《安全生产等级评定技术规范 第2部分：安全生产通用要求》第3.8.4.1条</w:t>
            </w:r>
          </w:p>
        </w:tc>
        <w:tc>
          <w:tcPr>
            <w:tcW w:w="518" w:type="dxa"/>
            <w:shd w:val="clear" w:color="auto" w:fill="auto"/>
            <w:vAlign w:val="center"/>
          </w:tcPr>
          <w:p w14:paraId="4E29FCB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C4BE90D" w14:textId="77777777">
        <w:trPr>
          <w:jc w:val="center"/>
        </w:trPr>
        <w:tc>
          <w:tcPr>
            <w:tcW w:w="1828" w:type="dxa"/>
            <w:shd w:val="clear" w:color="auto" w:fill="auto"/>
            <w:vAlign w:val="center"/>
          </w:tcPr>
          <w:p w14:paraId="52CE603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24E99E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2C728D3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41A0DC4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工艺设备、管道、构件及其支、吊架和基础未采用不燃烧材料；工艺设备、管道的保温层未采用不燃烧材料。</w:t>
            </w:r>
          </w:p>
        </w:tc>
        <w:tc>
          <w:tcPr>
            <w:tcW w:w="5833" w:type="dxa"/>
            <w:shd w:val="clear" w:color="auto" w:fill="auto"/>
            <w:vAlign w:val="center"/>
          </w:tcPr>
          <w:p w14:paraId="532EC94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50160-2008《石油化工企业设计防火标准（2018年版）》第5.1.1条</w:t>
            </w:r>
          </w:p>
        </w:tc>
        <w:tc>
          <w:tcPr>
            <w:tcW w:w="518" w:type="dxa"/>
            <w:shd w:val="clear" w:color="auto" w:fill="auto"/>
            <w:vAlign w:val="center"/>
          </w:tcPr>
          <w:p w14:paraId="44ECD24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D5E7747" w14:textId="77777777">
        <w:trPr>
          <w:jc w:val="center"/>
        </w:trPr>
        <w:tc>
          <w:tcPr>
            <w:tcW w:w="1828" w:type="dxa"/>
            <w:shd w:val="clear" w:color="auto" w:fill="auto"/>
            <w:vAlign w:val="center"/>
          </w:tcPr>
          <w:p w14:paraId="173869D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A41604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69186C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68FBAE8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以下承重钢结构未采取耐火保护措施：</w:t>
            </w:r>
          </w:p>
          <w:p w14:paraId="1A634E4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（1）单个容积等于或大于5m</w:t>
            </w:r>
            <w:r>
              <w:rPr>
                <w:rFonts w:ascii="Calibri" w:hAnsi="Calibri" w:cs="Calibri"/>
                <w:color w:val="000000"/>
                <w:kern w:val="0"/>
                <w:sz w:val="20"/>
                <w:szCs w:val="20"/>
              </w:rPr>
              <w:t>³</w:t>
            </w:r>
            <w:r>
              <w:rPr>
                <w:rFonts w:ascii="仿宋_GB2312" w:hAnsi="宋体" w:cs="宋体" w:hint="eastAsia"/>
                <w:color w:val="000000"/>
                <w:kern w:val="0"/>
                <w:sz w:val="20"/>
                <w:szCs w:val="20"/>
              </w:rPr>
              <w:t>的甲、乙A类液体设备的承重钢构架、支架、裙座；</w:t>
            </w:r>
          </w:p>
          <w:p w14:paraId="6EBDEBF4"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 在爆炸危险区范围内，且毒性为</w:t>
            </w:r>
            <w:proofErr w:type="gramStart"/>
            <w:r>
              <w:rPr>
                <w:rFonts w:ascii="仿宋_GB2312" w:hAnsi="宋体" w:cs="宋体" w:hint="eastAsia"/>
                <w:color w:val="000000"/>
                <w:kern w:val="0"/>
                <w:sz w:val="20"/>
                <w:szCs w:val="20"/>
              </w:rPr>
              <w:t>极度和</w:t>
            </w:r>
            <w:proofErr w:type="gramEnd"/>
            <w:r>
              <w:rPr>
                <w:rFonts w:ascii="仿宋_GB2312" w:hAnsi="宋体" w:cs="宋体" w:hint="eastAsia"/>
                <w:color w:val="000000"/>
                <w:kern w:val="0"/>
                <w:sz w:val="20"/>
                <w:szCs w:val="20"/>
              </w:rPr>
              <w:t>高度危害的物料设备的承重钢构架、支架、裙座；</w:t>
            </w:r>
          </w:p>
          <w:p w14:paraId="0711CF6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 操作温度等于或高于自燃点的单个容积等于或大于5m</w:t>
            </w:r>
            <w:r>
              <w:rPr>
                <w:rFonts w:ascii="Calibri" w:hAnsi="Calibri" w:cs="Calibri"/>
                <w:color w:val="000000"/>
                <w:kern w:val="0"/>
                <w:sz w:val="20"/>
                <w:szCs w:val="20"/>
              </w:rPr>
              <w:t>³</w:t>
            </w:r>
            <w:r>
              <w:rPr>
                <w:rFonts w:ascii="仿宋_GB2312" w:hAnsi="宋体" w:cs="宋体" w:hint="eastAsia"/>
                <w:color w:val="000000"/>
                <w:kern w:val="0"/>
                <w:sz w:val="20"/>
                <w:szCs w:val="20"/>
              </w:rPr>
              <w:t>的乙B、丙类液体设备承重钢构架、支架、裙座；</w:t>
            </w:r>
          </w:p>
          <w:p w14:paraId="514E5B4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（4）加热炉炉底钢支架；</w:t>
            </w:r>
          </w:p>
          <w:p w14:paraId="4610FA8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（5）在爆炸危险区范围内的钢管架；跨越装置区、罐区消防车道的钢管架；</w:t>
            </w:r>
          </w:p>
          <w:p w14:paraId="1468D6C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（6）在爆炸危险区范围内的高径比等于或大于8 ，且总重量等于或大于25t的非可燃介质设备的承重钢构架、支架和</w:t>
            </w:r>
            <w:proofErr w:type="gramStart"/>
            <w:r>
              <w:rPr>
                <w:rFonts w:ascii="仿宋_GB2312" w:hAnsi="宋体" w:cs="宋体" w:hint="eastAsia"/>
                <w:color w:val="000000"/>
                <w:kern w:val="0"/>
                <w:sz w:val="20"/>
                <w:szCs w:val="20"/>
              </w:rPr>
              <w:t>裙座</w:t>
            </w:r>
            <w:proofErr w:type="gramEnd"/>
            <w:r>
              <w:rPr>
                <w:rFonts w:ascii="仿宋_GB2312" w:hAnsi="宋体" w:cs="宋体" w:hint="eastAsia"/>
                <w:color w:val="000000"/>
                <w:kern w:val="0"/>
                <w:sz w:val="20"/>
                <w:szCs w:val="20"/>
              </w:rPr>
              <w:t>。</w:t>
            </w:r>
          </w:p>
        </w:tc>
        <w:tc>
          <w:tcPr>
            <w:tcW w:w="5833" w:type="dxa"/>
            <w:shd w:val="clear" w:color="auto" w:fill="auto"/>
            <w:vAlign w:val="center"/>
          </w:tcPr>
          <w:p w14:paraId="15055FA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50160-2008《石油化工企业设计防火标准（2018年版）》第5.6.1条</w:t>
            </w:r>
          </w:p>
        </w:tc>
        <w:tc>
          <w:tcPr>
            <w:tcW w:w="518" w:type="dxa"/>
            <w:shd w:val="clear" w:color="auto" w:fill="auto"/>
            <w:vAlign w:val="center"/>
          </w:tcPr>
          <w:p w14:paraId="0A34243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3251966" w14:textId="77777777">
        <w:trPr>
          <w:jc w:val="center"/>
        </w:trPr>
        <w:tc>
          <w:tcPr>
            <w:tcW w:w="1828" w:type="dxa"/>
            <w:shd w:val="clear" w:color="auto" w:fill="auto"/>
            <w:vAlign w:val="center"/>
          </w:tcPr>
          <w:p w14:paraId="7C1286B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DC786A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A85A2E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13C6BFC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合成纤维、合成树脂及塑料等产品的高架仓库的耐火等级低于二级；仓库内货架未采用不燃烧材料。</w:t>
            </w:r>
          </w:p>
        </w:tc>
        <w:tc>
          <w:tcPr>
            <w:tcW w:w="5833" w:type="dxa"/>
            <w:shd w:val="clear" w:color="auto" w:fill="auto"/>
            <w:vAlign w:val="center"/>
          </w:tcPr>
          <w:p w14:paraId="4AB8CD1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50160-2008《石油化工企业设计防火标准（2018年版）》第6.6.3条</w:t>
            </w:r>
          </w:p>
        </w:tc>
        <w:tc>
          <w:tcPr>
            <w:tcW w:w="518" w:type="dxa"/>
            <w:shd w:val="clear" w:color="auto" w:fill="auto"/>
            <w:vAlign w:val="center"/>
          </w:tcPr>
          <w:p w14:paraId="2EA0352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DC201A6" w14:textId="77777777">
        <w:trPr>
          <w:jc w:val="center"/>
        </w:trPr>
        <w:tc>
          <w:tcPr>
            <w:tcW w:w="1828" w:type="dxa"/>
            <w:shd w:val="clear" w:color="auto" w:fill="auto"/>
            <w:vAlign w:val="center"/>
          </w:tcPr>
          <w:p w14:paraId="514C494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6A3FFD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C9B775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433CEA3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袋装硝酸铵仓库的耐火等级低于二级;仓库内存放其他物品。</w:t>
            </w:r>
          </w:p>
        </w:tc>
        <w:tc>
          <w:tcPr>
            <w:tcW w:w="5833" w:type="dxa"/>
            <w:shd w:val="clear" w:color="auto" w:fill="auto"/>
            <w:vAlign w:val="center"/>
          </w:tcPr>
          <w:p w14:paraId="12F1212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50160-2008《石油化工企业设计防火标准（2018年版）》第6.6.5条</w:t>
            </w:r>
          </w:p>
        </w:tc>
        <w:tc>
          <w:tcPr>
            <w:tcW w:w="518" w:type="dxa"/>
            <w:shd w:val="clear" w:color="auto" w:fill="auto"/>
            <w:vAlign w:val="center"/>
          </w:tcPr>
          <w:p w14:paraId="4790EC3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F14761C" w14:textId="77777777">
        <w:trPr>
          <w:jc w:val="center"/>
        </w:trPr>
        <w:tc>
          <w:tcPr>
            <w:tcW w:w="1828" w:type="dxa"/>
            <w:shd w:val="clear" w:color="auto" w:fill="auto"/>
            <w:vAlign w:val="center"/>
          </w:tcPr>
          <w:p w14:paraId="36C5FBB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456A77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6B62A5F1"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4284ED1C"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液化烃、可燃液体储罐的保温层未采用不燃烧材料。</w:t>
            </w:r>
          </w:p>
        </w:tc>
        <w:tc>
          <w:tcPr>
            <w:tcW w:w="5833" w:type="dxa"/>
            <w:shd w:val="clear" w:color="auto" w:fill="auto"/>
            <w:vAlign w:val="center"/>
          </w:tcPr>
          <w:p w14:paraId="00892E0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50160-2008《石油化工企业设计防火标准（2018年版）》第6.1.2条</w:t>
            </w:r>
          </w:p>
        </w:tc>
        <w:tc>
          <w:tcPr>
            <w:tcW w:w="518" w:type="dxa"/>
            <w:shd w:val="clear" w:color="auto" w:fill="auto"/>
            <w:vAlign w:val="center"/>
          </w:tcPr>
          <w:p w14:paraId="29B6A63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B38FE51" w14:textId="77777777">
        <w:trPr>
          <w:jc w:val="center"/>
        </w:trPr>
        <w:tc>
          <w:tcPr>
            <w:tcW w:w="1828" w:type="dxa"/>
            <w:shd w:val="clear" w:color="auto" w:fill="auto"/>
            <w:vAlign w:val="center"/>
          </w:tcPr>
          <w:p w14:paraId="2F03F07E"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52DEB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DB1D7D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7AB20A4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甲、乙类厂房（仓库）以及设有人员密集场所的其他厂房（仓库），外墙保温材料的燃烧性能等级低于A级。</w:t>
            </w:r>
          </w:p>
        </w:tc>
        <w:tc>
          <w:tcPr>
            <w:tcW w:w="5833" w:type="dxa"/>
            <w:shd w:val="clear" w:color="auto" w:fill="auto"/>
            <w:vAlign w:val="center"/>
          </w:tcPr>
          <w:p w14:paraId="1B402D7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GB51283-2020《精细化工企业工程设计防火标准》第5.5.3条、第8.1.3条</w:t>
            </w:r>
          </w:p>
        </w:tc>
        <w:tc>
          <w:tcPr>
            <w:tcW w:w="518" w:type="dxa"/>
            <w:shd w:val="clear" w:color="auto" w:fill="auto"/>
            <w:vAlign w:val="center"/>
          </w:tcPr>
          <w:p w14:paraId="081CFD9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0905C0D" w14:textId="77777777">
        <w:trPr>
          <w:jc w:val="center"/>
        </w:trPr>
        <w:tc>
          <w:tcPr>
            <w:tcW w:w="1828" w:type="dxa"/>
            <w:shd w:val="clear" w:color="auto" w:fill="auto"/>
            <w:vAlign w:val="center"/>
          </w:tcPr>
          <w:p w14:paraId="3481445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E26979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9915BB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28790EC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厂房内设备构架的承重结构构件未采用</w:t>
            </w:r>
            <w:proofErr w:type="gramStart"/>
            <w:r>
              <w:rPr>
                <w:rFonts w:ascii="仿宋_GB2312" w:hAnsi="宋体" w:cs="宋体" w:hint="eastAsia"/>
                <w:color w:val="000000"/>
                <w:kern w:val="0"/>
                <w:sz w:val="20"/>
                <w:szCs w:val="20"/>
              </w:rPr>
              <w:t>不</w:t>
            </w:r>
            <w:proofErr w:type="gramEnd"/>
            <w:r>
              <w:rPr>
                <w:rFonts w:ascii="仿宋_GB2312" w:hAnsi="宋体" w:cs="宋体" w:hint="eastAsia"/>
                <w:color w:val="000000"/>
                <w:kern w:val="0"/>
                <w:sz w:val="20"/>
                <w:szCs w:val="20"/>
              </w:rPr>
              <w:t>燃烧体。当可燃气体、助燃气体和甲、乙、丙类液体的设备</w:t>
            </w:r>
            <w:r>
              <w:rPr>
                <w:rFonts w:ascii="仿宋_GB2312" w:hAnsi="宋体" w:cs="宋体" w:hint="eastAsia"/>
                <w:color w:val="000000"/>
                <w:kern w:val="0"/>
                <w:sz w:val="20"/>
                <w:szCs w:val="20"/>
              </w:rPr>
              <w:lastRenderedPageBreak/>
              <w:t>承重构架、支架、</w:t>
            </w:r>
            <w:proofErr w:type="gramStart"/>
            <w:r>
              <w:rPr>
                <w:rFonts w:ascii="仿宋_GB2312" w:hAnsi="宋体" w:cs="宋体" w:hint="eastAsia"/>
                <w:color w:val="000000"/>
                <w:kern w:val="0"/>
                <w:sz w:val="20"/>
                <w:szCs w:val="20"/>
              </w:rPr>
              <w:t>裙座及</w:t>
            </w:r>
            <w:proofErr w:type="gramEnd"/>
            <w:r>
              <w:rPr>
                <w:rFonts w:ascii="仿宋_GB2312" w:hAnsi="宋体" w:cs="宋体" w:hint="eastAsia"/>
                <w:color w:val="000000"/>
                <w:kern w:val="0"/>
                <w:sz w:val="20"/>
                <w:szCs w:val="20"/>
              </w:rPr>
              <w:t>管廊（架）采用钢结构时，未采取耐火极限不低于2.00h的保护措施。</w:t>
            </w:r>
          </w:p>
        </w:tc>
        <w:tc>
          <w:tcPr>
            <w:tcW w:w="5833" w:type="dxa"/>
            <w:shd w:val="clear" w:color="auto" w:fill="auto"/>
            <w:vAlign w:val="center"/>
          </w:tcPr>
          <w:p w14:paraId="47385C6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lastRenderedPageBreak/>
              <w:t>GB51283-2020《精细化工企业工程设计防火标准》第5.5.3条、第8.1.6条</w:t>
            </w:r>
          </w:p>
        </w:tc>
        <w:tc>
          <w:tcPr>
            <w:tcW w:w="518" w:type="dxa"/>
            <w:shd w:val="clear" w:color="auto" w:fill="auto"/>
            <w:vAlign w:val="center"/>
          </w:tcPr>
          <w:p w14:paraId="583CD3A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68B19F7" w14:textId="77777777">
        <w:trPr>
          <w:jc w:val="center"/>
        </w:trPr>
        <w:tc>
          <w:tcPr>
            <w:tcW w:w="1828" w:type="dxa"/>
            <w:shd w:val="clear" w:color="auto" w:fill="auto"/>
            <w:vAlign w:val="center"/>
          </w:tcPr>
          <w:p w14:paraId="2D2822E9"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7D0035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21DBB8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cs="Times New Roman" w:hint="eastAsia"/>
                <w:sz w:val="20"/>
                <w:szCs w:val="20"/>
              </w:rPr>
              <w:t>建（构）筑物类</w:t>
            </w:r>
          </w:p>
        </w:tc>
        <w:tc>
          <w:tcPr>
            <w:tcW w:w="4666" w:type="dxa"/>
            <w:shd w:val="clear" w:color="auto" w:fill="auto"/>
            <w:vAlign w:val="center"/>
          </w:tcPr>
          <w:p w14:paraId="49B04BD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可燃气体和甲、乙、丙类液体的设备及管道穿越厂房内防火分区的楼板、防火墙及联合厂房的相邻外墙的防火墙；其他设备及管道必须穿越时，未采用与楼板、防火墙及外墙相同耐火极限的不燃防火材料封堵。</w:t>
            </w:r>
          </w:p>
        </w:tc>
        <w:tc>
          <w:tcPr>
            <w:tcW w:w="5833" w:type="dxa"/>
            <w:shd w:val="clear" w:color="auto" w:fill="auto"/>
            <w:vAlign w:val="center"/>
          </w:tcPr>
          <w:p w14:paraId="0B594AA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GB51283-2020《精细化工企业工程设计防火标准》第5.5.3条、第8.1.7条</w:t>
            </w:r>
          </w:p>
        </w:tc>
        <w:tc>
          <w:tcPr>
            <w:tcW w:w="518" w:type="dxa"/>
            <w:shd w:val="clear" w:color="auto" w:fill="auto"/>
            <w:vAlign w:val="center"/>
          </w:tcPr>
          <w:p w14:paraId="7B90A15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F65763A" w14:textId="77777777">
        <w:trPr>
          <w:jc w:val="center"/>
        </w:trPr>
        <w:tc>
          <w:tcPr>
            <w:tcW w:w="1828" w:type="dxa"/>
            <w:shd w:val="clear" w:color="auto" w:fill="auto"/>
            <w:vAlign w:val="center"/>
          </w:tcPr>
          <w:p w14:paraId="517006F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1C7799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6C912DA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Theme="minorEastAsia" w:hint="eastAsia"/>
                <w:color w:val="000000" w:themeColor="text1"/>
                <w:sz w:val="20"/>
                <w:szCs w:val="20"/>
              </w:rPr>
              <w:t>平面布置类</w:t>
            </w:r>
          </w:p>
        </w:tc>
        <w:tc>
          <w:tcPr>
            <w:tcW w:w="4666" w:type="dxa"/>
            <w:shd w:val="clear" w:color="auto" w:fill="auto"/>
            <w:vAlign w:val="center"/>
          </w:tcPr>
          <w:p w14:paraId="1890A97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精细化工企业储罐组布置不符合要求。</w:t>
            </w:r>
          </w:p>
        </w:tc>
        <w:tc>
          <w:tcPr>
            <w:tcW w:w="5833" w:type="dxa"/>
            <w:shd w:val="clear" w:color="auto" w:fill="auto"/>
            <w:vAlign w:val="center"/>
          </w:tcPr>
          <w:p w14:paraId="00C33A8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GB51283-2020《精细化工企业工程设计防火标准》第6.2.3条</w:t>
            </w:r>
          </w:p>
          <w:p w14:paraId="5CA98BF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精细化工储罐应成组不足，并应符合：</w:t>
            </w:r>
          </w:p>
          <w:p w14:paraId="6F6B2F5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1）沸溢性液体的储罐不应与非沸溢性液体储罐同组布置；</w:t>
            </w:r>
          </w:p>
          <w:p w14:paraId="7E02F84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2）可燃液体的低压储罐可与常压储罐同组布置；</w:t>
            </w:r>
          </w:p>
          <w:p w14:paraId="52FBFBD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3）可燃液体的压力储罐可与液化烃的</w:t>
            </w:r>
            <w:proofErr w:type="gramStart"/>
            <w:r>
              <w:rPr>
                <w:rFonts w:ascii="仿宋_GB2312" w:hAnsi="宋体" w:cs="宋体" w:hint="eastAsia"/>
                <w:color w:val="000000"/>
                <w:kern w:val="0"/>
                <w:sz w:val="20"/>
                <w:szCs w:val="20"/>
              </w:rPr>
              <w:t>全压力</w:t>
            </w:r>
            <w:proofErr w:type="gramEnd"/>
            <w:r>
              <w:rPr>
                <w:rFonts w:ascii="仿宋_GB2312" w:hAnsi="宋体" w:cs="宋体" w:hint="eastAsia"/>
                <w:color w:val="000000"/>
                <w:kern w:val="0"/>
                <w:sz w:val="20"/>
                <w:szCs w:val="20"/>
              </w:rPr>
              <w:t>储罐同组布置；</w:t>
            </w:r>
          </w:p>
          <w:p w14:paraId="27F9093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4）储存极度危害和高度危害毒性液体的储罐不应与其他易燃和可燃液体储罐布置在同一防火堤内。</w:t>
            </w:r>
          </w:p>
        </w:tc>
        <w:tc>
          <w:tcPr>
            <w:tcW w:w="518" w:type="dxa"/>
            <w:shd w:val="clear" w:color="auto" w:fill="auto"/>
            <w:vAlign w:val="center"/>
          </w:tcPr>
          <w:p w14:paraId="17E2B5C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C7E7922" w14:textId="77777777">
        <w:trPr>
          <w:jc w:val="center"/>
        </w:trPr>
        <w:tc>
          <w:tcPr>
            <w:tcW w:w="1828" w:type="dxa"/>
            <w:shd w:val="clear" w:color="auto" w:fill="auto"/>
            <w:vAlign w:val="center"/>
          </w:tcPr>
          <w:p w14:paraId="22757978"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FC1C7B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8185AA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795A8CF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proofErr w:type="gramStart"/>
            <w:r>
              <w:rPr>
                <w:rFonts w:ascii="仿宋_GB2312" w:hAnsi="宋体" w:cs="宋体" w:hint="eastAsia"/>
                <w:color w:val="000000"/>
                <w:kern w:val="0"/>
                <w:sz w:val="20"/>
                <w:szCs w:val="20"/>
              </w:rPr>
              <w:t>厂区</w:t>
            </w:r>
            <w:r w:rsidR="00A105EB">
              <w:rPr>
                <w:rFonts w:ascii="仿宋_GB2312" w:hAnsi="宋体" w:cs="宋体" w:hint="eastAsia"/>
                <w:color w:val="000000"/>
                <w:kern w:val="0"/>
                <w:sz w:val="20"/>
                <w:szCs w:val="20"/>
              </w:rPr>
              <w:t>未</w:t>
            </w:r>
            <w:proofErr w:type="gramEnd"/>
            <w:r>
              <w:rPr>
                <w:rFonts w:ascii="仿宋_GB2312" w:hAnsi="宋体" w:cs="宋体" w:hint="eastAsia"/>
                <w:color w:val="000000"/>
                <w:kern w:val="0"/>
                <w:sz w:val="20"/>
                <w:szCs w:val="20"/>
              </w:rPr>
              <w:t>设置醒目的禁止吸烟、防火等安全警示标识。</w:t>
            </w:r>
          </w:p>
        </w:tc>
        <w:tc>
          <w:tcPr>
            <w:tcW w:w="5833" w:type="dxa"/>
            <w:shd w:val="clear" w:color="auto" w:fill="auto"/>
            <w:vAlign w:val="center"/>
          </w:tcPr>
          <w:p w14:paraId="21DEA07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第90部分：化工企业》第4.2.4.1条</w:t>
            </w:r>
          </w:p>
        </w:tc>
        <w:tc>
          <w:tcPr>
            <w:tcW w:w="518" w:type="dxa"/>
            <w:shd w:val="clear" w:color="auto" w:fill="auto"/>
            <w:vAlign w:val="center"/>
          </w:tcPr>
          <w:p w14:paraId="74BEF30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59E3CC0" w14:textId="77777777">
        <w:trPr>
          <w:jc w:val="center"/>
        </w:trPr>
        <w:tc>
          <w:tcPr>
            <w:tcW w:w="1828" w:type="dxa"/>
            <w:shd w:val="clear" w:color="auto" w:fill="auto"/>
            <w:vAlign w:val="center"/>
          </w:tcPr>
          <w:p w14:paraId="7AF9F7A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29F780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1ACC3F7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28AAB3E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未在易燃、易爆、有毒有害等危险场所的醒目位置设置安全标志。</w:t>
            </w:r>
          </w:p>
        </w:tc>
        <w:tc>
          <w:tcPr>
            <w:tcW w:w="5833" w:type="dxa"/>
            <w:shd w:val="clear" w:color="auto" w:fill="auto"/>
            <w:vAlign w:val="center"/>
          </w:tcPr>
          <w:p w14:paraId="37C4ADA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第90部分：化工企业》第4.2.4.1条</w:t>
            </w:r>
          </w:p>
        </w:tc>
        <w:tc>
          <w:tcPr>
            <w:tcW w:w="518" w:type="dxa"/>
            <w:shd w:val="clear" w:color="auto" w:fill="auto"/>
            <w:vAlign w:val="center"/>
          </w:tcPr>
          <w:p w14:paraId="0F47193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9A36B02" w14:textId="77777777">
        <w:trPr>
          <w:jc w:val="center"/>
        </w:trPr>
        <w:tc>
          <w:tcPr>
            <w:tcW w:w="1828" w:type="dxa"/>
            <w:shd w:val="clear" w:color="auto" w:fill="auto"/>
            <w:vAlign w:val="center"/>
          </w:tcPr>
          <w:p w14:paraId="128D645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554E7E1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3F47620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3088E9E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危险化学品重大危险源场所未设置重大危险源告知牌。</w:t>
            </w:r>
          </w:p>
        </w:tc>
        <w:tc>
          <w:tcPr>
            <w:tcW w:w="5833" w:type="dxa"/>
            <w:shd w:val="clear" w:color="auto" w:fill="auto"/>
            <w:vAlign w:val="center"/>
          </w:tcPr>
          <w:p w14:paraId="0F814B3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第90部分：化工企业》第4.2.4.2条</w:t>
            </w:r>
          </w:p>
        </w:tc>
        <w:tc>
          <w:tcPr>
            <w:tcW w:w="518" w:type="dxa"/>
            <w:shd w:val="clear" w:color="auto" w:fill="auto"/>
            <w:vAlign w:val="center"/>
          </w:tcPr>
          <w:p w14:paraId="6E2E19D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17CC497" w14:textId="77777777">
        <w:trPr>
          <w:jc w:val="center"/>
        </w:trPr>
        <w:tc>
          <w:tcPr>
            <w:tcW w:w="1828" w:type="dxa"/>
            <w:shd w:val="clear" w:color="auto" w:fill="auto"/>
            <w:vAlign w:val="center"/>
          </w:tcPr>
          <w:p w14:paraId="0D4D1441"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10EC41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0E84EB2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1C3E711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厂内道路未设置限速、限高、禁行等标志。</w:t>
            </w:r>
          </w:p>
        </w:tc>
        <w:tc>
          <w:tcPr>
            <w:tcW w:w="5833" w:type="dxa"/>
            <w:shd w:val="clear" w:color="auto" w:fill="auto"/>
            <w:vAlign w:val="center"/>
          </w:tcPr>
          <w:p w14:paraId="2284659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第90部分：化工企业》第4.2.4.3条</w:t>
            </w:r>
          </w:p>
        </w:tc>
        <w:tc>
          <w:tcPr>
            <w:tcW w:w="518" w:type="dxa"/>
            <w:shd w:val="clear" w:color="auto" w:fill="auto"/>
            <w:vAlign w:val="center"/>
          </w:tcPr>
          <w:p w14:paraId="4C3AA94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6DA82FC5" w14:textId="77777777">
        <w:trPr>
          <w:jc w:val="center"/>
        </w:trPr>
        <w:tc>
          <w:tcPr>
            <w:tcW w:w="1828" w:type="dxa"/>
            <w:shd w:val="clear" w:color="auto" w:fill="auto"/>
            <w:vAlign w:val="center"/>
          </w:tcPr>
          <w:p w14:paraId="2A8E866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8C639E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27A8A2F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0B80642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易燃、易爆、有毒危险化学品和有刺激性、窒息性气体的生产区域、储存区域，未在显著位置设置风向标。</w:t>
            </w:r>
          </w:p>
        </w:tc>
        <w:tc>
          <w:tcPr>
            <w:tcW w:w="5833" w:type="dxa"/>
            <w:shd w:val="clear" w:color="auto" w:fill="auto"/>
            <w:vAlign w:val="center"/>
          </w:tcPr>
          <w:p w14:paraId="578FDDA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第90部分：化工企业》第4.2.4.3条</w:t>
            </w:r>
          </w:p>
        </w:tc>
        <w:tc>
          <w:tcPr>
            <w:tcW w:w="518" w:type="dxa"/>
            <w:shd w:val="clear" w:color="auto" w:fill="auto"/>
            <w:vAlign w:val="center"/>
          </w:tcPr>
          <w:p w14:paraId="4537183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0332397" w14:textId="77777777">
        <w:trPr>
          <w:jc w:val="center"/>
        </w:trPr>
        <w:tc>
          <w:tcPr>
            <w:tcW w:w="1828" w:type="dxa"/>
            <w:shd w:val="clear" w:color="auto" w:fill="auto"/>
            <w:vAlign w:val="center"/>
          </w:tcPr>
          <w:p w14:paraId="683D913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CF83C7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场所环境类</w:t>
            </w:r>
          </w:p>
        </w:tc>
        <w:tc>
          <w:tcPr>
            <w:tcW w:w="1134" w:type="dxa"/>
            <w:shd w:val="clear" w:color="auto" w:fill="auto"/>
            <w:vAlign w:val="center"/>
          </w:tcPr>
          <w:p w14:paraId="7A33E95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标志及标识类</w:t>
            </w:r>
          </w:p>
        </w:tc>
        <w:tc>
          <w:tcPr>
            <w:tcW w:w="4666" w:type="dxa"/>
            <w:shd w:val="clear" w:color="auto" w:fill="auto"/>
            <w:vAlign w:val="center"/>
          </w:tcPr>
          <w:p w14:paraId="348B4EC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未在有较大危险因素的生产经营场所和有关设施、设备上设置明显的安全警示标志，或安全警示标志老化、不清晰等。</w:t>
            </w:r>
          </w:p>
        </w:tc>
        <w:tc>
          <w:tcPr>
            <w:tcW w:w="5833" w:type="dxa"/>
            <w:shd w:val="clear" w:color="auto" w:fill="auto"/>
            <w:vAlign w:val="center"/>
          </w:tcPr>
          <w:p w14:paraId="5F58F2B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《中华人民共和国安全生产法》第三十五条</w:t>
            </w:r>
          </w:p>
        </w:tc>
        <w:tc>
          <w:tcPr>
            <w:tcW w:w="518" w:type="dxa"/>
            <w:shd w:val="clear" w:color="auto" w:fill="auto"/>
            <w:vAlign w:val="center"/>
          </w:tcPr>
          <w:p w14:paraId="7265387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7DD9DC7" w14:textId="77777777">
        <w:trPr>
          <w:jc w:val="center"/>
        </w:trPr>
        <w:tc>
          <w:tcPr>
            <w:tcW w:w="1828" w:type="dxa"/>
            <w:shd w:val="clear" w:color="auto" w:fill="auto"/>
            <w:vAlign w:val="center"/>
          </w:tcPr>
          <w:p w14:paraId="34E917E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D4777D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69CCB13E"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6CB87E6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主要负责人和安全生产管理人员未具备与本单位所从事的生产经营活动相应的安全生产知识和管理能力。</w:t>
            </w:r>
          </w:p>
        </w:tc>
        <w:tc>
          <w:tcPr>
            <w:tcW w:w="5833" w:type="dxa"/>
            <w:shd w:val="clear" w:color="auto" w:fill="auto"/>
            <w:vAlign w:val="center"/>
          </w:tcPr>
          <w:p w14:paraId="7CD5F7F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《中华人民共和国安全生产法》第二十七条</w:t>
            </w:r>
          </w:p>
        </w:tc>
        <w:tc>
          <w:tcPr>
            <w:tcW w:w="518" w:type="dxa"/>
            <w:shd w:val="clear" w:color="auto" w:fill="auto"/>
            <w:vAlign w:val="center"/>
          </w:tcPr>
          <w:p w14:paraId="379630D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42133D0C" w14:textId="77777777">
        <w:trPr>
          <w:jc w:val="center"/>
        </w:trPr>
        <w:tc>
          <w:tcPr>
            <w:tcW w:w="1828" w:type="dxa"/>
            <w:shd w:val="clear" w:color="auto" w:fill="auto"/>
            <w:vAlign w:val="center"/>
          </w:tcPr>
          <w:p w14:paraId="2BFA88B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55B17B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52A9956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4ED58D06"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危险物品生产企业的主要负责人和安全生产管理人员，未经应急管理部门对其安全生产知识和管理能力考核合格。</w:t>
            </w:r>
          </w:p>
        </w:tc>
        <w:tc>
          <w:tcPr>
            <w:tcW w:w="5833" w:type="dxa"/>
            <w:shd w:val="clear" w:color="auto" w:fill="auto"/>
            <w:vAlign w:val="center"/>
          </w:tcPr>
          <w:p w14:paraId="718FFBA3"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《中华人民共和国安全生产法》第二十七条；《化工和危险化学品生产经营单位重大生产安全事故隐患判定标准（试行）》第一条</w:t>
            </w:r>
          </w:p>
        </w:tc>
        <w:tc>
          <w:tcPr>
            <w:tcW w:w="518" w:type="dxa"/>
            <w:shd w:val="clear" w:color="auto" w:fill="auto"/>
            <w:vAlign w:val="center"/>
          </w:tcPr>
          <w:p w14:paraId="3BB5A1F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69FD3CEB" w14:textId="77777777">
        <w:trPr>
          <w:jc w:val="center"/>
        </w:trPr>
        <w:tc>
          <w:tcPr>
            <w:tcW w:w="1828" w:type="dxa"/>
            <w:shd w:val="clear" w:color="auto" w:fill="auto"/>
            <w:vAlign w:val="center"/>
          </w:tcPr>
          <w:p w14:paraId="7719D7AA"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5737A9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2A32A0A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7349666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企业分管安全负责人、分管生产负责人、分管技术负责人不具备化工专业知识或者相应的专业学历。</w:t>
            </w:r>
          </w:p>
        </w:tc>
        <w:tc>
          <w:tcPr>
            <w:tcW w:w="5833" w:type="dxa"/>
            <w:shd w:val="clear" w:color="auto" w:fill="auto"/>
            <w:vAlign w:val="center"/>
          </w:tcPr>
          <w:p w14:paraId="61E976E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DB11/T 1322.90-2020《安全生产等级评定技术规范 第90部分：化工企业》第4.1.4.2条</w:t>
            </w:r>
          </w:p>
        </w:tc>
        <w:tc>
          <w:tcPr>
            <w:tcW w:w="518" w:type="dxa"/>
            <w:shd w:val="clear" w:color="auto" w:fill="auto"/>
            <w:vAlign w:val="center"/>
          </w:tcPr>
          <w:p w14:paraId="548413E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3C6F9E52" w14:textId="77777777">
        <w:trPr>
          <w:jc w:val="center"/>
        </w:trPr>
        <w:tc>
          <w:tcPr>
            <w:tcW w:w="1828" w:type="dxa"/>
            <w:shd w:val="clear" w:color="auto" w:fill="auto"/>
            <w:vAlign w:val="center"/>
          </w:tcPr>
          <w:p w14:paraId="3316EAB3"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1369B0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76E58E9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5F9C2227"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涉及危险化学品企业的专职安全生产管理人员不具备化工或安全管理相关专业中专以上学历，不具备从事化工生产相关工作经历 2年以上经历。</w:t>
            </w:r>
          </w:p>
        </w:tc>
        <w:tc>
          <w:tcPr>
            <w:tcW w:w="5833" w:type="dxa"/>
            <w:shd w:val="clear" w:color="auto" w:fill="auto"/>
            <w:vAlign w:val="center"/>
          </w:tcPr>
          <w:p w14:paraId="03D7103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《危险化学品生产企业安全生产许可证实施办法》第十六条；DB11/T 1322.90-2020《安全生产等级评定技术规范 第90部分：化工企业》第4.1.4.3条</w:t>
            </w:r>
          </w:p>
        </w:tc>
        <w:tc>
          <w:tcPr>
            <w:tcW w:w="518" w:type="dxa"/>
            <w:shd w:val="clear" w:color="auto" w:fill="auto"/>
            <w:vAlign w:val="center"/>
          </w:tcPr>
          <w:p w14:paraId="6C95732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B4C2CA3" w14:textId="77777777">
        <w:trPr>
          <w:jc w:val="center"/>
        </w:trPr>
        <w:tc>
          <w:tcPr>
            <w:tcW w:w="1828" w:type="dxa"/>
            <w:shd w:val="clear" w:color="auto" w:fill="auto"/>
            <w:vAlign w:val="center"/>
          </w:tcPr>
          <w:p w14:paraId="21199312"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D2BE6D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4844978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0A752D5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涉及爆炸危险性化学品的生产装置和储存设施的操作人员不具备化工类大专及以上学历。</w:t>
            </w:r>
          </w:p>
        </w:tc>
        <w:tc>
          <w:tcPr>
            <w:tcW w:w="5833" w:type="dxa"/>
            <w:shd w:val="clear" w:color="auto" w:fill="auto"/>
            <w:vAlign w:val="center"/>
          </w:tcPr>
          <w:p w14:paraId="4C5A528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《北京市危险化学品安全专项整治三年行动实施方案》（三）15</w:t>
            </w:r>
          </w:p>
        </w:tc>
        <w:tc>
          <w:tcPr>
            <w:tcW w:w="518" w:type="dxa"/>
            <w:shd w:val="clear" w:color="auto" w:fill="auto"/>
            <w:vAlign w:val="center"/>
          </w:tcPr>
          <w:p w14:paraId="401BF32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133A097" w14:textId="77777777">
        <w:trPr>
          <w:jc w:val="center"/>
        </w:trPr>
        <w:tc>
          <w:tcPr>
            <w:tcW w:w="1828" w:type="dxa"/>
            <w:shd w:val="clear" w:color="auto" w:fill="auto"/>
            <w:vAlign w:val="center"/>
          </w:tcPr>
          <w:p w14:paraId="04591A4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952881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1E3C845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12AE0C92"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涉及“两重点</w:t>
            </w:r>
            <w:proofErr w:type="gramStart"/>
            <w:r>
              <w:rPr>
                <w:rFonts w:ascii="仿宋_GB2312" w:hAnsi="宋体" w:cs="宋体" w:hint="eastAsia"/>
                <w:color w:val="000000"/>
                <w:kern w:val="0"/>
                <w:sz w:val="20"/>
                <w:szCs w:val="20"/>
              </w:rPr>
              <w:t>一</w:t>
            </w:r>
            <w:proofErr w:type="gramEnd"/>
            <w:r>
              <w:rPr>
                <w:rFonts w:ascii="仿宋_GB2312" w:hAnsi="宋体" w:cs="宋体" w:hint="eastAsia"/>
                <w:color w:val="000000"/>
                <w:kern w:val="0"/>
                <w:sz w:val="20"/>
                <w:szCs w:val="20"/>
              </w:rPr>
              <w:t>重大”装置的专业管理人员未具有大专以上学历。</w:t>
            </w:r>
          </w:p>
        </w:tc>
        <w:tc>
          <w:tcPr>
            <w:tcW w:w="5833" w:type="dxa"/>
            <w:shd w:val="clear" w:color="auto" w:fill="auto"/>
            <w:vAlign w:val="center"/>
          </w:tcPr>
          <w:p w14:paraId="3A250665"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《关于开展提升危险化学品领域本质安全水平专项行动的通知》（安监总管三〔2012〕87号）</w:t>
            </w:r>
          </w:p>
        </w:tc>
        <w:tc>
          <w:tcPr>
            <w:tcW w:w="518" w:type="dxa"/>
            <w:shd w:val="clear" w:color="auto" w:fill="auto"/>
            <w:vAlign w:val="center"/>
          </w:tcPr>
          <w:p w14:paraId="397323D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4575FF4" w14:textId="77777777">
        <w:trPr>
          <w:jc w:val="center"/>
        </w:trPr>
        <w:tc>
          <w:tcPr>
            <w:tcW w:w="1828" w:type="dxa"/>
            <w:shd w:val="clear" w:color="auto" w:fill="auto"/>
            <w:vAlign w:val="center"/>
          </w:tcPr>
          <w:p w14:paraId="04A48964"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7376E3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648BDFE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6518F23C"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涉及重大危险源、重点监管化工工艺的生产装置、储存设施的操作人员不具备高中及以上学历或化工类中等及以上职业教育水平；不具有 1年以上的跟班实习操作经历。</w:t>
            </w:r>
          </w:p>
        </w:tc>
        <w:tc>
          <w:tcPr>
            <w:tcW w:w="5833" w:type="dxa"/>
            <w:shd w:val="clear" w:color="auto" w:fill="auto"/>
            <w:vAlign w:val="center"/>
          </w:tcPr>
          <w:p w14:paraId="0911E1C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《北京市危险化学品安全专项整治三年行动实施方案》；DB11/T 1322.90-2020《安全生产等级评定技术规范 第90部分：化工企业》第4.1.4.1条</w:t>
            </w:r>
          </w:p>
        </w:tc>
        <w:tc>
          <w:tcPr>
            <w:tcW w:w="518" w:type="dxa"/>
            <w:shd w:val="clear" w:color="auto" w:fill="auto"/>
            <w:vAlign w:val="center"/>
          </w:tcPr>
          <w:p w14:paraId="0E0F846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5595138" w14:textId="77777777">
        <w:trPr>
          <w:jc w:val="center"/>
        </w:trPr>
        <w:tc>
          <w:tcPr>
            <w:tcW w:w="1828" w:type="dxa"/>
            <w:shd w:val="clear" w:color="auto" w:fill="auto"/>
            <w:vAlign w:val="center"/>
          </w:tcPr>
          <w:p w14:paraId="2708C2C6"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1624E31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20280BC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3B58636D"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特种作业人员未持证上岗。</w:t>
            </w:r>
          </w:p>
        </w:tc>
        <w:tc>
          <w:tcPr>
            <w:tcW w:w="5833" w:type="dxa"/>
            <w:shd w:val="clear" w:color="auto" w:fill="auto"/>
            <w:vAlign w:val="center"/>
          </w:tcPr>
          <w:p w14:paraId="48EB24CA"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《中华人民共和国安全生产法》第三十条；《中华人民共和国特种设备安全法》；</w:t>
            </w:r>
            <w:r>
              <w:rPr>
                <w:rFonts w:ascii="仿宋_GB2312" w:hAnsi="宋体" w:cs="宋体" w:hint="eastAsia"/>
                <w:kern w:val="0"/>
                <w:sz w:val="20"/>
                <w:szCs w:val="20"/>
              </w:rPr>
              <w:t>《特种作业人员安全技术培训考核管理规定》</w:t>
            </w:r>
            <w:r>
              <w:rPr>
                <w:rFonts w:ascii="仿宋_GB2312" w:hAnsi="宋体" w:cs="宋体" w:hint="eastAsia"/>
                <w:color w:val="000000"/>
                <w:kern w:val="0"/>
                <w:sz w:val="20"/>
                <w:szCs w:val="20"/>
              </w:rPr>
              <w:t>；《化工和危险化学品生产经营单位重大生产安全事故隐患判定标准（试行）》第二条</w:t>
            </w:r>
          </w:p>
        </w:tc>
        <w:tc>
          <w:tcPr>
            <w:tcW w:w="518" w:type="dxa"/>
            <w:shd w:val="clear" w:color="auto" w:fill="auto"/>
            <w:vAlign w:val="center"/>
          </w:tcPr>
          <w:p w14:paraId="7FEF2B3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w:t>
            </w:r>
          </w:p>
        </w:tc>
      </w:tr>
      <w:tr w:rsidR="003F7E00" w14:paraId="38C3DE10" w14:textId="77777777">
        <w:trPr>
          <w:jc w:val="center"/>
        </w:trPr>
        <w:tc>
          <w:tcPr>
            <w:tcW w:w="1828" w:type="dxa"/>
            <w:shd w:val="clear" w:color="auto" w:fill="auto"/>
            <w:vAlign w:val="center"/>
          </w:tcPr>
          <w:p w14:paraId="1E8D9767"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38F61DE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54E574A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01B895FE"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特种设备安全管理人员、作业人员未取得相应资格。</w:t>
            </w:r>
          </w:p>
        </w:tc>
        <w:tc>
          <w:tcPr>
            <w:tcW w:w="5833" w:type="dxa"/>
            <w:shd w:val="clear" w:color="auto" w:fill="auto"/>
            <w:vAlign w:val="center"/>
          </w:tcPr>
          <w:p w14:paraId="215EDFA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《中华人民共和国特种设备安全法》第十四条</w:t>
            </w:r>
          </w:p>
        </w:tc>
        <w:tc>
          <w:tcPr>
            <w:tcW w:w="518" w:type="dxa"/>
            <w:shd w:val="clear" w:color="auto" w:fill="auto"/>
            <w:vAlign w:val="center"/>
          </w:tcPr>
          <w:p w14:paraId="4FB6F438"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5B055EC3" w14:textId="77777777">
        <w:trPr>
          <w:jc w:val="center"/>
        </w:trPr>
        <w:tc>
          <w:tcPr>
            <w:tcW w:w="1828" w:type="dxa"/>
            <w:shd w:val="clear" w:color="auto" w:fill="auto"/>
            <w:vAlign w:val="center"/>
          </w:tcPr>
          <w:p w14:paraId="4D2ADDDC"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008E16CB"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660D235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资格资质类</w:t>
            </w:r>
          </w:p>
        </w:tc>
        <w:tc>
          <w:tcPr>
            <w:tcW w:w="4666" w:type="dxa"/>
            <w:shd w:val="clear" w:color="auto" w:fill="auto"/>
            <w:vAlign w:val="center"/>
          </w:tcPr>
          <w:p w14:paraId="21129AC7"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操作人员未掌握工艺安全信息（包括化学品危险性信息：物理特性、化学特性、毒性、职业接触限值；工艺信息：流程图、化学反应过程、最大储存量、工艺参数安全上下限值；设备信息：设备材料、设备和管道图纸、电气类别、调节阀系统、安全设施。）</w:t>
            </w:r>
          </w:p>
        </w:tc>
        <w:tc>
          <w:tcPr>
            <w:tcW w:w="5833" w:type="dxa"/>
            <w:shd w:val="clear" w:color="auto" w:fill="auto"/>
            <w:vAlign w:val="center"/>
          </w:tcPr>
          <w:p w14:paraId="61C88A20"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 3013-2008《危险化学品从业单位安全标准化通用规范》第5.5.4.1条</w:t>
            </w:r>
          </w:p>
        </w:tc>
        <w:tc>
          <w:tcPr>
            <w:tcW w:w="518" w:type="dxa"/>
            <w:shd w:val="clear" w:color="auto" w:fill="auto"/>
            <w:vAlign w:val="center"/>
          </w:tcPr>
          <w:p w14:paraId="6567D28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BAF7859" w14:textId="77777777">
        <w:trPr>
          <w:jc w:val="center"/>
        </w:trPr>
        <w:tc>
          <w:tcPr>
            <w:tcW w:w="1828" w:type="dxa"/>
            <w:shd w:val="clear" w:color="auto" w:fill="auto"/>
            <w:vAlign w:val="center"/>
          </w:tcPr>
          <w:p w14:paraId="78113C1F"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483C76EF"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52AB8A76"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kern w:val="0"/>
                <w:sz w:val="20"/>
                <w:szCs w:val="20"/>
              </w:rPr>
              <w:t>特殊作业类</w:t>
            </w:r>
          </w:p>
        </w:tc>
        <w:tc>
          <w:tcPr>
            <w:tcW w:w="4666" w:type="dxa"/>
            <w:shd w:val="clear" w:color="auto" w:fill="auto"/>
            <w:vAlign w:val="center"/>
          </w:tcPr>
          <w:p w14:paraId="19EBB054"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未按照国家标准制定动火、进入受限空间等特殊作业管理制度，或者制度未有效执行。</w:t>
            </w:r>
          </w:p>
        </w:tc>
        <w:tc>
          <w:tcPr>
            <w:tcW w:w="5833" w:type="dxa"/>
            <w:shd w:val="clear" w:color="auto" w:fill="auto"/>
            <w:vAlign w:val="center"/>
          </w:tcPr>
          <w:p w14:paraId="01D849B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《化工和危险化学品生产经营单位重大生产安全事故隐患判定标准（试行）》第十八条；在特殊作业前未对作业现场和作业过程中的风险进行辨识，制定落实各项防范措施。动火作业前未进行</w:t>
            </w:r>
            <w:r>
              <w:rPr>
                <w:rFonts w:ascii="仿宋_GB2312" w:hAnsi="宋体" w:cs="宋体" w:hint="eastAsia"/>
                <w:color w:val="000000"/>
                <w:kern w:val="0"/>
                <w:sz w:val="20"/>
                <w:szCs w:val="20"/>
              </w:rPr>
              <w:lastRenderedPageBreak/>
              <w:t>可燃气体定量分析；进入受限空间前，未进行可燃气体、有毒气体和氧含量分析，未按规定测试频次进行检测</w:t>
            </w:r>
          </w:p>
        </w:tc>
        <w:tc>
          <w:tcPr>
            <w:tcW w:w="518" w:type="dxa"/>
            <w:shd w:val="clear" w:color="auto" w:fill="auto"/>
            <w:vAlign w:val="center"/>
          </w:tcPr>
          <w:p w14:paraId="61913BC9"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lastRenderedPageBreak/>
              <w:t>★</w:t>
            </w:r>
          </w:p>
        </w:tc>
      </w:tr>
      <w:tr w:rsidR="003F7E00" w14:paraId="05BE80E7" w14:textId="77777777">
        <w:trPr>
          <w:jc w:val="center"/>
        </w:trPr>
        <w:tc>
          <w:tcPr>
            <w:tcW w:w="1828" w:type="dxa"/>
            <w:shd w:val="clear" w:color="auto" w:fill="auto"/>
            <w:vAlign w:val="center"/>
          </w:tcPr>
          <w:p w14:paraId="35A8AF2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353FCDA"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68180BF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操作行为类</w:t>
            </w:r>
          </w:p>
        </w:tc>
        <w:tc>
          <w:tcPr>
            <w:tcW w:w="4666" w:type="dxa"/>
            <w:shd w:val="clear" w:color="auto" w:fill="auto"/>
            <w:vAlign w:val="center"/>
          </w:tcPr>
          <w:p w14:paraId="7D8EE0BB" w14:textId="77777777" w:rsidR="003F7E00" w:rsidRDefault="003F7E00" w:rsidP="003F7E00">
            <w:pPr>
              <w:widowControl/>
              <w:adjustRightInd w:val="0"/>
              <w:snapToGrid w:val="0"/>
              <w:spacing w:line="240" w:lineRule="auto"/>
              <w:jc w:val="left"/>
              <w:rPr>
                <w:rFonts w:ascii="仿宋_GB2312" w:hAnsi="宋体" w:cs="宋体"/>
                <w:b/>
                <w:bCs/>
                <w:color w:val="000000"/>
                <w:kern w:val="0"/>
                <w:sz w:val="20"/>
                <w:szCs w:val="20"/>
              </w:rPr>
            </w:pPr>
            <w:r>
              <w:rPr>
                <w:rFonts w:ascii="仿宋_GB2312" w:hAnsi="宋体" w:cs="宋体" w:hint="eastAsia"/>
                <w:color w:val="000000"/>
                <w:kern w:val="0"/>
                <w:sz w:val="20"/>
                <w:szCs w:val="20"/>
              </w:rPr>
              <w:t>企业未对承包商的所有人员进行入厂安全培训教育，未经考核合格发放入厂证；进入作业现场前，作业现场所在基层单位未对承包商人员进行安全培训教育和现场安全交底。</w:t>
            </w:r>
          </w:p>
        </w:tc>
        <w:tc>
          <w:tcPr>
            <w:tcW w:w="5833" w:type="dxa"/>
            <w:shd w:val="clear" w:color="auto" w:fill="auto"/>
            <w:vAlign w:val="center"/>
          </w:tcPr>
          <w:p w14:paraId="6D50715F"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GB 30871-2022《危险化学品企业特殊作业安全规范》第4章</w:t>
            </w:r>
          </w:p>
        </w:tc>
        <w:tc>
          <w:tcPr>
            <w:tcW w:w="518" w:type="dxa"/>
            <w:shd w:val="clear" w:color="auto" w:fill="auto"/>
            <w:vAlign w:val="center"/>
          </w:tcPr>
          <w:p w14:paraId="421A4B1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009D352C" w14:textId="77777777">
        <w:trPr>
          <w:jc w:val="center"/>
        </w:trPr>
        <w:tc>
          <w:tcPr>
            <w:tcW w:w="1828" w:type="dxa"/>
            <w:shd w:val="clear" w:color="auto" w:fill="auto"/>
            <w:vAlign w:val="center"/>
          </w:tcPr>
          <w:p w14:paraId="7863DA75"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29C0B1B7"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606E9305"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操作行为类</w:t>
            </w:r>
          </w:p>
        </w:tc>
        <w:tc>
          <w:tcPr>
            <w:tcW w:w="4666" w:type="dxa"/>
            <w:shd w:val="clear" w:color="auto" w:fill="auto"/>
            <w:vAlign w:val="center"/>
          </w:tcPr>
          <w:p w14:paraId="0D0B02F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仓库内使用明火作业，安放或使用火炉、火盆、电暖器等取暖设备。</w:t>
            </w:r>
          </w:p>
        </w:tc>
        <w:tc>
          <w:tcPr>
            <w:tcW w:w="5833" w:type="dxa"/>
            <w:shd w:val="clear" w:color="auto" w:fill="auto"/>
            <w:vAlign w:val="center"/>
          </w:tcPr>
          <w:p w14:paraId="7A7E1AB1"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XF 1131-2014《仓储场所消防安全管理通则》第9.3条、第9.4条</w:t>
            </w:r>
          </w:p>
        </w:tc>
        <w:tc>
          <w:tcPr>
            <w:tcW w:w="518" w:type="dxa"/>
            <w:shd w:val="clear" w:color="auto" w:fill="auto"/>
            <w:vAlign w:val="center"/>
          </w:tcPr>
          <w:p w14:paraId="52D2EB64"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1C420620" w14:textId="77777777">
        <w:trPr>
          <w:jc w:val="center"/>
        </w:trPr>
        <w:tc>
          <w:tcPr>
            <w:tcW w:w="1828" w:type="dxa"/>
            <w:shd w:val="clear" w:color="auto" w:fill="auto"/>
            <w:vAlign w:val="center"/>
          </w:tcPr>
          <w:p w14:paraId="2A0D844B"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63990AA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0139E8F2"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操作行为类</w:t>
            </w:r>
          </w:p>
        </w:tc>
        <w:tc>
          <w:tcPr>
            <w:tcW w:w="4666" w:type="dxa"/>
            <w:shd w:val="clear" w:color="auto" w:fill="auto"/>
            <w:vAlign w:val="center"/>
          </w:tcPr>
          <w:p w14:paraId="25AA3FEB"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涉及硝化、加氢、氟化、氯化等重点监管化工工艺及其他反应工艺危险度2级及以上的生产车间（区域），未将同一时间现场操作人员控制在3人以下。</w:t>
            </w:r>
          </w:p>
        </w:tc>
        <w:tc>
          <w:tcPr>
            <w:tcW w:w="5833" w:type="dxa"/>
            <w:shd w:val="clear" w:color="auto" w:fill="auto"/>
            <w:vAlign w:val="center"/>
          </w:tcPr>
          <w:p w14:paraId="0F62D019"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《危险化学品企业安全风险隐患排查治理导则》附件“安全基础管理安全风险隐患排查”（五）安全风险管理第五条</w:t>
            </w:r>
          </w:p>
        </w:tc>
        <w:tc>
          <w:tcPr>
            <w:tcW w:w="518" w:type="dxa"/>
            <w:shd w:val="clear" w:color="auto" w:fill="auto"/>
            <w:vAlign w:val="center"/>
          </w:tcPr>
          <w:p w14:paraId="5CD61720"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B417057" w14:textId="77777777">
        <w:trPr>
          <w:jc w:val="center"/>
        </w:trPr>
        <w:tc>
          <w:tcPr>
            <w:tcW w:w="1828" w:type="dxa"/>
            <w:shd w:val="clear" w:color="auto" w:fill="auto"/>
            <w:vAlign w:val="center"/>
          </w:tcPr>
          <w:p w14:paraId="2BF1AD2D" w14:textId="77777777" w:rsidR="003F7E00" w:rsidRDefault="003F7E00" w:rsidP="003F7E00">
            <w:pPr>
              <w:pStyle w:val="ab"/>
              <w:widowControl/>
              <w:numPr>
                <w:ilvl w:val="0"/>
                <w:numId w:val="1"/>
              </w:numPr>
              <w:adjustRightInd w:val="0"/>
              <w:snapToGrid w:val="0"/>
              <w:spacing w:line="240" w:lineRule="auto"/>
              <w:ind w:firstLineChars="0"/>
              <w:jc w:val="center"/>
              <w:rPr>
                <w:rFonts w:ascii="仿宋_GB2312" w:hAnsi="宋体" w:cs="宋体"/>
                <w:color w:val="000000"/>
                <w:kern w:val="0"/>
                <w:sz w:val="20"/>
                <w:szCs w:val="20"/>
              </w:rPr>
            </w:pPr>
          </w:p>
        </w:tc>
        <w:tc>
          <w:tcPr>
            <w:tcW w:w="1134" w:type="dxa"/>
            <w:vAlign w:val="center"/>
          </w:tcPr>
          <w:p w14:paraId="718D6FFC"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人员类</w:t>
            </w:r>
          </w:p>
        </w:tc>
        <w:tc>
          <w:tcPr>
            <w:tcW w:w="1134" w:type="dxa"/>
            <w:shd w:val="clear" w:color="auto" w:fill="auto"/>
            <w:vAlign w:val="center"/>
          </w:tcPr>
          <w:p w14:paraId="5A0E122D"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r>
              <w:rPr>
                <w:rFonts w:ascii="仿宋_GB2312" w:hAnsi="宋体" w:cs="宋体" w:hint="eastAsia"/>
                <w:color w:val="000000"/>
                <w:kern w:val="0"/>
                <w:sz w:val="20"/>
                <w:szCs w:val="20"/>
              </w:rPr>
              <w:t>装置开停车安全</w:t>
            </w:r>
          </w:p>
        </w:tc>
        <w:tc>
          <w:tcPr>
            <w:tcW w:w="4666" w:type="dxa"/>
            <w:shd w:val="clear" w:color="auto" w:fill="auto"/>
            <w:vAlign w:val="center"/>
          </w:tcPr>
          <w:p w14:paraId="68DC3D75" w14:textId="6A813BB3"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未建立开停车安全管理制度、安全条件检查确认制度、重要环节责任人签字确认机制；未组织制定开停车方案；在正常开停车、紧急停车后的开车前，未进行安全条件检查确认。开车</w:t>
            </w:r>
            <w:proofErr w:type="gramStart"/>
            <w:r>
              <w:rPr>
                <w:rFonts w:ascii="仿宋_GB2312" w:hAnsi="宋体" w:cs="宋体" w:hint="eastAsia"/>
                <w:color w:val="000000"/>
                <w:kern w:val="0"/>
                <w:sz w:val="20"/>
                <w:szCs w:val="20"/>
              </w:rPr>
              <w:t>前生产</w:t>
            </w:r>
            <w:proofErr w:type="gramEnd"/>
            <w:r>
              <w:rPr>
                <w:rFonts w:ascii="仿宋_GB2312" w:hAnsi="宋体" w:cs="宋体" w:hint="eastAsia"/>
                <w:color w:val="000000"/>
                <w:kern w:val="0"/>
                <w:sz w:val="20"/>
                <w:szCs w:val="20"/>
              </w:rPr>
              <w:t>准备，吹扫、清洗、气密(压力)试验</w:t>
            </w:r>
            <w:r w:rsidR="00F41827">
              <w:rPr>
                <w:rFonts w:ascii="仿宋_GB2312" w:hAnsi="宋体" w:cs="宋体" w:hint="eastAsia"/>
                <w:color w:val="000000"/>
                <w:kern w:val="0"/>
                <w:sz w:val="20"/>
                <w:szCs w:val="20"/>
              </w:rPr>
              <w:t>、</w:t>
            </w:r>
            <w:r>
              <w:rPr>
                <w:rFonts w:ascii="仿宋_GB2312" w:hAnsi="宋体" w:cs="宋体" w:hint="eastAsia"/>
                <w:color w:val="000000"/>
                <w:kern w:val="0"/>
                <w:sz w:val="20"/>
                <w:szCs w:val="20"/>
              </w:rPr>
              <w:t>单机试车</w:t>
            </w:r>
            <w:r w:rsidR="00F41827">
              <w:rPr>
                <w:rFonts w:ascii="仿宋_GB2312" w:hAnsi="宋体" w:cs="宋体" w:hint="eastAsia"/>
                <w:color w:val="000000"/>
                <w:kern w:val="0"/>
                <w:sz w:val="20"/>
                <w:szCs w:val="20"/>
              </w:rPr>
              <w:t>、</w:t>
            </w:r>
            <w:r>
              <w:rPr>
                <w:rFonts w:ascii="仿宋_GB2312" w:hAnsi="宋体" w:cs="宋体" w:hint="eastAsia"/>
                <w:color w:val="000000"/>
                <w:kern w:val="0"/>
                <w:sz w:val="20"/>
                <w:szCs w:val="20"/>
              </w:rPr>
              <w:t>中间交接</w:t>
            </w:r>
            <w:r w:rsidR="00F41827">
              <w:rPr>
                <w:rFonts w:ascii="仿宋_GB2312" w:hAnsi="宋体" w:cs="宋体" w:hint="eastAsia"/>
                <w:color w:val="000000"/>
                <w:kern w:val="0"/>
                <w:sz w:val="20"/>
                <w:szCs w:val="20"/>
              </w:rPr>
              <w:t>、</w:t>
            </w:r>
            <w:r>
              <w:rPr>
                <w:rFonts w:ascii="仿宋_GB2312" w:hAnsi="宋体" w:cs="宋体" w:hint="eastAsia"/>
                <w:color w:val="000000"/>
                <w:kern w:val="0"/>
                <w:sz w:val="20"/>
                <w:szCs w:val="20"/>
              </w:rPr>
              <w:t>联动试车</w:t>
            </w:r>
            <w:r w:rsidR="00F41827">
              <w:rPr>
                <w:rFonts w:ascii="仿宋_GB2312" w:hAnsi="宋体" w:cs="宋体" w:hint="eastAsia"/>
                <w:color w:val="000000"/>
                <w:kern w:val="0"/>
                <w:sz w:val="20"/>
                <w:szCs w:val="20"/>
              </w:rPr>
              <w:t>、</w:t>
            </w:r>
            <w:r>
              <w:rPr>
                <w:rFonts w:ascii="仿宋_GB2312" w:hAnsi="宋体" w:cs="宋体" w:hint="eastAsia"/>
                <w:color w:val="000000"/>
                <w:kern w:val="0"/>
                <w:sz w:val="20"/>
                <w:szCs w:val="20"/>
              </w:rPr>
              <w:t>安全审查</w:t>
            </w:r>
            <w:r w:rsidR="00F41827">
              <w:rPr>
                <w:rFonts w:ascii="仿宋_GB2312" w:hAnsi="宋体" w:cs="宋体" w:hint="eastAsia"/>
                <w:color w:val="000000"/>
                <w:kern w:val="0"/>
                <w:sz w:val="20"/>
                <w:szCs w:val="20"/>
              </w:rPr>
              <w:t>、</w:t>
            </w:r>
            <w:r>
              <w:rPr>
                <w:rFonts w:ascii="仿宋_GB2312" w:hAnsi="宋体" w:cs="宋体" w:hint="eastAsia"/>
                <w:color w:val="000000"/>
                <w:kern w:val="0"/>
                <w:sz w:val="20"/>
                <w:szCs w:val="20"/>
              </w:rPr>
              <w:t>投料试车</w:t>
            </w:r>
            <w:r w:rsidR="00F41827">
              <w:rPr>
                <w:rFonts w:ascii="仿宋_GB2312" w:hAnsi="宋体" w:cs="宋体" w:hint="eastAsia"/>
                <w:color w:val="000000"/>
                <w:kern w:val="0"/>
                <w:sz w:val="20"/>
                <w:szCs w:val="20"/>
              </w:rPr>
              <w:t>、</w:t>
            </w:r>
            <w:r>
              <w:rPr>
                <w:rFonts w:ascii="仿宋_GB2312" w:hAnsi="宋体" w:cs="宋体" w:hint="eastAsia"/>
                <w:color w:val="000000"/>
                <w:kern w:val="0"/>
                <w:sz w:val="20"/>
                <w:szCs w:val="20"/>
              </w:rPr>
              <w:t>异常工况的处置不符合AQ/T 3034要求。</w:t>
            </w:r>
          </w:p>
        </w:tc>
        <w:tc>
          <w:tcPr>
            <w:tcW w:w="5833" w:type="dxa"/>
            <w:shd w:val="clear" w:color="auto" w:fill="auto"/>
            <w:vAlign w:val="center"/>
          </w:tcPr>
          <w:p w14:paraId="642EAE08" w14:textId="77777777" w:rsidR="003F7E00" w:rsidRDefault="003F7E00" w:rsidP="003F7E00">
            <w:pPr>
              <w:widowControl/>
              <w:adjustRightInd w:val="0"/>
              <w:snapToGrid w:val="0"/>
              <w:spacing w:line="240" w:lineRule="auto"/>
              <w:jc w:val="left"/>
              <w:rPr>
                <w:rFonts w:ascii="仿宋_GB2312" w:hAnsi="宋体" w:cs="宋体"/>
                <w:color w:val="000000"/>
                <w:kern w:val="0"/>
                <w:sz w:val="20"/>
                <w:szCs w:val="20"/>
              </w:rPr>
            </w:pPr>
            <w:r>
              <w:rPr>
                <w:rFonts w:ascii="仿宋_GB2312" w:hAnsi="宋体" w:cs="宋体" w:hint="eastAsia"/>
                <w:color w:val="000000"/>
                <w:kern w:val="0"/>
                <w:sz w:val="20"/>
                <w:szCs w:val="20"/>
              </w:rPr>
              <w:t>AQ/T 3034—2022《化工过程安全管理导则》第4.8节</w:t>
            </w:r>
          </w:p>
        </w:tc>
        <w:tc>
          <w:tcPr>
            <w:tcW w:w="518" w:type="dxa"/>
            <w:shd w:val="clear" w:color="auto" w:fill="auto"/>
            <w:vAlign w:val="center"/>
          </w:tcPr>
          <w:p w14:paraId="6DD764C3" w14:textId="77777777" w:rsidR="003F7E00" w:rsidRDefault="003F7E00" w:rsidP="003F7E00">
            <w:pPr>
              <w:widowControl/>
              <w:adjustRightInd w:val="0"/>
              <w:snapToGrid w:val="0"/>
              <w:spacing w:line="240" w:lineRule="auto"/>
              <w:jc w:val="center"/>
              <w:rPr>
                <w:rFonts w:ascii="仿宋_GB2312" w:hAnsi="宋体" w:cs="宋体"/>
                <w:color w:val="000000"/>
                <w:kern w:val="0"/>
                <w:sz w:val="20"/>
                <w:szCs w:val="20"/>
              </w:rPr>
            </w:pPr>
          </w:p>
        </w:tc>
      </w:tr>
      <w:tr w:rsidR="003F7E00" w14:paraId="7849FD75" w14:textId="77777777">
        <w:trPr>
          <w:jc w:val="center"/>
        </w:trPr>
        <w:tc>
          <w:tcPr>
            <w:tcW w:w="15113" w:type="dxa"/>
            <w:gridSpan w:val="6"/>
            <w:shd w:val="clear" w:color="auto" w:fill="auto"/>
            <w:noWrap/>
            <w:vAlign w:val="center"/>
          </w:tcPr>
          <w:p w14:paraId="187FC234" w14:textId="77777777" w:rsidR="003F7E00" w:rsidRDefault="003F7E00" w:rsidP="003F7E00">
            <w:pPr>
              <w:adjustRightInd w:val="0"/>
              <w:snapToGrid w:val="0"/>
              <w:spacing w:line="240" w:lineRule="auto"/>
              <w:rPr>
                <w:rFonts w:ascii="仿宋_GB2312" w:hAnsi="宋体" w:cs="宋体"/>
                <w:color w:val="000000"/>
                <w:kern w:val="0"/>
                <w:sz w:val="20"/>
                <w:szCs w:val="20"/>
              </w:rPr>
            </w:pPr>
            <w:r>
              <w:rPr>
                <w:rFonts w:ascii="仿宋_GB2312" w:hAnsi="宋体" w:cs="宋体" w:hint="eastAsia"/>
                <w:color w:val="000000"/>
                <w:kern w:val="0"/>
                <w:sz w:val="20"/>
                <w:szCs w:val="20"/>
              </w:rPr>
              <w:t>注：加★为化工和危险化学品生产经营单位重大生产安全事故隐患。</w:t>
            </w:r>
          </w:p>
        </w:tc>
      </w:tr>
    </w:tbl>
    <w:p w14:paraId="498D7707" w14:textId="77777777" w:rsidR="00AD2A2E" w:rsidRDefault="00AD2A2E">
      <w:bookmarkStart w:id="0" w:name="_Toc405640735"/>
      <w:bookmarkEnd w:id="0"/>
    </w:p>
    <w:sectPr w:rsidR="00AD2A2E">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4425" w14:textId="77777777" w:rsidR="00E6311D" w:rsidRDefault="00E6311D">
      <w:pPr>
        <w:spacing w:line="240" w:lineRule="auto"/>
      </w:pPr>
      <w:r>
        <w:separator/>
      </w:r>
    </w:p>
  </w:endnote>
  <w:endnote w:type="continuationSeparator" w:id="0">
    <w:p w14:paraId="790A991B" w14:textId="77777777" w:rsidR="00E6311D" w:rsidRDefault="00E6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885035"/>
    </w:sdtPr>
    <w:sdtContent>
      <w:p w14:paraId="764F164F" w14:textId="77777777" w:rsidR="00AD2A2E" w:rsidRDefault="00000000">
        <w:pPr>
          <w:pStyle w:val="a3"/>
          <w:jc w:val="center"/>
        </w:pPr>
        <w:r>
          <w:fldChar w:fldCharType="begin"/>
        </w:r>
        <w:r>
          <w:instrText>PAGE   \* MERGEFORMAT</w:instrText>
        </w:r>
        <w:r>
          <w:fldChar w:fldCharType="separate"/>
        </w:r>
        <w:r>
          <w:rPr>
            <w:lang w:val="zh-CN"/>
          </w:rPr>
          <w:t>2</w:t>
        </w:r>
        <w:r>
          <w:fldChar w:fldCharType="end"/>
        </w:r>
      </w:p>
    </w:sdtContent>
  </w:sdt>
  <w:p w14:paraId="5317C59E" w14:textId="77777777" w:rsidR="00AD2A2E" w:rsidRDefault="00AD2A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F0D5" w14:textId="77777777" w:rsidR="00E6311D" w:rsidRDefault="00E6311D">
      <w:pPr>
        <w:spacing w:line="240" w:lineRule="auto"/>
      </w:pPr>
      <w:r>
        <w:separator/>
      </w:r>
    </w:p>
  </w:footnote>
  <w:footnote w:type="continuationSeparator" w:id="0">
    <w:p w14:paraId="167F8F30" w14:textId="77777777" w:rsidR="00E6311D" w:rsidRDefault="00E631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368C"/>
    <w:multiLevelType w:val="multilevel"/>
    <w:tmpl w:val="E3AE1ABA"/>
    <w:lvl w:ilvl="0">
      <w:start w:val="1"/>
      <mc:AlternateContent>
        <mc:Choice Requires="w14">
          <w:numFmt w:val="custom" w:format="001, 002, 003, ..."/>
        </mc:Choice>
        <mc:Fallback>
          <w:numFmt w:val="decimal"/>
        </mc:Fallback>
      </mc:AlternateContent>
      <w:suff w:val="nothing"/>
      <w:lvlText w:val="2023.001.06.%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num w:numId="1" w16cid:durableId="86830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DC"/>
    <w:rsid w:val="DF7FFD54"/>
    <w:rsid w:val="F1FF0D4C"/>
    <w:rsid w:val="F4FDACE8"/>
    <w:rsid w:val="00004774"/>
    <w:rsid w:val="0000585E"/>
    <w:rsid w:val="0002516F"/>
    <w:rsid w:val="000338F5"/>
    <w:rsid w:val="000601FA"/>
    <w:rsid w:val="0006467C"/>
    <w:rsid w:val="0007095F"/>
    <w:rsid w:val="000714EA"/>
    <w:rsid w:val="00073FEC"/>
    <w:rsid w:val="00080840"/>
    <w:rsid w:val="00083886"/>
    <w:rsid w:val="00094420"/>
    <w:rsid w:val="000966A4"/>
    <w:rsid w:val="000B3913"/>
    <w:rsid w:val="000B3C47"/>
    <w:rsid w:val="000F7D86"/>
    <w:rsid w:val="0010157C"/>
    <w:rsid w:val="00101744"/>
    <w:rsid w:val="001275C4"/>
    <w:rsid w:val="00197FA0"/>
    <w:rsid w:val="001A5CF5"/>
    <w:rsid w:val="001D37B4"/>
    <w:rsid w:val="001D61BF"/>
    <w:rsid w:val="001E0778"/>
    <w:rsid w:val="001E35C3"/>
    <w:rsid w:val="001F64FF"/>
    <w:rsid w:val="002024DD"/>
    <w:rsid w:val="00216228"/>
    <w:rsid w:val="00240C68"/>
    <w:rsid w:val="00256C1A"/>
    <w:rsid w:val="00262F66"/>
    <w:rsid w:val="00296779"/>
    <w:rsid w:val="002A2AB8"/>
    <w:rsid w:val="002A3DAC"/>
    <w:rsid w:val="002A46E5"/>
    <w:rsid w:val="002D2363"/>
    <w:rsid w:val="002E5157"/>
    <w:rsid w:val="002F0873"/>
    <w:rsid w:val="002F444B"/>
    <w:rsid w:val="00302EB7"/>
    <w:rsid w:val="00310B16"/>
    <w:rsid w:val="0033115F"/>
    <w:rsid w:val="00332D49"/>
    <w:rsid w:val="0034227F"/>
    <w:rsid w:val="00364148"/>
    <w:rsid w:val="003864B2"/>
    <w:rsid w:val="003B2429"/>
    <w:rsid w:val="003B2FD9"/>
    <w:rsid w:val="003B6A15"/>
    <w:rsid w:val="003C56C0"/>
    <w:rsid w:val="003D6D0E"/>
    <w:rsid w:val="003E165B"/>
    <w:rsid w:val="003E670B"/>
    <w:rsid w:val="003F5253"/>
    <w:rsid w:val="003F7E00"/>
    <w:rsid w:val="00414917"/>
    <w:rsid w:val="004163D6"/>
    <w:rsid w:val="00422125"/>
    <w:rsid w:val="00423F09"/>
    <w:rsid w:val="0044154F"/>
    <w:rsid w:val="00441A4B"/>
    <w:rsid w:val="0044344B"/>
    <w:rsid w:val="0044391A"/>
    <w:rsid w:val="00457536"/>
    <w:rsid w:val="004816AF"/>
    <w:rsid w:val="0049424D"/>
    <w:rsid w:val="004B1BDC"/>
    <w:rsid w:val="004B2397"/>
    <w:rsid w:val="004D22EF"/>
    <w:rsid w:val="004E3D2A"/>
    <w:rsid w:val="00506639"/>
    <w:rsid w:val="00514CA7"/>
    <w:rsid w:val="00520424"/>
    <w:rsid w:val="00531F5B"/>
    <w:rsid w:val="00554BE2"/>
    <w:rsid w:val="00556B75"/>
    <w:rsid w:val="00557368"/>
    <w:rsid w:val="005667CC"/>
    <w:rsid w:val="0057742E"/>
    <w:rsid w:val="0058579E"/>
    <w:rsid w:val="00587830"/>
    <w:rsid w:val="00593BF4"/>
    <w:rsid w:val="005B4C69"/>
    <w:rsid w:val="005C068B"/>
    <w:rsid w:val="005E0CD1"/>
    <w:rsid w:val="00620CDC"/>
    <w:rsid w:val="006262DE"/>
    <w:rsid w:val="00643D29"/>
    <w:rsid w:val="00652328"/>
    <w:rsid w:val="006528D0"/>
    <w:rsid w:val="00656315"/>
    <w:rsid w:val="00667DBF"/>
    <w:rsid w:val="00675A29"/>
    <w:rsid w:val="00687696"/>
    <w:rsid w:val="00690F38"/>
    <w:rsid w:val="00695D8C"/>
    <w:rsid w:val="006B03BC"/>
    <w:rsid w:val="006B495B"/>
    <w:rsid w:val="006B5005"/>
    <w:rsid w:val="006B6E88"/>
    <w:rsid w:val="006C075D"/>
    <w:rsid w:val="006D2F4C"/>
    <w:rsid w:val="006E2F65"/>
    <w:rsid w:val="006E7C63"/>
    <w:rsid w:val="006F3C88"/>
    <w:rsid w:val="00701615"/>
    <w:rsid w:val="007057DF"/>
    <w:rsid w:val="00714C82"/>
    <w:rsid w:val="0072357A"/>
    <w:rsid w:val="0073161D"/>
    <w:rsid w:val="00745F48"/>
    <w:rsid w:val="00790A9A"/>
    <w:rsid w:val="007A5749"/>
    <w:rsid w:val="007B4E60"/>
    <w:rsid w:val="007D080B"/>
    <w:rsid w:val="007F6319"/>
    <w:rsid w:val="00802913"/>
    <w:rsid w:val="00806CEF"/>
    <w:rsid w:val="00844779"/>
    <w:rsid w:val="0085427B"/>
    <w:rsid w:val="00862EBE"/>
    <w:rsid w:val="008A77EB"/>
    <w:rsid w:val="008B05CB"/>
    <w:rsid w:val="008B1B5B"/>
    <w:rsid w:val="008F45A1"/>
    <w:rsid w:val="00937786"/>
    <w:rsid w:val="00955343"/>
    <w:rsid w:val="00966BE8"/>
    <w:rsid w:val="00967D1F"/>
    <w:rsid w:val="00967D74"/>
    <w:rsid w:val="00990690"/>
    <w:rsid w:val="0099767D"/>
    <w:rsid w:val="009B37ED"/>
    <w:rsid w:val="00A105EB"/>
    <w:rsid w:val="00A20F88"/>
    <w:rsid w:val="00A219E4"/>
    <w:rsid w:val="00A26A12"/>
    <w:rsid w:val="00A33470"/>
    <w:rsid w:val="00A63968"/>
    <w:rsid w:val="00A66C63"/>
    <w:rsid w:val="00A670DA"/>
    <w:rsid w:val="00A94D03"/>
    <w:rsid w:val="00AA066E"/>
    <w:rsid w:val="00AC294B"/>
    <w:rsid w:val="00AC4F14"/>
    <w:rsid w:val="00AD0B86"/>
    <w:rsid w:val="00AD2A2E"/>
    <w:rsid w:val="00AE62DA"/>
    <w:rsid w:val="00B21D59"/>
    <w:rsid w:val="00B2476C"/>
    <w:rsid w:val="00B25C80"/>
    <w:rsid w:val="00B279F7"/>
    <w:rsid w:val="00B365F5"/>
    <w:rsid w:val="00B42311"/>
    <w:rsid w:val="00B4627D"/>
    <w:rsid w:val="00B743AD"/>
    <w:rsid w:val="00B76940"/>
    <w:rsid w:val="00BC5CE5"/>
    <w:rsid w:val="00BD1CE1"/>
    <w:rsid w:val="00BD36CD"/>
    <w:rsid w:val="00BF3743"/>
    <w:rsid w:val="00C24A16"/>
    <w:rsid w:val="00C30B11"/>
    <w:rsid w:val="00C35E25"/>
    <w:rsid w:val="00C45F59"/>
    <w:rsid w:val="00C97E17"/>
    <w:rsid w:val="00CA475E"/>
    <w:rsid w:val="00CB1F0D"/>
    <w:rsid w:val="00CD47E4"/>
    <w:rsid w:val="00D1620C"/>
    <w:rsid w:val="00D54104"/>
    <w:rsid w:val="00D71817"/>
    <w:rsid w:val="00D71DCB"/>
    <w:rsid w:val="00D7638B"/>
    <w:rsid w:val="00D84EF4"/>
    <w:rsid w:val="00D924C2"/>
    <w:rsid w:val="00DB73A9"/>
    <w:rsid w:val="00DE1DD3"/>
    <w:rsid w:val="00DE7443"/>
    <w:rsid w:val="00DF5619"/>
    <w:rsid w:val="00DF56A8"/>
    <w:rsid w:val="00E008E8"/>
    <w:rsid w:val="00E00C31"/>
    <w:rsid w:val="00E128D1"/>
    <w:rsid w:val="00E46C6D"/>
    <w:rsid w:val="00E56542"/>
    <w:rsid w:val="00E6311D"/>
    <w:rsid w:val="00E72DF4"/>
    <w:rsid w:val="00E86FCD"/>
    <w:rsid w:val="00EA3EC3"/>
    <w:rsid w:val="00EB07DC"/>
    <w:rsid w:val="00EB349E"/>
    <w:rsid w:val="00EC297C"/>
    <w:rsid w:val="00ED2B55"/>
    <w:rsid w:val="00ED5A72"/>
    <w:rsid w:val="00F043F8"/>
    <w:rsid w:val="00F05D03"/>
    <w:rsid w:val="00F341AE"/>
    <w:rsid w:val="00F41827"/>
    <w:rsid w:val="00F42F9D"/>
    <w:rsid w:val="00F603F1"/>
    <w:rsid w:val="00F72136"/>
    <w:rsid w:val="00F839C0"/>
    <w:rsid w:val="00FA4984"/>
    <w:rsid w:val="00FB20C0"/>
    <w:rsid w:val="00FB7AAC"/>
    <w:rsid w:val="00FD3626"/>
    <w:rsid w:val="578F20E6"/>
    <w:rsid w:val="5BF7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2C138"/>
  <w15:docId w15:val="{2F92BCE6-1632-4E8B-9D6B-E945B9AC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heme="minorHAnsi" w:eastAsia="仿宋_GB2312" w:hAnsiTheme="minorHAnsi" w:cstheme="minorBidi"/>
      <w:kern w:val="2"/>
      <w:sz w:val="32"/>
      <w:szCs w:val="22"/>
    </w:rPr>
  </w:style>
  <w:style w:type="paragraph" w:styleId="1">
    <w:name w:val="heading 1"/>
    <w:basedOn w:val="a"/>
    <w:next w:val="a"/>
    <w:link w:val="10"/>
    <w:qFormat/>
    <w:pPr>
      <w:keepNext/>
      <w:keepLines/>
      <w:spacing w:before="120" w:after="120"/>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semiHidden/>
    <w:unhideWhenUsed/>
    <w:qFormat/>
    <w:pPr>
      <w:keepNext/>
      <w:keepLines/>
      <w:spacing w:before="260" w:after="260" w:line="415" w:lineRule="auto"/>
      <w:jc w:val="left"/>
      <w:outlineLvl w:val="2"/>
    </w:pPr>
    <w:rPr>
      <w:rFonts w:ascii="Times New Roman" w:eastAsia="Times New Roman" w:hAnsi="Times New Roman" w:cs="Times New Roman"/>
      <w:b/>
      <w:bCs/>
      <w:color w:val="000000"/>
      <w:kern w:val="0"/>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spacing w:line="240" w:lineRule="auto"/>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table" w:styleId="a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semiHidden/>
    <w:unhideWhenUsed/>
    <w:qFormat/>
    <w:rPr>
      <w:color w:val="954F72"/>
      <w:u w:val="single"/>
    </w:rPr>
  </w:style>
  <w:style w:type="character" w:styleId="aa">
    <w:name w:val="Hyperlink"/>
    <w:basedOn w:val="a0"/>
    <w:semiHidden/>
    <w:unhideWhenUsed/>
    <w:qFormat/>
    <w:rPr>
      <w:color w:val="0563C1"/>
      <w:u w:val="single"/>
    </w:rPr>
  </w:style>
  <w:style w:type="character" w:customStyle="1" w:styleId="10">
    <w:name w:val="标题 1 字符"/>
    <w:basedOn w:val="a0"/>
    <w:link w:val="1"/>
    <w:qFormat/>
    <w:rPr>
      <w:rFonts w:eastAsia="仿宋_GB2312"/>
      <w:b/>
      <w:bCs/>
      <w:kern w:val="44"/>
      <w:sz w:val="44"/>
      <w:szCs w:val="44"/>
    </w:rPr>
  </w:style>
  <w:style w:type="character" w:customStyle="1" w:styleId="a6">
    <w:name w:val="页眉 字符"/>
    <w:basedOn w:val="a0"/>
    <w:link w:val="a5"/>
    <w:qFormat/>
    <w:rPr>
      <w:rFonts w:eastAsia="仿宋_GB2312"/>
      <w:sz w:val="18"/>
      <w:szCs w:val="18"/>
    </w:rPr>
  </w:style>
  <w:style w:type="character" w:customStyle="1" w:styleId="a4">
    <w:name w:val="页脚 字符"/>
    <w:basedOn w:val="a0"/>
    <w:link w:val="a3"/>
    <w:qFormat/>
    <w:rPr>
      <w:rFonts w:eastAsia="仿宋_GB2312"/>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semiHidden/>
    <w:qFormat/>
    <w:rPr>
      <w:rFonts w:ascii="Times New Roman" w:eastAsia="Times New Roman" w:hAnsi="Times New Roman" w:cs="Times New Roman"/>
      <w:b/>
      <w:bCs/>
      <w:color w:val="000000"/>
      <w:kern w:val="0"/>
      <w:sz w:val="32"/>
      <w:szCs w:val="32"/>
      <w:lang w:eastAsia="en-US" w:bidi="en-US"/>
    </w:rPr>
  </w:style>
  <w:style w:type="paragraph" w:customStyle="1" w:styleId="msonormal0">
    <w:name w:val="msonormal"/>
    <w:basedOn w:val="a"/>
    <w:qFormat/>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line="240" w:lineRule="auto"/>
      <w:jc w:val="left"/>
    </w:pPr>
    <w:rPr>
      <w:rFonts w:ascii="仿宋_GB2312" w:hAnsi="宋体" w:cs="宋体"/>
      <w:color w:val="000000"/>
      <w:kern w:val="0"/>
      <w:sz w:val="20"/>
      <w:szCs w:val="20"/>
    </w:rPr>
  </w:style>
  <w:style w:type="paragraph" w:customStyle="1" w:styleId="font7">
    <w:name w:val="font7"/>
    <w:basedOn w:val="a"/>
    <w:qFormat/>
    <w:pPr>
      <w:widowControl/>
      <w:spacing w:before="100" w:beforeAutospacing="1" w:after="100" w:afterAutospacing="1" w:line="240" w:lineRule="auto"/>
      <w:jc w:val="left"/>
    </w:pPr>
    <w:rPr>
      <w:rFonts w:ascii="仿宋_GB2312" w:hAnsi="宋体" w:cs="宋体"/>
      <w:color w:val="000000"/>
      <w:kern w:val="0"/>
      <w:sz w:val="20"/>
      <w:szCs w:val="20"/>
    </w:rPr>
  </w:style>
  <w:style w:type="paragraph" w:customStyle="1" w:styleId="font8">
    <w:name w:val="font8"/>
    <w:basedOn w:val="a"/>
    <w:qFormat/>
    <w:pPr>
      <w:widowControl/>
      <w:spacing w:before="100" w:beforeAutospacing="1" w:after="100" w:afterAutospacing="1" w:line="240" w:lineRule="auto"/>
      <w:jc w:val="left"/>
    </w:pPr>
    <w:rPr>
      <w:rFonts w:ascii="微软雅黑" w:eastAsia="微软雅黑" w:hAnsi="微软雅黑" w:cs="宋体"/>
      <w:color w:val="000000"/>
      <w:kern w:val="0"/>
      <w:sz w:val="20"/>
      <w:szCs w:val="20"/>
    </w:rPr>
  </w:style>
  <w:style w:type="paragraph" w:customStyle="1" w:styleId="font9">
    <w:name w:val="font9"/>
    <w:basedOn w:val="a"/>
    <w:qFormat/>
    <w:pPr>
      <w:widowControl/>
      <w:spacing w:before="100" w:beforeAutospacing="1" w:after="100" w:afterAutospacing="1" w:line="240" w:lineRule="auto"/>
      <w:jc w:val="left"/>
    </w:pPr>
    <w:rPr>
      <w:rFonts w:ascii="仿宋_GB2312" w:hAnsi="宋体" w:cs="宋体"/>
      <w:b/>
      <w:bCs/>
      <w:color w:val="000000"/>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hAnsi="宋体" w:cs="宋体"/>
      <w:color w:val="00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仿宋_GB2312" w:hAnsi="宋体" w:cs="宋体"/>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仿宋_GB2312" w:hAnsi="宋体" w:cs="宋体"/>
      <w:color w:val="000000"/>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仿宋_GB2312" w:hAnsi="宋体" w:cs="宋体"/>
      <w:color w:val="000000"/>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仿宋_GB2312" w:hAnsi="宋体" w:cs="宋体"/>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仿宋_GB2312"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仿宋_GB2312" w:hAnsi="宋体" w:cs="宋体"/>
      <w:kern w:val="0"/>
      <w:sz w:val="20"/>
      <w:szCs w:val="20"/>
    </w:rPr>
  </w:style>
  <w:style w:type="paragraph" w:customStyle="1" w:styleId="xl76">
    <w:name w:val="xl76"/>
    <w:basedOn w:val="a"/>
    <w:qFormat/>
    <w:pPr>
      <w:widowControl/>
      <w:spacing w:before="100" w:beforeAutospacing="1" w:after="100" w:afterAutospacing="1" w:line="240" w:lineRule="auto"/>
      <w:jc w:val="left"/>
    </w:pPr>
    <w:rPr>
      <w:rFonts w:ascii="仿宋_GB2312" w:hAnsi="宋体" w:cs="宋体"/>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仿宋_GB2312"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仿宋_GB2312" w:hAnsi="宋体" w:cs="宋体"/>
      <w:kern w:val="0"/>
      <w:sz w:val="20"/>
      <w:szCs w:val="20"/>
    </w:rPr>
  </w:style>
  <w:style w:type="paragraph" w:customStyle="1" w:styleId="xl80">
    <w:name w:val="xl80"/>
    <w:basedOn w:val="a"/>
    <w:qFormat/>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eastAsia="宋体" w:hAnsi="宋体" w:cs="宋体"/>
      <w:color w:val="000000"/>
      <w:kern w:val="0"/>
      <w:szCs w:val="3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84">
    <w:name w:val="xl84"/>
    <w:basedOn w:val="a"/>
    <w:qFormat/>
    <w:pPr>
      <w:widowControl/>
      <w:spacing w:before="100" w:beforeAutospacing="1" w:after="100" w:afterAutospacing="1" w:line="240" w:lineRule="auto"/>
      <w:jc w:val="left"/>
      <w:textAlignment w:val="center"/>
    </w:pPr>
    <w:rPr>
      <w:rFonts w:ascii="宋体" w:eastAsia="宋体"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Cs w:val="32"/>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仿宋_GB2312" w:hAnsi="宋体" w:cs="宋体"/>
      <w:b/>
      <w:bCs/>
      <w:color w:val="000000"/>
      <w:kern w:val="0"/>
      <w:sz w:val="20"/>
      <w:szCs w:val="20"/>
    </w:rPr>
  </w:style>
  <w:style w:type="paragraph" w:customStyle="1" w:styleId="xl89">
    <w:name w:val="xl89"/>
    <w:basedOn w:val="a"/>
    <w:qFormat/>
    <w:pPr>
      <w:widowControl/>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仿宋_GB2312" w:hAnsi="宋体" w:cs="宋体"/>
      <w:kern w:val="0"/>
      <w:sz w:val="20"/>
      <w:szCs w:val="20"/>
    </w:rPr>
  </w:style>
  <w:style w:type="paragraph" w:customStyle="1" w:styleId="xl90">
    <w:name w:val="xl90"/>
    <w:basedOn w:val="a"/>
    <w:qFormat/>
    <w:pPr>
      <w:widowControl/>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仿宋_GB2312" w:hAnsi="宋体" w:cs="宋体"/>
      <w:kern w:val="0"/>
      <w:sz w:val="20"/>
      <w:szCs w:val="20"/>
    </w:rPr>
  </w:style>
  <w:style w:type="character" w:customStyle="1" w:styleId="Heading11">
    <w:name w:val="Heading #1|1_"/>
    <w:basedOn w:val="a0"/>
    <w:link w:val="Heading110"/>
    <w:qFormat/>
    <w:locked/>
    <w:rPr>
      <w:rFonts w:ascii="宋体" w:eastAsia="宋体" w:hAnsi="宋体" w:cs="宋体"/>
      <w:b/>
      <w:bCs/>
      <w:lang w:val="zh-TW" w:eastAsia="zh-TW" w:bidi="zh-TW"/>
    </w:rPr>
  </w:style>
  <w:style w:type="paragraph" w:customStyle="1" w:styleId="Heading110">
    <w:name w:val="Heading #1|1"/>
    <w:basedOn w:val="a"/>
    <w:link w:val="Heading11"/>
    <w:qFormat/>
    <w:pPr>
      <w:spacing w:after="210" w:line="240" w:lineRule="auto"/>
      <w:jc w:val="center"/>
      <w:outlineLvl w:val="0"/>
    </w:pPr>
    <w:rPr>
      <w:rFonts w:ascii="宋体" w:eastAsia="宋体" w:hAnsi="宋体" w:cs="宋体"/>
      <w:b/>
      <w:bCs/>
      <w:sz w:val="21"/>
      <w:lang w:val="zh-TW" w:eastAsia="zh-TW" w:bidi="zh-TW"/>
    </w:rPr>
  </w:style>
  <w:style w:type="character" w:customStyle="1" w:styleId="Headerorfooter2">
    <w:name w:val="Header or footer|2_"/>
    <w:basedOn w:val="a0"/>
    <w:link w:val="Headerorfooter20"/>
    <w:qFormat/>
    <w:locked/>
  </w:style>
  <w:style w:type="paragraph" w:customStyle="1" w:styleId="Headerorfooter20">
    <w:name w:val="Header or footer|2"/>
    <w:basedOn w:val="a"/>
    <w:link w:val="Headerorfooter2"/>
    <w:qFormat/>
    <w:pPr>
      <w:spacing w:line="240" w:lineRule="auto"/>
      <w:jc w:val="left"/>
    </w:pPr>
    <w:rPr>
      <w:rFonts w:eastAsiaTheme="minorEastAsia"/>
      <w:sz w:val="21"/>
    </w:rPr>
  </w:style>
  <w:style w:type="character" w:customStyle="1" w:styleId="Bodytext1">
    <w:name w:val="Body text|1_"/>
    <w:basedOn w:val="a0"/>
    <w:link w:val="Bodytext10"/>
    <w:qFormat/>
    <w:locked/>
    <w:rPr>
      <w:rFonts w:ascii="宋体" w:eastAsia="宋体" w:hAnsi="宋体" w:cs="宋体"/>
      <w:lang w:val="zh-TW" w:eastAsia="zh-TW" w:bidi="zh-TW"/>
    </w:rPr>
  </w:style>
  <w:style w:type="paragraph" w:customStyle="1" w:styleId="Bodytext10">
    <w:name w:val="Body text|1"/>
    <w:basedOn w:val="a"/>
    <w:link w:val="Bodytext1"/>
    <w:qFormat/>
    <w:pPr>
      <w:spacing w:after="220" w:line="240" w:lineRule="auto"/>
      <w:jc w:val="left"/>
    </w:pPr>
    <w:rPr>
      <w:rFonts w:ascii="宋体" w:eastAsia="宋体" w:hAnsi="宋体" w:cs="宋体"/>
      <w:sz w:val="21"/>
      <w:lang w:val="zh-TW" w:eastAsia="zh-TW" w:bidi="zh-TW"/>
    </w:rPr>
  </w:style>
  <w:style w:type="character" w:customStyle="1" w:styleId="Other1">
    <w:name w:val="Other|1_"/>
    <w:basedOn w:val="a0"/>
    <w:link w:val="Other10"/>
    <w:qFormat/>
    <w:locked/>
    <w:rPr>
      <w:rFonts w:ascii="宋体" w:eastAsia="宋体" w:hAnsi="宋体" w:cs="宋体"/>
      <w:sz w:val="18"/>
      <w:szCs w:val="18"/>
      <w:lang w:val="zh-TW" w:eastAsia="zh-TW" w:bidi="zh-TW"/>
    </w:rPr>
  </w:style>
  <w:style w:type="paragraph" w:customStyle="1" w:styleId="Other10">
    <w:name w:val="Other|1"/>
    <w:basedOn w:val="a"/>
    <w:link w:val="Other1"/>
    <w:qFormat/>
    <w:pPr>
      <w:spacing w:line="240" w:lineRule="auto"/>
      <w:jc w:val="left"/>
    </w:pPr>
    <w:rPr>
      <w:rFonts w:ascii="宋体" w:eastAsia="宋体" w:hAnsi="宋体" w:cs="宋体"/>
      <w:sz w:val="18"/>
      <w:szCs w:val="18"/>
      <w:lang w:val="zh-TW" w:eastAsia="zh-TW" w:bidi="zh-TW"/>
    </w:rPr>
  </w:style>
  <w:style w:type="character" w:customStyle="1" w:styleId="Tablecaption1">
    <w:name w:val="Table caption|1_"/>
    <w:basedOn w:val="a0"/>
    <w:link w:val="Tablecaption10"/>
    <w:qFormat/>
    <w:locked/>
    <w:rPr>
      <w:rFonts w:ascii="宋体" w:eastAsia="宋体" w:hAnsi="宋体" w:cs="宋体"/>
      <w:sz w:val="18"/>
      <w:szCs w:val="18"/>
      <w:lang w:val="zh-TW" w:eastAsia="zh-TW" w:bidi="zh-TW"/>
    </w:rPr>
  </w:style>
  <w:style w:type="paragraph" w:customStyle="1" w:styleId="Tablecaption10">
    <w:name w:val="Table caption|1"/>
    <w:basedOn w:val="a"/>
    <w:link w:val="Tablecaption1"/>
    <w:qFormat/>
    <w:pPr>
      <w:spacing w:line="240" w:lineRule="auto"/>
      <w:jc w:val="left"/>
    </w:pPr>
    <w:rPr>
      <w:rFonts w:ascii="宋体" w:eastAsia="宋体" w:hAnsi="宋体" w:cs="宋体"/>
      <w:sz w:val="18"/>
      <w:szCs w:val="18"/>
      <w:lang w:val="zh-TW" w:eastAsia="zh-TW" w:bidi="zh-TW"/>
    </w:rPr>
  </w:style>
  <w:style w:type="paragraph" w:customStyle="1" w:styleId="TableParagraph">
    <w:name w:val="Table Paragraph"/>
    <w:basedOn w:val="a"/>
    <w:qFormat/>
    <w:pPr>
      <w:autoSpaceDE w:val="0"/>
      <w:autoSpaceDN w:val="0"/>
      <w:adjustRightInd w:val="0"/>
      <w:spacing w:line="240" w:lineRule="auto"/>
      <w:ind w:firstLineChars="200" w:firstLine="200"/>
      <w:jc w:val="left"/>
    </w:pPr>
    <w:rPr>
      <w:rFonts w:ascii="Segoe UI" w:eastAsia="宋体" w:hAnsi="Segoe UI" w:cs="Times New Roman"/>
      <w:color w:val="000000"/>
      <w:kern w:val="0"/>
      <w:sz w:val="24"/>
      <w:szCs w:val="24"/>
    </w:rPr>
  </w:style>
  <w:style w:type="paragraph" w:customStyle="1" w:styleId="msonospacing0">
    <w:name w:val="msonospacing"/>
    <w:basedOn w:val="a"/>
    <w:qFormat/>
    <w:pPr>
      <w:spacing w:line="240" w:lineRule="auto"/>
      <w:ind w:firstLineChars="200" w:firstLine="200"/>
      <w:jc w:val="left"/>
    </w:pPr>
    <w:rPr>
      <w:rFonts w:ascii="Calibri" w:eastAsia="宋体" w:hAnsi="Calibri" w:cs="Times New Roman"/>
      <w:color w:val="000000"/>
      <w:sz w:val="21"/>
    </w:rPr>
  </w:style>
  <w:style w:type="character" w:customStyle="1" w:styleId="11">
    <w:name w:val="页脚 字符1"/>
    <w:basedOn w:val="a0"/>
    <w:qFormat/>
    <w:locked/>
    <w:rPr>
      <w:rFonts w:ascii="Times New Roman" w:eastAsia="Times New Roman" w:hAnsi="Times New Roman" w:cs="Times New Roman"/>
      <w:color w:val="000000"/>
      <w:kern w:val="0"/>
      <w:sz w:val="18"/>
      <w:szCs w:val="24"/>
      <w:lang w:eastAsia="en-US" w:bidi="en-US"/>
    </w:rPr>
  </w:style>
  <w:style w:type="character" w:customStyle="1" w:styleId="110">
    <w:name w:val="标题 1 字符1"/>
    <w:basedOn w:val="a0"/>
    <w:qFormat/>
    <w:locked/>
    <w:rPr>
      <w:rFonts w:ascii="Times New Roman" w:eastAsia="Times New Roman" w:hAnsi="Times New Roman" w:cs="Times New Roman"/>
      <w:b/>
      <w:color w:val="000000"/>
      <w:kern w:val="44"/>
      <w:sz w:val="44"/>
      <w:szCs w:val="24"/>
      <w:lang w:eastAsia="en-US" w:bidi="en-US"/>
    </w:rPr>
  </w:style>
  <w:style w:type="character" w:customStyle="1" w:styleId="12">
    <w:name w:val="页眉 字符1"/>
    <w:basedOn w:val="a0"/>
    <w:qFormat/>
    <w:locked/>
    <w:rPr>
      <w:rFonts w:ascii="Times New Roman" w:eastAsia="Times New Roman" w:hAnsi="Times New Roman" w:cs="Times New Roman"/>
      <w:color w:val="000000"/>
      <w:kern w:val="0"/>
      <w:sz w:val="18"/>
      <w:szCs w:val="24"/>
      <w:lang w:eastAsia="en-US" w:bidi="en-US"/>
    </w:rPr>
  </w:style>
  <w:style w:type="character" w:customStyle="1" w:styleId="21">
    <w:name w:val="标题 2 字符1"/>
    <w:basedOn w:val="a0"/>
    <w:semiHidden/>
    <w:qFormat/>
    <w:locked/>
    <w:rPr>
      <w:rFonts w:ascii="Calibri Light" w:eastAsia="黑体" w:hAnsi="Calibri Light" w:cs="Times New Roman"/>
      <w:bCs/>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5548</Words>
  <Characters>31625</Characters>
  <Application>Microsoft Office Word</Application>
  <DocSecurity>0</DocSecurity>
  <Lines>263</Lines>
  <Paragraphs>74</Paragraphs>
  <ScaleCrop>false</ScaleCrop>
  <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 yq</dc:creator>
  <cp:lastModifiedBy>yq 白</cp:lastModifiedBy>
  <cp:revision>29</cp:revision>
  <cp:lastPrinted>2023-05-09T01:33:00Z</cp:lastPrinted>
  <dcterms:created xsi:type="dcterms:W3CDTF">2023-05-07T06:46:00Z</dcterms:created>
  <dcterms:modified xsi:type="dcterms:W3CDTF">2023-05-09T13:13:00Z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