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娱乐场所两年内被处以3次警告或者罚款又有违反《娱乐场所管理条例》的行为应收行政处罚的行为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是否存在娱乐场所两年内被处以3次警告或者罚款又有违反《娱乐场所管理条例》的行为应收行政处罚的行为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娱乐场所两年内被处以3次警告或者罚款又有违反《娱乐场所管理条例》的行为应收行政处罚的行为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娱乐场所因违反《娱乐场所管理条例》规定，2年内被处以3次警告或者罚款又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出现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违反《娱乐场所管理条例》的行为应受行政处罚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6439E8"/>
    <w:rsid w:val="09B11BC5"/>
    <w:rsid w:val="13FB1B0B"/>
    <w:rsid w:val="15E81B19"/>
    <w:rsid w:val="18864DF2"/>
    <w:rsid w:val="1EC3056E"/>
    <w:rsid w:val="394D43E6"/>
    <w:rsid w:val="3E3331BE"/>
    <w:rsid w:val="4D4F114B"/>
    <w:rsid w:val="5D5D1D9E"/>
    <w:rsid w:val="69F10BFA"/>
    <w:rsid w:val="716B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2021-09-09T06:52:17Z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AC1D0BEC48CC43969BB6BFAEADB9E090</vt:lpwstr>
  </property>
</Properties>
</file>