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娱乐场所未按照《娱乐场所管理条例》规定悬挂警示标志、未成年人禁入或者限入标志的行为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是否存在娱乐场所未按照《娱乐场所管理条例》规定悬挂警示标志、未成年人禁入或者限入标志的行为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娱乐场所在营业场所的大厅、包厢、包间内的显著位置悬挂含有禁毒、禁赌、禁止卖淫嫖娼等内容的警示标志、未成年人禁入或者限入标志。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《娱乐场所管理条例》规定悬挂警示标志、未成年人禁入或者限入标志。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864DF2"/>
    <w:rsid w:val="1EC3056E"/>
    <w:rsid w:val="2CA97F9E"/>
    <w:rsid w:val="2FA75A41"/>
    <w:rsid w:val="394D43E6"/>
    <w:rsid w:val="3E3331BE"/>
    <w:rsid w:val="3EFF11E4"/>
    <w:rsid w:val="4D4F114B"/>
    <w:rsid w:val="51BF77A4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2021-09-09T07:43:30Z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BDFB866F492C4B4F87E767BD5998DA5D</vt:lpwstr>
  </property>
</Properties>
</file>