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北京市文化市场综合执法总队《互联网上网服务营业场所检查单》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上网场所经营情况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未悬挂《网络文化经营许可证》的行为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是否存在未悬挂《网络文化经营许可证》的行为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互联网上网服务营业场所经营单位应当在营业场所的显著位置悬挂《网络文化经营许可证》和营业执照。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未悬挂《网络文化经营许可证》的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8530C66"/>
    <w:rsid w:val="14A375B2"/>
    <w:rsid w:val="1C8214FD"/>
    <w:rsid w:val="2D31778D"/>
    <w:rsid w:val="3295384D"/>
    <w:rsid w:val="35032A90"/>
    <w:rsid w:val="362B6A08"/>
    <w:rsid w:val="40A85E21"/>
    <w:rsid w:val="4E33285B"/>
    <w:rsid w:val="51B608BD"/>
    <w:rsid w:val="52DB766D"/>
    <w:rsid w:val="61983AAB"/>
    <w:rsid w:val="6D0B0D41"/>
    <w:rsid w:val="6D0B56FE"/>
    <w:rsid w:val="74C24C45"/>
    <w:rsid w:val="75BC28D6"/>
    <w:rsid w:val="7EC6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25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2021-09-10T08:04:05Z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FA41B5A0394D45B19408954050EE2B74</vt:lpwstr>
  </property>
</Properties>
</file>