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北京市文化市场综合执法总队《歌舞娱乐场所检查单》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变更有关事项，未按照《娱乐场所管理条例》规定申请重新核发娱乐经营许可证的行为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是否存在变更有关事项，未按照《娱乐场所管理条例》规定申请重新核发娱乐经营许可证的行为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改建、扩建营业场所或者变更场地、主要设施设备、投资人员，或者变更娱乐经营许可证载明的事项的，向原发证机关申请重新核发娱乐经营许可证，并向公安部门备案；需要办理变更登记的，依法向工商行政管理部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进行了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办理变更登记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娱乐场所变更有关事项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向原发证机关申请重新核发娱乐经营许可证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或未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向公安部门备案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娱乐场所变更有关事项需要办理变更登记的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依法向工商行政管理部门办理变更登记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96439E8"/>
    <w:rsid w:val="13FB1B0B"/>
    <w:rsid w:val="15E81B19"/>
    <w:rsid w:val="18864DF2"/>
    <w:rsid w:val="1EC3056E"/>
    <w:rsid w:val="394D43E6"/>
    <w:rsid w:val="3E3331BE"/>
    <w:rsid w:val="4D4F114B"/>
    <w:rsid w:val="5D5D1D9E"/>
    <w:rsid w:val="69F10BFA"/>
    <w:rsid w:val="716B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2021-09-09T06:48:27Z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1B4A31764FF44DCBB90A4B324B71EA83</vt:lpwstr>
  </property>
</Properties>
</file>