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298D2">
      <w:pPr>
        <w:jc w:val="center"/>
        <w:rPr>
          <w:rFonts w:asciiTheme="minorEastAsia" w:hAnsiTheme="minorEastAsia" w:cstheme="minorEastAsia"/>
          <w:sz w:val="44"/>
          <w:szCs w:val="44"/>
        </w:rPr>
      </w:pPr>
    </w:p>
    <w:p w14:paraId="35CC4C1A">
      <w:pPr>
        <w:rPr>
          <w:rFonts w:asciiTheme="minorEastAsia" w:hAnsiTheme="minorEastAsia" w:cstheme="minorEastAsia"/>
          <w:sz w:val="44"/>
          <w:szCs w:val="44"/>
        </w:rPr>
      </w:pPr>
    </w:p>
    <w:p w14:paraId="79904E9E">
      <w:pPr>
        <w:jc w:val="center"/>
        <w:rPr>
          <w:rFonts w:ascii="宋体" w:hAnsi="宋体" w:eastAsia="宋体" w:cs="宋体"/>
          <w:sz w:val="36"/>
          <w:szCs w:val="36"/>
          <w:shd w:val="clear" w:color="auto" w:fill="FFFFFF"/>
        </w:rPr>
      </w:pPr>
      <w:r>
        <w:rPr>
          <w:rFonts w:hint="eastAsia" w:asciiTheme="minorEastAsia" w:hAnsiTheme="minorEastAsia" w:cstheme="minorEastAsia"/>
          <w:sz w:val="44"/>
          <w:szCs w:val="44"/>
        </w:rPr>
        <w:t>反兴奋剂管理办法</w:t>
      </w:r>
    </w:p>
    <w:p w14:paraId="791CF9A0">
      <w:pPr>
        <w:ind w:firstLine="640" w:firstLineChars="200"/>
        <w:rPr>
          <w:rFonts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(2021年7月20日国家体育总局令第27号 《反兴奋剂管理办法》已于2021年7月14日经国家体育总局第12次局长办公会审议通过，现予公布，自公布之日起施行。)</w:t>
      </w:r>
      <w:bookmarkStart w:id="0" w:name="_GoBack"/>
      <w:bookmarkEnd w:id="0"/>
    </w:p>
    <w:p w14:paraId="377238AD">
      <w:pPr>
        <w:rPr>
          <w:rFonts w:ascii="宋体" w:hAnsi="宋体" w:eastAsia="宋体" w:cs="宋体"/>
          <w:color w:val="333333"/>
          <w:sz w:val="36"/>
          <w:szCs w:val="36"/>
          <w:shd w:val="clear" w:color="auto" w:fill="FFFFFF"/>
        </w:rPr>
      </w:pPr>
    </w:p>
    <w:p w14:paraId="0236BEF1">
      <w:pPr>
        <w:pStyle w:val="6"/>
        <w:numPr>
          <w:ilvl w:val="0"/>
          <w:numId w:val="1"/>
        </w:numPr>
        <w:spacing w:before="0" w:beforeAutospacing="0" w:after="0" w:afterAutospacing="0"/>
        <w:ind w:left="0"/>
        <w:jc w:val="center"/>
        <w:rPr>
          <w:rStyle w:val="9"/>
          <w:rFonts w:ascii="黑体" w:hAnsi="黑体" w:eastAsia="黑体" w:cs="Arial"/>
          <w:b w:val="0"/>
          <w:color w:val="222222"/>
          <w:sz w:val="32"/>
          <w:szCs w:val="32"/>
        </w:rPr>
      </w:pPr>
      <w:r>
        <w:rPr>
          <w:rStyle w:val="9"/>
          <w:rFonts w:ascii="黑体" w:hAnsi="黑体" w:eastAsia="黑体" w:cs="Arial"/>
          <w:b w:val="0"/>
          <w:color w:val="222222"/>
          <w:sz w:val="32"/>
          <w:szCs w:val="32"/>
        </w:rPr>
        <w:t>总则</w:t>
      </w:r>
    </w:p>
    <w:p w14:paraId="48DB5D90">
      <w:pPr>
        <w:pStyle w:val="6"/>
        <w:spacing w:before="0" w:beforeAutospacing="0" w:after="0" w:afterAutospacing="0"/>
        <w:rPr>
          <w:rFonts w:ascii="黑体" w:hAnsi="黑体" w:eastAsia="黑体" w:cs="Arial"/>
          <w:b/>
          <w:bCs/>
          <w:color w:val="222222"/>
          <w:sz w:val="32"/>
          <w:szCs w:val="32"/>
        </w:rPr>
      </w:pPr>
    </w:p>
    <w:p w14:paraId="0EF0BB9C">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第一条</w:t>
      </w:r>
      <w:r>
        <w:rPr>
          <w:rFonts w:ascii="Calibri" w:hAnsi="Calibri" w:eastAsia="仿宋" w:cs="Calibri"/>
          <w:color w:val="222222"/>
          <w:sz w:val="32"/>
          <w:szCs w:val="32"/>
        </w:rPr>
        <w:t> </w:t>
      </w:r>
      <w:r>
        <w:rPr>
          <w:rFonts w:ascii="仿宋" w:hAnsi="仿宋" w:eastAsia="仿宋" w:cs="Arial"/>
          <w:color w:val="222222"/>
          <w:sz w:val="32"/>
          <w:szCs w:val="32"/>
        </w:rPr>
        <w:t>为了防止在体育运动中使用兴奋剂，保护体育运动参与者的身心健康，维护体育竞赛的公平竞争，维护国家荣誉和形象，弘扬社会主义核心价值观和中华体育精神，规范反兴奋剂工作，根据《中华人民共和国体育法》《反兴奋剂条例》等法律法规，制定本办法。</w:t>
      </w:r>
    </w:p>
    <w:p w14:paraId="445A074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第二条</w:t>
      </w:r>
      <w:r>
        <w:rPr>
          <w:rFonts w:ascii="Calibri" w:hAnsi="Calibri" w:eastAsia="仿宋" w:cs="Calibri"/>
          <w:color w:val="222222"/>
          <w:sz w:val="32"/>
          <w:szCs w:val="32"/>
        </w:rPr>
        <w:t> </w:t>
      </w:r>
      <w:r>
        <w:rPr>
          <w:rFonts w:ascii="仿宋" w:hAnsi="仿宋" w:eastAsia="仿宋" w:cs="Arial"/>
          <w:color w:val="222222"/>
          <w:sz w:val="32"/>
          <w:szCs w:val="32"/>
        </w:rPr>
        <w:t>本办法所称兴奋剂，是指年度《兴奋剂目录》所列的禁用物质和禁用方法。</w:t>
      </w:r>
    </w:p>
    <w:p w14:paraId="4CD5B35D">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本办法所称兴奋剂违规包括以下情形：</w:t>
      </w:r>
    </w:p>
    <w:p w14:paraId="3D4ED3B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(一)检测结果阳性；</w:t>
      </w:r>
    </w:p>
    <w:p w14:paraId="141C367F">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(二)使用或企图使用兴奋剂；</w:t>
      </w:r>
    </w:p>
    <w:p w14:paraId="1963700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(三)逃避、拒绝或未能完成样本采集；</w:t>
      </w:r>
    </w:p>
    <w:p w14:paraId="16CD270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(四)违反行踪信息管理规定；</w:t>
      </w:r>
    </w:p>
    <w:p w14:paraId="575F7F73">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(五)篡改或企图篡改兴奋剂管制环节；</w:t>
      </w:r>
    </w:p>
    <w:p w14:paraId="05A9504C">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(六)持有兴奋剂；</w:t>
      </w:r>
    </w:p>
    <w:p w14:paraId="4B7A2E3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(七)从事或企图从事兴奋剂交易；</w:t>
      </w:r>
    </w:p>
    <w:p w14:paraId="294B5C61">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(八)对运动员施用或企图施用兴奋剂；</w:t>
      </w:r>
    </w:p>
    <w:p w14:paraId="4B23C6C3">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(九)共谋或企图共谋兴奋剂违规行为；</w:t>
      </w:r>
    </w:p>
    <w:p w14:paraId="368CF24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(十)违反禁止合作规定；</w:t>
      </w:r>
    </w:p>
    <w:p w14:paraId="5837FDB6">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(十一)阻止举报或报复举报人；</w:t>
      </w:r>
    </w:p>
    <w:p w14:paraId="770D207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(十二)其他法律法规或者国家体育总局的规范性文件明确将其规定为兴奋剂违规的行为。</w:t>
      </w:r>
    </w:p>
    <w:p w14:paraId="4DA40811">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第三条</w:t>
      </w:r>
      <w:r>
        <w:rPr>
          <w:rFonts w:ascii="Calibri" w:hAnsi="Calibri" w:eastAsia="仿宋" w:cs="Calibri"/>
          <w:color w:val="222222"/>
          <w:sz w:val="32"/>
          <w:szCs w:val="32"/>
        </w:rPr>
        <w:t> </w:t>
      </w:r>
      <w:r>
        <w:rPr>
          <w:rFonts w:ascii="仿宋" w:hAnsi="仿宋" w:eastAsia="仿宋" w:cs="Arial"/>
          <w:color w:val="222222"/>
          <w:sz w:val="32"/>
          <w:szCs w:val="32"/>
        </w:rPr>
        <w:t>体育运动中的反兴奋剂工作，适用本办法。</w:t>
      </w:r>
    </w:p>
    <w:p w14:paraId="28D657E8">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第四条</w:t>
      </w:r>
      <w:r>
        <w:rPr>
          <w:rFonts w:ascii="Calibri" w:hAnsi="Calibri" w:eastAsia="仿宋" w:cs="Calibri"/>
          <w:color w:val="222222"/>
          <w:sz w:val="32"/>
          <w:szCs w:val="32"/>
        </w:rPr>
        <w:t> </w:t>
      </w:r>
      <w:r>
        <w:rPr>
          <w:rFonts w:ascii="仿宋" w:hAnsi="仿宋" w:eastAsia="仿宋" w:cs="Arial"/>
          <w:color w:val="222222"/>
          <w:sz w:val="32"/>
          <w:szCs w:val="32"/>
        </w:rPr>
        <w:t>反兴奋剂工作坚持“零容忍”，坚持严令禁止、严格检查、严肃处理的方针，推动构建“拿干净金牌”的反兴奋剂长效治理体系。</w:t>
      </w:r>
    </w:p>
    <w:p w14:paraId="41F7300E">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反兴奋剂工作遵循以下原则：</w:t>
      </w:r>
    </w:p>
    <w:p w14:paraId="42FB5B9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(一)预防为主，惩防并举；</w:t>
      </w:r>
    </w:p>
    <w:p w14:paraId="3FF53C7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(二)公平、公正、公开；</w:t>
      </w:r>
    </w:p>
    <w:p w14:paraId="3E1CA8AC">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(三)维护运动员和辅助人员合法权益。</w:t>
      </w:r>
    </w:p>
    <w:p w14:paraId="6C7F9E5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第五条</w:t>
      </w:r>
      <w:r>
        <w:rPr>
          <w:rFonts w:ascii="Calibri" w:hAnsi="Calibri" w:eastAsia="仿宋" w:cs="Calibri"/>
          <w:color w:val="222222"/>
          <w:sz w:val="32"/>
          <w:szCs w:val="32"/>
        </w:rPr>
        <w:t> </w:t>
      </w:r>
      <w:r>
        <w:rPr>
          <w:rFonts w:ascii="仿宋" w:hAnsi="仿宋" w:eastAsia="仿宋" w:cs="Arial"/>
          <w:color w:val="222222"/>
          <w:sz w:val="32"/>
          <w:szCs w:val="32"/>
        </w:rPr>
        <w:t>国家体育总局主管全国的反兴奋剂工作。地方各级体育行政部门主管本地区的反兴奋剂工作。</w:t>
      </w:r>
    </w:p>
    <w:p w14:paraId="76EAFB06">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国家反兴奋剂机构、全国性体育社会团体、国家运动项目管理单位、运动员管理单位、全国综合性运动会组织机构在各自职责范围内负责开展反兴奋剂工作。</w:t>
      </w:r>
    </w:p>
    <w:p w14:paraId="2FACF9A9">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第六条</w:t>
      </w:r>
      <w:r>
        <w:rPr>
          <w:rFonts w:ascii="Calibri" w:hAnsi="Calibri" w:eastAsia="仿宋" w:cs="Calibri"/>
          <w:color w:val="222222"/>
          <w:sz w:val="32"/>
          <w:szCs w:val="32"/>
        </w:rPr>
        <w:t> </w:t>
      </w:r>
      <w:r>
        <w:rPr>
          <w:rFonts w:ascii="仿宋" w:hAnsi="仿宋" w:eastAsia="仿宋" w:cs="Arial"/>
          <w:color w:val="222222"/>
          <w:sz w:val="32"/>
          <w:szCs w:val="32"/>
        </w:rPr>
        <w:t>鼓励对兴奋剂违规进行举报。</w:t>
      </w:r>
    </w:p>
    <w:p w14:paraId="19F2923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第七条</w:t>
      </w:r>
      <w:r>
        <w:rPr>
          <w:rFonts w:ascii="Calibri" w:hAnsi="Calibri" w:eastAsia="仿宋" w:cs="Calibri"/>
          <w:color w:val="222222"/>
          <w:sz w:val="32"/>
          <w:szCs w:val="32"/>
        </w:rPr>
        <w:t> </w:t>
      </w:r>
      <w:r>
        <w:rPr>
          <w:rFonts w:ascii="仿宋" w:hAnsi="仿宋" w:eastAsia="仿宋" w:cs="Arial"/>
          <w:color w:val="222222"/>
          <w:sz w:val="32"/>
          <w:szCs w:val="32"/>
        </w:rPr>
        <w:t>本办法规定体育主管部门以及其他相关体育单位在反兴奋剂管理中的职责权限等内容。</w:t>
      </w:r>
    </w:p>
    <w:p w14:paraId="09DF8526">
      <w:pPr>
        <w:pStyle w:val="6"/>
        <w:spacing w:before="0" w:beforeAutospacing="0" w:after="0" w:afterAutospacing="0"/>
        <w:ind w:firstLine="645"/>
        <w:rPr>
          <w:rFonts w:ascii="仿宋" w:hAnsi="仿宋" w:eastAsia="仿宋" w:cs="Arial"/>
          <w:color w:val="222222"/>
          <w:sz w:val="32"/>
          <w:szCs w:val="32"/>
        </w:rPr>
      </w:pPr>
      <w:r>
        <w:rPr>
          <w:rFonts w:ascii="仿宋" w:hAnsi="仿宋" w:eastAsia="仿宋" w:cs="Arial"/>
          <w:color w:val="222222"/>
          <w:sz w:val="32"/>
          <w:szCs w:val="32"/>
        </w:rPr>
        <w:t>反兴奋剂工作的技术性、操作性规则由国家体育总局参照《世界反兴奋剂条例》的要求，制定《反兴奋剂规则》。</w:t>
      </w:r>
    </w:p>
    <w:p w14:paraId="44D9641E">
      <w:pPr>
        <w:pStyle w:val="6"/>
        <w:spacing w:before="0" w:beforeAutospacing="0" w:after="0" w:afterAutospacing="0"/>
        <w:ind w:firstLine="645"/>
        <w:rPr>
          <w:rFonts w:ascii="仿宋" w:hAnsi="仿宋" w:eastAsia="仿宋" w:cs="Arial"/>
          <w:color w:val="222222"/>
          <w:sz w:val="32"/>
          <w:szCs w:val="32"/>
        </w:rPr>
      </w:pPr>
    </w:p>
    <w:p w14:paraId="5F03B561">
      <w:pPr>
        <w:pStyle w:val="6"/>
        <w:spacing w:before="0" w:beforeAutospacing="0" w:after="0" w:afterAutospacing="0"/>
        <w:jc w:val="center"/>
        <w:rPr>
          <w:rStyle w:val="9"/>
          <w:rFonts w:ascii="黑体" w:hAnsi="黑体" w:eastAsia="黑体" w:cs="Arial"/>
          <w:b w:val="0"/>
          <w:color w:val="222222"/>
          <w:sz w:val="32"/>
          <w:szCs w:val="32"/>
        </w:rPr>
      </w:pPr>
      <w:r>
        <w:rPr>
          <w:rStyle w:val="9"/>
          <w:rFonts w:ascii="黑体" w:hAnsi="黑体" w:eastAsia="黑体" w:cs="Arial"/>
          <w:b w:val="0"/>
          <w:color w:val="222222"/>
          <w:sz w:val="32"/>
          <w:szCs w:val="32"/>
        </w:rPr>
        <w:t>第二章 反兴奋剂工作职责</w:t>
      </w:r>
    </w:p>
    <w:p w14:paraId="2DC757CC">
      <w:pPr>
        <w:pStyle w:val="6"/>
        <w:spacing w:before="0" w:beforeAutospacing="0" w:after="0" w:afterAutospacing="0"/>
        <w:jc w:val="center"/>
        <w:rPr>
          <w:rFonts w:ascii="黑体" w:hAnsi="黑体" w:eastAsia="黑体" w:cs="Arial"/>
          <w:b/>
          <w:color w:val="222222"/>
          <w:sz w:val="32"/>
          <w:szCs w:val="32"/>
        </w:rPr>
      </w:pPr>
    </w:p>
    <w:p w14:paraId="2C523B6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第八条</w:t>
      </w:r>
      <w:r>
        <w:rPr>
          <w:rFonts w:ascii="Calibri" w:hAnsi="Calibri" w:eastAsia="仿宋" w:cs="Calibri"/>
          <w:color w:val="222222"/>
          <w:sz w:val="32"/>
          <w:szCs w:val="32"/>
        </w:rPr>
        <w:t> </w:t>
      </w:r>
      <w:r>
        <w:rPr>
          <w:rFonts w:ascii="仿宋" w:hAnsi="仿宋" w:eastAsia="仿宋" w:cs="Arial"/>
          <w:color w:val="222222"/>
          <w:sz w:val="32"/>
          <w:szCs w:val="32"/>
        </w:rPr>
        <w:t>国家体育总局领导、协调和监督全国的反兴奋剂工作，具体职责包括：</w:t>
      </w:r>
    </w:p>
    <w:p w14:paraId="69BCDCB7">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(一)制定反兴奋剂管理制度与规章；</w:t>
      </w:r>
    </w:p>
    <w:p w14:paraId="0D6C489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(二)制定反兴奋剂发展规划；</w:t>
      </w:r>
    </w:p>
    <w:p w14:paraId="0E28FF0E">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(三)开展反兴奋剂宣传教育；</w:t>
      </w:r>
    </w:p>
    <w:p w14:paraId="55CD72C8">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(四)制定兴奋剂检测机构管理制度并实施监管；</w:t>
      </w:r>
    </w:p>
    <w:p w14:paraId="45B9536C">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(五)协调和推动跨部门合作开展兴奋剂综合治理；</w:t>
      </w:r>
    </w:p>
    <w:p w14:paraId="71C23E3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(六)指导、监督省级体育行政部门、国家反兴奋剂机构、全国性体育社会团体、国家运动项目管理单位反兴奋剂工作的实施；</w:t>
      </w:r>
    </w:p>
    <w:p w14:paraId="43DA622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(七)开展政府间反兴奋剂国际交流与合作。</w:t>
      </w:r>
    </w:p>
    <w:p w14:paraId="2BF3803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第九条</w:t>
      </w:r>
      <w:r>
        <w:rPr>
          <w:rFonts w:ascii="Calibri" w:hAnsi="Calibri" w:eastAsia="仿宋" w:cs="Calibri"/>
          <w:color w:val="222222"/>
          <w:sz w:val="32"/>
          <w:szCs w:val="32"/>
        </w:rPr>
        <w:t> </w:t>
      </w:r>
      <w:r>
        <w:rPr>
          <w:rFonts w:ascii="仿宋" w:hAnsi="仿宋" w:eastAsia="仿宋" w:cs="Arial"/>
          <w:color w:val="222222"/>
          <w:sz w:val="32"/>
          <w:szCs w:val="32"/>
        </w:rPr>
        <w:t>地方各级体育行政部门领导、协调和监督本地区的反兴奋剂工作。</w:t>
      </w:r>
    </w:p>
    <w:p w14:paraId="378A1A2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省级体育行政部门应当设立专项经费，配备专职人员，做好反兴奋剂工作。</w:t>
      </w:r>
    </w:p>
    <w:p w14:paraId="481A9DD7">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第十条</w:t>
      </w:r>
      <w:r>
        <w:rPr>
          <w:rFonts w:ascii="Calibri" w:hAnsi="Calibri" w:eastAsia="仿宋" w:cs="Calibri"/>
          <w:color w:val="222222"/>
          <w:sz w:val="32"/>
          <w:szCs w:val="32"/>
        </w:rPr>
        <w:t> </w:t>
      </w:r>
      <w:r>
        <w:rPr>
          <w:rFonts w:ascii="仿宋" w:hAnsi="仿宋" w:eastAsia="仿宋" w:cs="Arial"/>
          <w:color w:val="222222"/>
          <w:sz w:val="32"/>
          <w:szCs w:val="32"/>
        </w:rPr>
        <w:t>国家反兴奋剂机构的具体职责包括：</w:t>
      </w:r>
    </w:p>
    <w:p w14:paraId="4026201D">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(一)制定教育、检查、调查、结果管理、听证和治疗用药豁免等方面的程序和标准；</w:t>
      </w:r>
    </w:p>
    <w:p w14:paraId="11AADEA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(二)组织实施兴奋剂检查；</w:t>
      </w:r>
    </w:p>
    <w:p w14:paraId="632CE956">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(三)实施对涉嫌兴奋剂违规的调查、听证、结果管理和监督；</w:t>
      </w:r>
    </w:p>
    <w:p w14:paraId="4D007051">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(四)开展反兴奋剂科学研究、宣传教育和社会服务；</w:t>
      </w:r>
    </w:p>
    <w:p w14:paraId="24E1B8B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(五)参与兴奋剂综合治理；</w:t>
      </w:r>
    </w:p>
    <w:p w14:paraId="0278A798">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(六)组织开展反兴奋剂国际交流；</w:t>
      </w:r>
    </w:p>
    <w:p w14:paraId="69C21489">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(七)指导、协调、监督各省区市和各级各类体育组织开展反兴奋剂工作。</w:t>
      </w:r>
    </w:p>
    <w:p w14:paraId="559AACF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第十一条</w:t>
      </w:r>
      <w:r>
        <w:rPr>
          <w:rFonts w:ascii="Calibri" w:hAnsi="Calibri" w:eastAsia="仿宋" w:cs="Calibri"/>
          <w:color w:val="222222"/>
          <w:sz w:val="32"/>
          <w:szCs w:val="32"/>
        </w:rPr>
        <w:t> </w:t>
      </w:r>
      <w:r>
        <w:rPr>
          <w:rFonts w:ascii="仿宋" w:hAnsi="仿宋" w:eastAsia="仿宋" w:cs="Arial"/>
          <w:color w:val="222222"/>
          <w:sz w:val="32"/>
          <w:szCs w:val="32"/>
        </w:rPr>
        <w:t>全国性体育社会团体按照有关法律法规、本办法和社团章程负责本社团的反兴奋剂工作，具体职责包括：</w:t>
      </w:r>
    </w:p>
    <w:p w14:paraId="29E9EDAD">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(一)制定本社团反兴奋剂工作规则和工作计划，明确反兴奋剂工作职责和责任；</w:t>
      </w:r>
    </w:p>
    <w:p w14:paraId="0E4FC1F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(二)加强对国家队反兴奋剂宣传教育和管理，提高管理人员反兴奋剂意识和能力；</w:t>
      </w:r>
    </w:p>
    <w:p w14:paraId="24D007F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(三)监督地方体育社会团体履行反兴奋剂职责；</w:t>
      </w:r>
    </w:p>
    <w:p w14:paraId="5BCDE777">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(四)开展所属运动员及有关人员涉嫌兴奋剂违规的调查，实施兴奋剂违规处理。</w:t>
      </w:r>
    </w:p>
    <w:p w14:paraId="0535B98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第十二条</w:t>
      </w:r>
      <w:r>
        <w:rPr>
          <w:rFonts w:ascii="Calibri" w:hAnsi="Calibri" w:eastAsia="仿宋" w:cs="Calibri"/>
          <w:color w:val="222222"/>
          <w:sz w:val="32"/>
          <w:szCs w:val="32"/>
        </w:rPr>
        <w:t> </w:t>
      </w:r>
      <w:r>
        <w:rPr>
          <w:rFonts w:ascii="仿宋" w:hAnsi="仿宋" w:eastAsia="仿宋" w:cs="Arial"/>
          <w:color w:val="222222"/>
          <w:sz w:val="32"/>
          <w:szCs w:val="32"/>
        </w:rPr>
        <w:t>国家运动项目管理单位按照有关法律法规和本办法负责所管理运动项目的反兴奋剂工作，具体职责包括：</w:t>
      </w:r>
    </w:p>
    <w:p w14:paraId="791BBFE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(一)制定所管理运动项目反兴奋剂工作计划，明确反兴奋剂工作职责和责任；</w:t>
      </w:r>
    </w:p>
    <w:p w14:paraId="389D8916">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(二)加强对国家队反兴奋剂宣传教育和管理，提高管理人员反兴奋剂意识和能力；</w:t>
      </w:r>
    </w:p>
    <w:p w14:paraId="0EA0E331">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(三)监督地方运动项目管理单位履行反兴奋剂职责；</w:t>
      </w:r>
    </w:p>
    <w:p w14:paraId="4D388C3E">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(四)开展所属运动员及有关人员涉嫌兴奋剂违规的调查。</w:t>
      </w:r>
    </w:p>
    <w:p w14:paraId="0D68FE4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第十三条</w:t>
      </w:r>
      <w:r>
        <w:rPr>
          <w:rFonts w:ascii="Calibri" w:hAnsi="Calibri" w:eastAsia="仿宋" w:cs="Calibri"/>
          <w:color w:val="222222"/>
          <w:sz w:val="32"/>
          <w:szCs w:val="32"/>
        </w:rPr>
        <w:t> </w:t>
      </w:r>
      <w:r>
        <w:rPr>
          <w:rFonts w:ascii="仿宋" w:hAnsi="仿宋" w:eastAsia="仿宋" w:cs="Arial"/>
          <w:color w:val="222222"/>
          <w:sz w:val="32"/>
          <w:szCs w:val="32"/>
        </w:rPr>
        <w:t>按照“谁组队、谁管理、谁负责”的原则，负责备战任务的国家运动项目管理单位、全国性体育社会团体等单位承担国家队反兴奋剂工作职责，省级及以下体育行政部门承担省级及以下运动队反兴奋剂工作职责，同时配合做好入选国家队运动员的反兴奋剂工作。</w:t>
      </w:r>
    </w:p>
    <w:p w14:paraId="0FEF451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第十四条</w:t>
      </w:r>
      <w:r>
        <w:rPr>
          <w:rFonts w:ascii="Calibri" w:hAnsi="Calibri" w:eastAsia="仿宋" w:cs="Calibri"/>
          <w:color w:val="222222"/>
          <w:sz w:val="32"/>
          <w:szCs w:val="32"/>
        </w:rPr>
        <w:t> </w:t>
      </w:r>
      <w:r>
        <w:rPr>
          <w:rFonts w:ascii="仿宋" w:hAnsi="仿宋" w:eastAsia="仿宋" w:cs="Arial"/>
          <w:color w:val="222222"/>
          <w:sz w:val="32"/>
          <w:szCs w:val="32"/>
        </w:rPr>
        <w:t>运动员管理单位包括运动员所属单位和有资格代表运动员进行注册的单位。</w:t>
      </w:r>
    </w:p>
    <w:p w14:paraId="6939E9F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运动员管理单位应当组织开展反兴奋剂宣传教育，加强药品、营养品、食品的管理，监督和协助运动员填报行踪等相关信息，对所属运动员及有关人员涉嫌的兴奋剂违规主动进行调查，配合兴奋剂检查与调查。</w:t>
      </w:r>
    </w:p>
    <w:p w14:paraId="6DD11FBD">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第十五条</w:t>
      </w:r>
      <w:r>
        <w:rPr>
          <w:rFonts w:ascii="Calibri" w:hAnsi="Calibri" w:eastAsia="仿宋" w:cs="Calibri"/>
          <w:color w:val="222222"/>
          <w:sz w:val="32"/>
          <w:szCs w:val="32"/>
        </w:rPr>
        <w:t> </w:t>
      </w:r>
      <w:r>
        <w:rPr>
          <w:rFonts w:ascii="仿宋" w:hAnsi="仿宋" w:eastAsia="仿宋" w:cs="Arial"/>
          <w:color w:val="222222"/>
          <w:sz w:val="32"/>
          <w:szCs w:val="32"/>
        </w:rPr>
        <w:t>全国综合性运动会组织机构按照有关法律法规、本办法和运动会规程负责运动会反兴奋剂工作，制定与本办法和《反兴奋剂规则》一致的反兴奋剂规定，开展兴奋剂检查、宣传教育等反兴奋剂工作，在其管理权限内对兴奋剂违规作出处理。</w:t>
      </w:r>
    </w:p>
    <w:p w14:paraId="0ABB774C">
      <w:pPr>
        <w:pStyle w:val="6"/>
        <w:spacing w:before="0" w:beforeAutospacing="0" w:after="0" w:afterAutospacing="0"/>
        <w:jc w:val="center"/>
        <w:rPr>
          <w:rStyle w:val="9"/>
          <w:rFonts w:ascii="黑体" w:hAnsi="黑体" w:eastAsia="黑体" w:cs="Arial"/>
          <w:b w:val="0"/>
          <w:color w:val="222222"/>
          <w:sz w:val="32"/>
          <w:szCs w:val="32"/>
        </w:rPr>
      </w:pPr>
      <w:r>
        <w:rPr>
          <w:rFonts w:ascii="仿宋" w:hAnsi="仿宋" w:eastAsia="仿宋" w:cs="Arial"/>
          <w:b/>
          <w:bCs/>
          <w:color w:val="222222"/>
          <w:sz w:val="32"/>
          <w:szCs w:val="32"/>
        </w:rPr>
        <w:br w:type="textWrapping"/>
      </w:r>
      <w:r>
        <w:rPr>
          <w:rStyle w:val="9"/>
          <w:rFonts w:ascii="黑体" w:hAnsi="黑体" w:eastAsia="黑体" w:cs="Arial"/>
          <w:b w:val="0"/>
          <w:color w:val="222222"/>
          <w:sz w:val="32"/>
          <w:szCs w:val="32"/>
        </w:rPr>
        <w:t>第三章 反兴奋剂宣传教育</w:t>
      </w:r>
    </w:p>
    <w:p w14:paraId="0AE17756">
      <w:pPr>
        <w:pStyle w:val="6"/>
        <w:spacing w:before="0" w:beforeAutospacing="0" w:after="0" w:afterAutospacing="0"/>
        <w:jc w:val="center"/>
        <w:rPr>
          <w:rFonts w:ascii="黑体" w:hAnsi="黑体" w:eastAsia="黑体" w:cs="Arial"/>
          <w:b/>
          <w:color w:val="222222"/>
          <w:sz w:val="32"/>
          <w:szCs w:val="32"/>
        </w:rPr>
      </w:pPr>
    </w:p>
    <w:p w14:paraId="54DC45CC">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第十六条</w:t>
      </w:r>
      <w:r>
        <w:rPr>
          <w:rFonts w:ascii="Calibri" w:hAnsi="Calibri" w:eastAsia="仿宋" w:cs="Calibri"/>
          <w:color w:val="222222"/>
          <w:sz w:val="32"/>
          <w:szCs w:val="32"/>
        </w:rPr>
        <w:t> </w:t>
      </w:r>
      <w:r>
        <w:rPr>
          <w:rFonts w:ascii="仿宋" w:hAnsi="仿宋" w:eastAsia="仿宋" w:cs="Arial"/>
          <w:color w:val="222222"/>
          <w:sz w:val="32"/>
          <w:szCs w:val="32"/>
        </w:rPr>
        <w:t>各级体育行政部门、国家反兴奋剂机构、全国性体育社会团体、国家运动项目管理单位、运动员管理单位、全国综合性运动会组织机构应当重视和加强反兴奋剂宣传，积极与媒体合作，通过各种形式开展反兴奋剂宣传工作，全面推进反兴奋剂教育，共同构建反兴奋剂教育预防体系。</w:t>
      </w:r>
    </w:p>
    <w:p w14:paraId="216E7CE0">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第十七条</w:t>
      </w:r>
      <w:r>
        <w:rPr>
          <w:rFonts w:ascii="Calibri" w:hAnsi="Calibri" w:eastAsia="仿宋" w:cs="Calibri"/>
          <w:color w:val="222222"/>
          <w:sz w:val="32"/>
          <w:szCs w:val="32"/>
        </w:rPr>
        <w:t> </w:t>
      </w:r>
      <w:r>
        <w:rPr>
          <w:rFonts w:ascii="仿宋" w:hAnsi="仿宋" w:eastAsia="仿宋" w:cs="Arial"/>
          <w:color w:val="222222"/>
          <w:sz w:val="32"/>
          <w:szCs w:val="32"/>
        </w:rPr>
        <w:t>各级各类学校包括高等体育院校、体育运动学校和业余体校等应当开设反兴奋剂教育课程或讲座。</w:t>
      </w:r>
    </w:p>
    <w:p w14:paraId="26B9681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第十八条</w:t>
      </w:r>
      <w:r>
        <w:rPr>
          <w:rFonts w:ascii="Calibri" w:hAnsi="Calibri" w:eastAsia="仿宋" w:cs="Calibri"/>
          <w:color w:val="222222"/>
          <w:sz w:val="32"/>
          <w:szCs w:val="32"/>
        </w:rPr>
        <w:t> </w:t>
      </w:r>
      <w:r>
        <w:rPr>
          <w:rFonts w:ascii="仿宋" w:hAnsi="仿宋" w:eastAsia="仿宋" w:cs="Arial"/>
          <w:color w:val="222222"/>
          <w:sz w:val="32"/>
          <w:szCs w:val="32"/>
        </w:rPr>
        <w:t>国家体育总局负责建立反兴奋剂教育考试制度，国家反兴奋剂机构负责制定反兴奋剂教育考试细则并组织实施。地方各级体育行政部门、全国性体育社会团体、国家运动项目管理单位、运动员管理单位负责实施反兴奋剂教育考试制度，并将其作为运动员和辅助人员入队入职、注册和参赛的必要条件。</w:t>
      </w:r>
    </w:p>
    <w:p w14:paraId="31DAA4C7">
      <w:pPr>
        <w:pStyle w:val="6"/>
        <w:spacing w:before="0" w:beforeAutospacing="0" w:after="0" w:afterAutospacing="0"/>
        <w:jc w:val="center"/>
        <w:rPr>
          <w:rStyle w:val="9"/>
          <w:rFonts w:ascii="黑体" w:hAnsi="黑体" w:eastAsia="黑体" w:cs="Arial"/>
          <w:b w:val="0"/>
          <w:color w:val="222222"/>
          <w:sz w:val="32"/>
          <w:szCs w:val="32"/>
        </w:rPr>
      </w:pPr>
      <w:r>
        <w:rPr>
          <w:rFonts w:ascii="仿宋" w:hAnsi="仿宋" w:eastAsia="仿宋" w:cs="Arial"/>
          <w:b/>
          <w:bCs/>
          <w:color w:val="222222"/>
          <w:sz w:val="32"/>
          <w:szCs w:val="32"/>
        </w:rPr>
        <w:br w:type="textWrapping"/>
      </w:r>
      <w:r>
        <w:rPr>
          <w:rStyle w:val="9"/>
          <w:rFonts w:ascii="黑体" w:hAnsi="黑体" w:eastAsia="黑体" w:cs="Arial"/>
          <w:b w:val="0"/>
          <w:color w:val="222222"/>
          <w:sz w:val="32"/>
          <w:szCs w:val="32"/>
        </w:rPr>
        <w:t>第四章 兴奋剂检查与调查</w:t>
      </w:r>
    </w:p>
    <w:p w14:paraId="22C93078">
      <w:pPr>
        <w:pStyle w:val="6"/>
        <w:spacing w:before="0" w:beforeAutospacing="0" w:after="0" w:afterAutospacing="0"/>
        <w:jc w:val="center"/>
        <w:rPr>
          <w:rFonts w:ascii="黑体" w:hAnsi="黑体" w:eastAsia="黑体" w:cs="Arial"/>
          <w:b/>
          <w:color w:val="222222"/>
          <w:sz w:val="32"/>
          <w:szCs w:val="32"/>
        </w:rPr>
      </w:pPr>
    </w:p>
    <w:p w14:paraId="2BF0342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第十九条</w:t>
      </w:r>
      <w:r>
        <w:rPr>
          <w:rFonts w:ascii="Calibri" w:hAnsi="Calibri" w:eastAsia="仿宋" w:cs="Calibri"/>
          <w:color w:val="222222"/>
          <w:sz w:val="32"/>
          <w:szCs w:val="32"/>
        </w:rPr>
        <w:t> </w:t>
      </w:r>
      <w:r>
        <w:rPr>
          <w:rFonts w:ascii="仿宋" w:hAnsi="仿宋" w:eastAsia="仿宋" w:cs="Arial"/>
          <w:color w:val="222222"/>
          <w:sz w:val="32"/>
          <w:szCs w:val="32"/>
        </w:rPr>
        <w:t>兴奋剂检查包括：</w:t>
      </w:r>
    </w:p>
    <w:p w14:paraId="390D3EB7">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(一)列入国家年度兴奋剂检查计划的检查；</w:t>
      </w:r>
    </w:p>
    <w:p w14:paraId="4C2BD310">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(二)经国家反兴奋剂机构批准或者同意的委托检查；</w:t>
      </w:r>
    </w:p>
    <w:p w14:paraId="484CEBD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(三)国家体育总局指定或者授权开展的其他检查。</w:t>
      </w:r>
    </w:p>
    <w:p w14:paraId="49FFBD6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第二十条</w:t>
      </w:r>
      <w:r>
        <w:rPr>
          <w:rFonts w:ascii="Calibri" w:hAnsi="Calibri" w:eastAsia="仿宋" w:cs="Calibri"/>
          <w:color w:val="222222"/>
          <w:sz w:val="32"/>
          <w:szCs w:val="32"/>
        </w:rPr>
        <w:t> </w:t>
      </w:r>
      <w:r>
        <w:rPr>
          <w:rFonts w:ascii="仿宋" w:hAnsi="仿宋" w:eastAsia="仿宋" w:cs="Arial"/>
          <w:color w:val="222222"/>
          <w:sz w:val="32"/>
          <w:szCs w:val="32"/>
        </w:rPr>
        <w:t>国家反兴奋剂机构负责确定兴奋剂检查程序和标准，管理兴奋剂检查工作人员，组织实施兴奋剂检查，指导和监督委托兴奋剂检查的开展等各项工作。</w:t>
      </w:r>
    </w:p>
    <w:p w14:paraId="73127B73">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第二十一条</w:t>
      </w:r>
      <w:r>
        <w:rPr>
          <w:rStyle w:val="9"/>
          <w:rFonts w:ascii="Calibri" w:hAnsi="Calibri" w:eastAsia="仿宋" w:cs="Calibri"/>
          <w:color w:val="222222"/>
          <w:sz w:val="32"/>
          <w:szCs w:val="32"/>
        </w:rPr>
        <w:t> </w:t>
      </w:r>
      <w:r>
        <w:rPr>
          <w:rFonts w:ascii="仿宋" w:hAnsi="仿宋" w:eastAsia="仿宋" w:cs="Arial"/>
          <w:color w:val="222222"/>
          <w:sz w:val="32"/>
          <w:szCs w:val="32"/>
        </w:rPr>
        <w:t>任何单位和个人不得组织未经国家体育总局、国家反兴奋剂机构或者其授权部门批准的兴奋剂检查。</w:t>
      </w:r>
    </w:p>
    <w:p w14:paraId="2716D2D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第二十二条</w:t>
      </w:r>
      <w:r>
        <w:rPr>
          <w:rFonts w:ascii="Calibri" w:hAnsi="Calibri" w:eastAsia="仿宋" w:cs="Calibri"/>
          <w:color w:val="222222"/>
          <w:sz w:val="32"/>
          <w:szCs w:val="32"/>
        </w:rPr>
        <w:t> </w:t>
      </w:r>
      <w:r>
        <w:rPr>
          <w:rFonts w:ascii="仿宋" w:hAnsi="仿宋" w:eastAsia="仿宋" w:cs="Arial"/>
          <w:color w:val="222222"/>
          <w:sz w:val="32"/>
          <w:szCs w:val="32"/>
        </w:rPr>
        <w:t>国家体育总局、地方各级人民政府体育主管部门、国家反兴奋剂机构、全国性体育社会团体、国家运动项目管理单位、运动员管理单位有权依据法律法规和本办法，对涉嫌兴奋剂违规的行为开展调查。</w:t>
      </w:r>
    </w:p>
    <w:p w14:paraId="31A3DA93">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国家反兴奋剂机构应当收集、评估和利用信息与情报，对其中可能存在的兴奋剂违规开展调查。重大、复杂的兴奋剂事件，由国家体育总局组织国家反兴奋剂机构和相关单位开展调查。</w:t>
      </w:r>
    </w:p>
    <w:p w14:paraId="76050A06">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第二十三条</w:t>
      </w:r>
      <w:r>
        <w:rPr>
          <w:rFonts w:ascii="Calibri" w:hAnsi="Calibri" w:eastAsia="仿宋" w:cs="Calibri"/>
          <w:color w:val="222222"/>
          <w:sz w:val="32"/>
          <w:szCs w:val="32"/>
        </w:rPr>
        <w:t> </w:t>
      </w:r>
      <w:r>
        <w:rPr>
          <w:rFonts w:ascii="仿宋" w:hAnsi="仿宋" w:eastAsia="仿宋" w:cs="Arial"/>
          <w:color w:val="222222"/>
          <w:sz w:val="32"/>
          <w:szCs w:val="32"/>
        </w:rPr>
        <w:t>兴奋剂检查、调查工作人员履行兴奋剂检查、调查职责时，有权依法进入体育训练场所、体育竞赛场所、运动员和辅助人员驻地等，工作人员应主动出示证件和授权文件。有关单位和人员可对证件和授权文件进行核对，并应配合检查、调查工作，不得拒绝、阻挠。</w:t>
      </w:r>
    </w:p>
    <w:p w14:paraId="3A5E731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第二十四条</w:t>
      </w:r>
      <w:r>
        <w:rPr>
          <w:rFonts w:ascii="Calibri" w:hAnsi="Calibri" w:eastAsia="仿宋" w:cs="Calibri"/>
          <w:color w:val="222222"/>
          <w:sz w:val="32"/>
          <w:szCs w:val="32"/>
        </w:rPr>
        <w:t> </w:t>
      </w:r>
      <w:r>
        <w:rPr>
          <w:rFonts w:ascii="仿宋" w:hAnsi="仿宋" w:eastAsia="仿宋" w:cs="Arial"/>
          <w:color w:val="222222"/>
          <w:sz w:val="32"/>
          <w:szCs w:val="32"/>
        </w:rPr>
        <w:t>国家运动项目管理单位、全国性体育社会团体、运动员管理单位应当及时向国家体育总局、国家反兴奋剂机构报送以下相关信息：</w:t>
      </w:r>
    </w:p>
    <w:p w14:paraId="54728E13">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(一)国际体育组织对所属运动员实施的兴奋剂检查信息；</w:t>
      </w:r>
    </w:p>
    <w:p w14:paraId="49C162BE">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(二)国际体育组织查出的兴奋剂违规；</w:t>
      </w:r>
    </w:p>
    <w:p w14:paraId="1AF5E5D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(三)所属国际体育组织反兴奋剂规则和要求；</w:t>
      </w:r>
    </w:p>
    <w:p w14:paraId="667E781D">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(四)所属国际体育组织注册检查库名单；</w:t>
      </w:r>
    </w:p>
    <w:p w14:paraId="1CD2CDAC">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(五)其他需要报送的相关信息。</w:t>
      </w:r>
    </w:p>
    <w:p w14:paraId="5E2910DB">
      <w:pPr>
        <w:pStyle w:val="6"/>
        <w:spacing w:before="0" w:beforeAutospacing="0" w:after="0" w:afterAutospacing="0"/>
        <w:jc w:val="center"/>
        <w:rPr>
          <w:rStyle w:val="9"/>
          <w:rFonts w:ascii="黑体" w:hAnsi="黑体" w:eastAsia="黑体" w:cs="Arial"/>
          <w:b w:val="0"/>
          <w:color w:val="222222"/>
          <w:sz w:val="32"/>
          <w:szCs w:val="32"/>
        </w:rPr>
      </w:pPr>
      <w:r>
        <w:rPr>
          <w:rFonts w:ascii="仿宋" w:hAnsi="仿宋" w:eastAsia="仿宋" w:cs="Arial"/>
          <w:b/>
          <w:bCs/>
          <w:color w:val="222222"/>
          <w:sz w:val="32"/>
          <w:szCs w:val="32"/>
        </w:rPr>
        <w:br w:type="textWrapping"/>
      </w:r>
      <w:r>
        <w:rPr>
          <w:rStyle w:val="9"/>
          <w:rFonts w:ascii="黑体" w:hAnsi="黑体" w:eastAsia="黑体" w:cs="Arial"/>
          <w:b w:val="0"/>
          <w:color w:val="222222"/>
          <w:sz w:val="32"/>
          <w:szCs w:val="32"/>
        </w:rPr>
        <w:t>第五章 兴奋剂检测</w:t>
      </w:r>
    </w:p>
    <w:p w14:paraId="19E2510C">
      <w:pPr>
        <w:pStyle w:val="6"/>
        <w:spacing w:before="0" w:beforeAutospacing="0" w:after="0" w:afterAutospacing="0"/>
        <w:jc w:val="center"/>
        <w:rPr>
          <w:rFonts w:ascii="黑体" w:hAnsi="黑体" w:eastAsia="黑体" w:cs="Arial"/>
          <w:b/>
          <w:color w:val="222222"/>
          <w:sz w:val="32"/>
          <w:szCs w:val="32"/>
        </w:rPr>
      </w:pPr>
    </w:p>
    <w:p w14:paraId="68788570">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第二十五条</w:t>
      </w:r>
      <w:r>
        <w:rPr>
          <w:rFonts w:ascii="Calibri" w:hAnsi="Calibri" w:eastAsia="仿宋" w:cs="Calibri"/>
          <w:color w:val="222222"/>
          <w:sz w:val="32"/>
          <w:szCs w:val="32"/>
        </w:rPr>
        <w:t> </w:t>
      </w:r>
      <w:r>
        <w:rPr>
          <w:rFonts w:ascii="仿宋" w:hAnsi="仿宋" w:eastAsia="仿宋" w:cs="Arial"/>
          <w:color w:val="222222"/>
          <w:sz w:val="32"/>
          <w:szCs w:val="32"/>
        </w:rPr>
        <w:t>国家体育总局确定符合兴奋剂检测国际标准条件和资质的兴奋剂检测实验室，所有受检样本应当送到具备兴奋剂检测资质的实验室进行检测。</w:t>
      </w:r>
    </w:p>
    <w:p w14:paraId="72A3F86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不具备兴奋剂检测资质的单位和个人不得实施任何形式的兴奋剂检测。</w:t>
      </w:r>
    </w:p>
    <w:p w14:paraId="177D2B50">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第二十六条</w:t>
      </w:r>
      <w:r>
        <w:rPr>
          <w:rFonts w:ascii="Calibri" w:hAnsi="Calibri" w:eastAsia="仿宋" w:cs="Calibri"/>
          <w:color w:val="222222"/>
          <w:sz w:val="32"/>
          <w:szCs w:val="32"/>
        </w:rPr>
        <w:t> </w:t>
      </w:r>
      <w:r>
        <w:rPr>
          <w:rFonts w:ascii="仿宋" w:hAnsi="仿宋" w:eastAsia="仿宋" w:cs="Arial"/>
          <w:color w:val="222222"/>
          <w:sz w:val="32"/>
          <w:szCs w:val="32"/>
        </w:rPr>
        <w:t>国家反兴奋剂机构应当制定受检样本的保存标准，国家反兴奋剂机构有权对受检样本进一步检测。</w:t>
      </w:r>
    </w:p>
    <w:p w14:paraId="37F34FD7">
      <w:pPr>
        <w:pStyle w:val="6"/>
        <w:spacing w:before="0" w:beforeAutospacing="0" w:after="0" w:afterAutospacing="0"/>
        <w:jc w:val="center"/>
        <w:rPr>
          <w:rStyle w:val="9"/>
          <w:rFonts w:ascii="黑体" w:hAnsi="黑体" w:eastAsia="黑体" w:cs="Arial"/>
          <w:b w:val="0"/>
          <w:color w:val="222222"/>
          <w:sz w:val="32"/>
          <w:szCs w:val="32"/>
        </w:rPr>
      </w:pPr>
      <w:r>
        <w:rPr>
          <w:rFonts w:ascii="仿宋" w:hAnsi="仿宋" w:eastAsia="仿宋" w:cs="Arial"/>
          <w:b/>
          <w:bCs/>
          <w:color w:val="222222"/>
          <w:sz w:val="32"/>
          <w:szCs w:val="32"/>
        </w:rPr>
        <w:br w:type="textWrapping"/>
      </w:r>
      <w:r>
        <w:rPr>
          <w:rStyle w:val="9"/>
          <w:rFonts w:ascii="黑体" w:hAnsi="黑体" w:eastAsia="黑体" w:cs="Arial"/>
          <w:b w:val="0"/>
          <w:color w:val="222222"/>
          <w:sz w:val="32"/>
          <w:szCs w:val="32"/>
        </w:rPr>
        <w:t>第六章 结果管理</w:t>
      </w:r>
    </w:p>
    <w:p w14:paraId="61B8457D">
      <w:pPr>
        <w:pStyle w:val="6"/>
        <w:spacing w:before="0" w:beforeAutospacing="0" w:after="0" w:afterAutospacing="0"/>
        <w:jc w:val="center"/>
        <w:rPr>
          <w:rFonts w:ascii="黑体" w:hAnsi="黑体" w:eastAsia="黑体" w:cs="Arial"/>
          <w:b/>
          <w:color w:val="222222"/>
          <w:sz w:val="32"/>
          <w:szCs w:val="32"/>
        </w:rPr>
      </w:pPr>
    </w:p>
    <w:p w14:paraId="0C4AB24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第二十七条</w:t>
      </w:r>
      <w:r>
        <w:rPr>
          <w:rFonts w:ascii="Calibri" w:hAnsi="Calibri" w:eastAsia="仿宋" w:cs="Calibri"/>
          <w:color w:val="222222"/>
          <w:sz w:val="32"/>
          <w:szCs w:val="32"/>
        </w:rPr>
        <w:t> </w:t>
      </w:r>
      <w:r>
        <w:rPr>
          <w:rFonts w:ascii="仿宋" w:hAnsi="仿宋" w:eastAsia="仿宋" w:cs="Arial"/>
          <w:color w:val="222222"/>
          <w:sz w:val="32"/>
          <w:szCs w:val="32"/>
        </w:rPr>
        <w:t>结果管理是指具有结果管理权的主体对涉嫌兴奋剂违规者实施的审查、通知、临时停赛、听证等一系列管理行为。</w:t>
      </w:r>
    </w:p>
    <w:p w14:paraId="28A689C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第二十八条</w:t>
      </w:r>
      <w:r>
        <w:rPr>
          <w:rFonts w:ascii="Calibri" w:hAnsi="Calibri" w:eastAsia="仿宋" w:cs="Calibri"/>
          <w:color w:val="222222"/>
          <w:sz w:val="32"/>
          <w:szCs w:val="32"/>
        </w:rPr>
        <w:t> </w:t>
      </w:r>
      <w:r>
        <w:rPr>
          <w:rFonts w:ascii="仿宋" w:hAnsi="仿宋" w:eastAsia="仿宋" w:cs="Arial"/>
          <w:color w:val="222222"/>
          <w:sz w:val="32"/>
          <w:szCs w:val="32"/>
        </w:rPr>
        <w:t>本办法第十九条第一项所列的兴奋剂检查，由国家反兴奋剂机构负责结果管理；第二项所列的兴奋剂检查(不含国际比赛)，由国家反兴奋剂机构根据委托进行结果管理；第三项所列的兴奋剂检查，由国家体育总局决定结果管理的主体，并制定结果管理的规则。</w:t>
      </w:r>
    </w:p>
    <w:p w14:paraId="1800DA1C">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第二十九条</w:t>
      </w:r>
      <w:r>
        <w:rPr>
          <w:rFonts w:ascii="Calibri" w:hAnsi="Calibri" w:eastAsia="仿宋" w:cs="Calibri"/>
          <w:color w:val="222222"/>
          <w:sz w:val="32"/>
          <w:szCs w:val="32"/>
        </w:rPr>
        <w:t> </w:t>
      </w:r>
      <w:r>
        <w:rPr>
          <w:rFonts w:ascii="仿宋" w:hAnsi="仿宋" w:eastAsia="仿宋" w:cs="Arial"/>
          <w:color w:val="222222"/>
          <w:sz w:val="32"/>
          <w:szCs w:val="32"/>
        </w:rPr>
        <w:t>发生兴奋剂违规，由全国性体育社会团体等有关单位依据《反兴奋剂规则》及其章程对运动员和辅助人员作出取消比赛成绩和参赛资格、停赛、禁赛等处理，对相关运动员管理单位作出警告、停赛、取消参赛资格等处理。委托检查中发生的兴奋剂违规，由兴奋剂检查委托方和相关单位作出处理决定。</w:t>
      </w:r>
    </w:p>
    <w:p w14:paraId="73BC21D6">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运动员发生兴奋剂违规，还应当处理直接责任人和主管教练员等相关人员。</w:t>
      </w:r>
    </w:p>
    <w:p w14:paraId="136AFB6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第三十条</w:t>
      </w:r>
      <w:r>
        <w:rPr>
          <w:rFonts w:ascii="Calibri" w:hAnsi="Calibri" w:eastAsia="仿宋" w:cs="Calibri"/>
          <w:color w:val="222222"/>
          <w:sz w:val="32"/>
          <w:szCs w:val="32"/>
        </w:rPr>
        <w:t> </w:t>
      </w:r>
      <w:r>
        <w:rPr>
          <w:rFonts w:ascii="仿宋" w:hAnsi="仿宋" w:eastAsia="仿宋" w:cs="Arial"/>
          <w:color w:val="222222"/>
          <w:sz w:val="32"/>
          <w:szCs w:val="32"/>
        </w:rPr>
        <w:t>兴奋剂违规处理决定，经国家反兴奋剂机构审查通过后执行。</w:t>
      </w:r>
    </w:p>
    <w:p w14:paraId="0A3AED7E">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国家反兴奋剂机构定期汇总兴奋剂违规情况和禁止合作名单，及时对外发布。</w:t>
      </w:r>
    </w:p>
    <w:p w14:paraId="11B5BD2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兴奋剂违规处理决定由全国性体育社会团体、兴奋剂检查委托方等有关单位抄送有关地方人民政府体育主管部门。</w:t>
      </w:r>
    </w:p>
    <w:p w14:paraId="0426A531">
      <w:pPr>
        <w:pStyle w:val="6"/>
        <w:spacing w:before="0" w:beforeAutospacing="0" w:after="0" w:afterAutospacing="0"/>
        <w:jc w:val="center"/>
        <w:rPr>
          <w:rStyle w:val="9"/>
          <w:rFonts w:ascii="黑体" w:hAnsi="黑体" w:eastAsia="黑体" w:cs="Arial"/>
          <w:b w:val="0"/>
          <w:color w:val="222222"/>
          <w:sz w:val="32"/>
          <w:szCs w:val="32"/>
        </w:rPr>
      </w:pPr>
      <w:r>
        <w:rPr>
          <w:rFonts w:ascii="仿宋" w:hAnsi="仿宋" w:eastAsia="仿宋" w:cs="Arial"/>
          <w:b/>
          <w:bCs/>
          <w:color w:val="222222"/>
          <w:sz w:val="32"/>
          <w:szCs w:val="32"/>
        </w:rPr>
        <w:br w:type="textWrapping"/>
      </w:r>
      <w:r>
        <w:rPr>
          <w:rStyle w:val="9"/>
          <w:rFonts w:ascii="黑体" w:hAnsi="黑体" w:eastAsia="黑体" w:cs="Arial"/>
          <w:b w:val="0"/>
          <w:color w:val="222222"/>
          <w:sz w:val="32"/>
          <w:szCs w:val="32"/>
        </w:rPr>
        <w:t>第七章 惩处与奖励</w:t>
      </w:r>
    </w:p>
    <w:p w14:paraId="2489B56F">
      <w:pPr>
        <w:pStyle w:val="6"/>
        <w:spacing w:before="0" w:beforeAutospacing="0" w:after="0" w:afterAutospacing="0"/>
        <w:jc w:val="center"/>
        <w:rPr>
          <w:rFonts w:ascii="黑体" w:hAnsi="黑体" w:eastAsia="黑体" w:cs="Arial"/>
          <w:b/>
          <w:color w:val="222222"/>
          <w:sz w:val="32"/>
          <w:szCs w:val="32"/>
        </w:rPr>
      </w:pPr>
    </w:p>
    <w:p w14:paraId="599BED5D">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第三十一条</w:t>
      </w:r>
      <w:r>
        <w:rPr>
          <w:rFonts w:ascii="Calibri" w:hAnsi="Calibri" w:eastAsia="仿宋" w:cs="Calibri"/>
          <w:color w:val="222222"/>
          <w:sz w:val="32"/>
          <w:szCs w:val="32"/>
        </w:rPr>
        <w:t> </w:t>
      </w:r>
      <w:r>
        <w:rPr>
          <w:rFonts w:ascii="仿宋" w:hAnsi="仿宋" w:eastAsia="仿宋" w:cs="Arial"/>
          <w:color w:val="222222"/>
          <w:sz w:val="32"/>
          <w:szCs w:val="32"/>
        </w:rPr>
        <w:t>发生兴奋剂违规，上级体育主管部门和运动员管理单位要对造成兴奋剂违规的根源、管理环节和相关人员责任进行调查认定，并根据调查结果依纪依规追究运动员管理单位领导人员和负有责任的主管人员的责任。涉嫌犯罪的，移交监察机关或者司法机关，依法追究刑事责任。</w:t>
      </w:r>
    </w:p>
    <w:p w14:paraId="4DEDFB33">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第三十二条</w:t>
      </w:r>
      <w:r>
        <w:rPr>
          <w:rFonts w:ascii="Calibri" w:hAnsi="Calibri" w:eastAsia="仿宋" w:cs="Calibri"/>
          <w:color w:val="222222"/>
          <w:sz w:val="32"/>
          <w:szCs w:val="32"/>
        </w:rPr>
        <w:t> </w:t>
      </w:r>
      <w:r>
        <w:rPr>
          <w:rFonts w:ascii="仿宋" w:hAnsi="仿宋" w:eastAsia="仿宋" w:cs="Arial"/>
          <w:color w:val="222222"/>
          <w:sz w:val="32"/>
          <w:szCs w:val="32"/>
        </w:rPr>
        <w:t>各级体育主管部门按照管理权限对兴奋剂违规问题实施责任追究。</w:t>
      </w:r>
    </w:p>
    <w:p w14:paraId="3DCABB61">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相关体育主管部门应当自收到兴奋剂违规处理决定之日起一个月内对相关人员和单位进行追责，追责处理决定作出之日起15日内报国家体育总局备案。情况复杂的，经国家体育总局批准，可以适当延长。</w:t>
      </w:r>
    </w:p>
    <w:p w14:paraId="258348A3">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第三十三条</w:t>
      </w:r>
      <w:r>
        <w:rPr>
          <w:rFonts w:ascii="Calibri" w:hAnsi="Calibri" w:eastAsia="仿宋" w:cs="Calibri"/>
          <w:color w:val="222222"/>
          <w:sz w:val="32"/>
          <w:szCs w:val="32"/>
        </w:rPr>
        <w:t> </w:t>
      </w:r>
      <w:r>
        <w:rPr>
          <w:rFonts w:ascii="仿宋" w:hAnsi="仿宋" w:eastAsia="仿宋" w:cs="Arial"/>
          <w:color w:val="222222"/>
          <w:sz w:val="32"/>
          <w:szCs w:val="32"/>
        </w:rPr>
        <w:t>发生兴奋剂违规且被禁赛的运动员和辅助人员，禁赛期内相关管理单位应禁止其从事运动员辅助工作和运动队管理工作，禁止使用政府所属或者资助的体育场馆设施进行训练，取消与体育相关的政府津贴、补助或者其他经济资助，取消体育系统各类奖励、奖项、荣誉称号、职称、科研项目的申报和评比资格。</w:t>
      </w:r>
    </w:p>
    <w:p w14:paraId="38866B3C">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发生兴奋剂违规且被禁赛的运动员和辅助人员，禁赛期满后4年内，相关管理单位应取消其参加体育系统各类评优评先、荣誉称号、职称、科研项目的申报和评比资格。</w:t>
      </w:r>
    </w:p>
    <w:p w14:paraId="17CCA45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代表国家队参加奥运会、亚运会等重大国际赛事期间发生兴奋剂违规的运动员和辅助人员，组织、强迫、欺骗、教唆运动员使用兴奋剂或对运动员施用兴奋剂的辅助人员，以及发生其他严重兴奋剂违规的人员，终身取消参加体育系统各类评优评先、荣誉称号、职称、科研项目的申报和评比资格，严禁参与国家队和省区市运动队运动员训练指导、体育教学、青少年体育等工作。涉嫌犯罪的，移交监察机关或者司法机关，依法追究刑事责任。</w:t>
      </w:r>
    </w:p>
    <w:p w14:paraId="20C9FC7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因兴奋剂违规被禁赛1年以上(不含1年)的运动员和辅助人员，不得以任何身份入选国家队。禁赛期在1年及1年以下的，进入国家队需严格审核。</w:t>
      </w:r>
    </w:p>
    <w:p w14:paraId="7FE65C87">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第三十四条</w:t>
      </w:r>
      <w:r>
        <w:rPr>
          <w:rFonts w:ascii="Calibri" w:hAnsi="Calibri" w:eastAsia="仿宋" w:cs="Calibri"/>
          <w:color w:val="222222"/>
          <w:sz w:val="32"/>
          <w:szCs w:val="32"/>
        </w:rPr>
        <w:t> </w:t>
      </w:r>
      <w:r>
        <w:rPr>
          <w:rFonts w:ascii="仿宋" w:hAnsi="仿宋" w:eastAsia="仿宋" w:cs="Arial"/>
          <w:color w:val="222222"/>
          <w:sz w:val="32"/>
          <w:szCs w:val="32"/>
        </w:rPr>
        <w:t>有以下情形之一的，可以酌情减轻处分：</w:t>
      </w:r>
    </w:p>
    <w:p w14:paraId="4378B34F">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(一)在无证据的情况下主动承认兴奋剂违规的；</w:t>
      </w:r>
    </w:p>
    <w:p w14:paraId="0883B8BE">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(二)揭发、举报他人兴奋剂违规或者提供他人兴奋剂违规的重要线索，经查证属实的。</w:t>
      </w:r>
    </w:p>
    <w:p w14:paraId="4052F8BC">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第三十五条</w:t>
      </w:r>
      <w:r>
        <w:rPr>
          <w:rFonts w:ascii="Calibri" w:hAnsi="Calibri" w:eastAsia="仿宋" w:cs="Calibri"/>
          <w:color w:val="222222"/>
          <w:sz w:val="32"/>
          <w:szCs w:val="32"/>
        </w:rPr>
        <w:t> </w:t>
      </w:r>
      <w:r>
        <w:rPr>
          <w:rFonts w:ascii="仿宋" w:hAnsi="仿宋" w:eastAsia="仿宋" w:cs="Arial"/>
          <w:color w:val="222222"/>
          <w:sz w:val="32"/>
          <w:szCs w:val="32"/>
        </w:rPr>
        <w:t>发生1例运动员兴奋剂违规且被禁赛的，该管理单位该项目(不分男女，下同)停赛不少于1年；同一管理单位同一项目运动员在全国综合性运动会周期内发生2例兴奋剂违规且被禁赛的，取消该单位该项目本届全国综合性运动会参赛资格。停赛时间自运动员兴奋剂违规处理决定作出之日起算。</w:t>
      </w:r>
    </w:p>
    <w:p w14:paraId="4A1D287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第三十六条</w:t>
      </w:r>
      <w:r>
        <w:rPr>
          <w:rFonts w:ascii="Calibri" w:hAnsi="Calibri" w:eastAsia="仿宋" w:cs="Calibri"/>
          <w:color w:val="222222"/>
          <w:sz w:val="32"/>
          <w:szCs w:val="32"/>
        </w:rPr>
        <w:t> </w:t>
      </w:r>
      <w:r>
        <w:rPr>
          <w:rFonts w:ascii="仿宋" w:hAnsi="仿宋" w:eastAsia="仿宋" w:cs="Arial"/>
          <w:color w:val="222222"/>
          <w:sz w:val="32"/>
          <w:szCs w:val="32"/>
        </w:rPr>
        <w:t>全国综合性运动会周期是指自上届闭幕之日起至本届开幕之日止。全国综合性运动会周期内以及举办期间发生兴奋剂违规且被禁赛的，取消该管理单位本届全国综合性运动会体育道德风尚奖等相关奖项评选资格。相关情况通报所属省区市人民政府。</w:t>
      </w:r>
    </w:p>
    <w:p w14:paraId="5BA6A48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第三十七条</w:t>
      </w:r>
      <w:r>
        <w:rPr>
          <w:rFonts w:ascii="Calibri" w:hAnsi="Calibri" w:eastAsia="仿宋" w:cs="Calibri"/>
          <w:color w:val="222222"/>
          <w:sz w:val="32"/>
          <w:szCs w:val="32"/>
        </w:rPr>
        <w:t> </w:t>
      </w:r>
      <w:r>
        <w:rPr>
          <w:rFonts w:ascii="仿宋" w:hAnsi="仿宋" w:eastAsia="仿宋" w:cs="Arial"/>
          <w:color w:val="222222"/>
          <w:sz w:val="32"/>
          <w:szCs w:val="32"/>
        </w:rPr>
        <w:t>国家队运动员在国家队、国家(集训)队训练期间或者代表国家参赛期间发生的兴奋剂违规，主管教练员应认定为国家队主管教练员。有直接责任人的，按照调查情况认定运动员管理单位；无直接责任人的，运动员管理单位应认定为国家运动项目管理单位。</w:t>
      </w:r>
    </w:p>
    <w:p w14:paraId="2303224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国家队运动员在国家队、国家(集训)队训练期间或者代表国家参赛期间发生的兴奋剂违规，经调查与运动员所属单位无关的，不计入对单位的累计例数。</w:t>
      </w:r>
    </w:p>
    <w:p w14:paraId="4A466644">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各省区市、行业体育协会、学校等有关单位委托实施的检查中发生的兴奋剂违规，不计入对单位的累计例数。</w:t>
      </w:r>
    </w:p>
    <w:p w14:paraId="09CE173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未发生兴奋剂违规的运动员经审查可以以个人身份参赛。</w:t>
      </w:r>
    </w:p>
    <w:p w14:paraId="425CA07F">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第三十八条</w:t>
      </w:r>
      <w:r>
        <w:rPr>
          <w:rFonts w:ascii="Calibri" w:hAnsi="Calibri" w:eastAsia="仿宋" w:cs="Calibri"/>
          <w:color w:val="222222"/>
          <w:sz w:val="32"/>
          <w:szCs w:val="32"/>
        </w:rPr>
        <w:t> </w:t>
      </w:r>
      <w:r>
        <w:rPr>
          <w:rFonts w:ascii="仿宋" w:hAnsi="仿宋" w:eastAsia="仿宋" w:cs="Arial"/>
          <w:color w:val="222222"/>
          <w:sz w:val="32"/>
          <w:szCs w:val="32"/>
        </w:rPr>
        <w:t>涉及多个单位培养的运动员，相关单位应在培养协议中明确各自的反兴奋剂职责，协议报国家反兴奋剂机构和全国性体育社会团体备案。发生兴奋剂违规的，根据备案的协议追究相应单位的责任。协议未备案的，追究各方的责任。军地共同培养的运动员管理单位是解放军体育主管部门所属单位。</w:t>
      </w:r>
    </w:p>
    <w:p w14:paraId="7685FEF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第三十九条</w:t>
      </w:r>
      <w:r>
        <w:rPr>
          <w:rFonts w:ascii="Calibri" w:hAnsi="Calibri" w:eastAsia="仿宋" w:cs="Calibri"/>
          <w:color w:val="222222"/>
          <w:sz w:val="32"/>
          <w:szCs w:val="32"/>
        </w:rPr>
        <w:t> </w:t>
      </w:r>
      <w:r>
        <w:rPr>
          <w:rFonts w:ascii="仿宋" w:hAnsi="仿宋" w:eastAsia="仿宋" w:cs="Arial"/>
          <w:color w:val="222222"/>
          <w:sz w:val="32"/>
          <w:szCs w:val="32"/>
        </w:rPr>
        <w:t>未成年运动员发生兴奋剂违规的，依据《反兴奋剂规则》，可视情况适当减轻对运动员个人的处罚，对负有责任的辅助人员等加重处罚。构成犯罪的，移交司法机关，依法追究刑事责任。</w:t>
      </w:r>
    </w:p>
    <w:p w14:paraId="0D93AAAB">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第四十条</w:t>
      </w:r>
      <w:r>
        <w:rPr>
          <w:rFonts w:ascii="Calibri" w:hAnsi="Calibri" w:eastAsia="仿宋" w:cs="Calibri"/>
          <w:color w:val="222222"/>
          <w:sz w:val="32"/>
          <w:szCs w:val="32"/>
        </w:rPr>
        <w:t> </w:t>
      </w:r>
      <w:r>
        <w:rPr>
          <w:rFonts w:ascii="仿宋" w:hAnsi="仿宋" w:eastAsia="仿宋" w:cs="Arial"/>
          <w:color w:val="222222"/>
          <w:sz w:val="32"/>
          <w:szCs w:val="32"/>
        </w:rPr>
        <w:t>各级各类体育运动学校运动员发生兴奋剂违规且被禁赛的，该学校不得参加国家高水平体育后备人才基地的评选或认定。对已命名为国家高水平体育后备人才基地的，取消命名。</w:t>
      </w:r>
    </w:p>
    <w:p w14:paraId="750720AF">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第四十一条</w:t>
      </w:r>
      <w:r>
        <w:rPr>
          <w:rFonts w:ascii="Calibri" w:hAnsi="Calibri" w:eastAsia="仿宋" w:cs="Calibri"/>
          <w:color w:val="222222"/>
          <w:sz w:val="32"/>
          <w:szCs w:val="32"/>
        </w:rPr>
        <w:t> </w:t>
      </w:r>
      <w:r>
        <w:rPr>
          <w:rFonts w:ascii="仿宋" w:hAnsi="仿宋" w:eastAsia="仿宋" w:cs="Arial"/>
          <w:color w:val="222222"/>
          <w:sz w:val="32"/>
          <w:szCs w:val="32"/>
        </w:rPr>
        <w:t>运动员禁赛期间违规参赛的，或者退役运动员违规参赛的，或者有其他不执行处理决定行为的，应责令停止违规行为；由体育主管部门给予运动员管理单位、负有责任的国家或者地方运动项目管理单位通报批评，给予负有责任的公职人员处分。</w:t>
      </w:r>
    </w:p>
    <w:p w14:paraId="2D7DCD1D">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第四十二条</w:t>
      </w:r>
      <w:r>
        <w:rPr>
          <w:rFonts w:ascii="Calibri" w:hAnsi="Calibri" w:eastAsia="仿宋" w:cs="Calibri"/>
          <w:color w:val="222222"/>
          <w:sz w:val="32"/>
          <w:szCs w:val="32"/>
        </w:rPr>
        <w:t> </w:t>
      </w:r>
      <w:r>
        <w:rPr>
          <w:rFonts w:ascii="仿宋" w:hAnsi="仿宋" w:eastAsia="仿宋" w:cs="Arial"/>
          <w:color w:val="222222"/>
          <w:sz w:val="32"/>
          <w:szCs w:val="32"/>
        </w:rPr>
        <w:t>违反本办法第三十三条规定的，应责令停止违规行为，责令返还禁赛期已获得的经济资助，取消禁赛期已获得的各类奖励、奖项、荣誉称号、职称、科研项目等；由体育主管部门给予相关单位通报批评，给予负有责任的公职人员处分。</w:t>
      </w:r>
    </w:p>
    <w:p w14:paraId="4E32AEF8">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第四十三条</w:t>
      </w:r>
      <w:r>
        <w:rPr>
          <w:rFonts w:ascii="Calibri" w:hAnsi="Calibri" w:eastAsia="仿宋" w:cs="Calibri"/>
          <w:color w:val="222222"/>
          <w:sz w:val="32"/>
          <w:szCs w:val="32"/>
        </w:rPr>
        <w:t> </w:t>
      </w:r>
      <w:r>
        <w:rPr>
          <w:rFonts w:ascii="仿宋" w:hAnsi="仿宋" w:eastAsia="仿宋" w:cs="Arial"/>
          <w:color w:val="222222"/>
          <w:sz w:val="32"/>
          <w:szCs w:val="32"/>
        </w:rPr>
        <w:t>违规实施兴奋剂检查、检测的，应责令停止兴奋剂检查或者检测；由体育主管部门给予相关单位通报批评，取消该单位体育系统重点实验室资质和体育系统科研项目承担资质，给予负有责任的公职人员处分。</w:t>
      </w:r>
    </w:p>
    <w:p w14:paraId="096F4D58">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第四十四条</w:t>
      </w:r>
      <w:r>
        <w:rPr>
          <w:rFonts w:ascii="Calibri" w:hAnsi="Calibri" w:eastAsia="仿宋" w:cs="Calibri"/>
          <w:color w:val="222222"/>
          <w:sz w:val="32"/>
          <w:szCs w:val="32"/>
        </w:rPr>
        <w:t> </w:t>
      </w:r>
      <w:r>
        <w:rPr>
          <w:rFonts w:ascii="仿宋" w:hAnsi="仿宋" w:eastAsia="仿宋" w:cs="Arial"/>
          <w:color w:val="222222"/>
          <w:sz w:val="32"/>
          <w:szCs w:val="32"/>
        </w:rPr>
        <w:t>有关部门和有关单位违反本办法第二十三条的规定，不予配合，或者拒绝、阻挠兴奋剂检查、调查的，建议和督促有关部门按照国家有关规定，给予负有责任的公职人员处分。</w:t>
      </w:r>
    </w:p>
    <w:p w14:paraId="0DF6D601">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第四十五条</w:t>
      </w:r>
      <w:r>
        <w:rPr>
          <w:rStyle w:val="9"/>
          <w:rFonts w:ascii="Calibri" w:hAnsi="Calibri" w:eastAsia="仿宋" w:cs="Calibri"/>
          <w:color w:val="222222"/>
          <w:sz w:val="32"/>
          <w:szCs w:val="32"/>
        </w:rPr>
        <w:t> </w:t>
      </w:r>
      <w:r>
        <w:rPr>
          <w:rFonts w:ascii="仿宋" w:hAnsi="仿宋" w:eastAsia="仿宋" w:cs="Arial"/>
          <w:color w:val="222222"/>
          <w:sz w:val="32"/>
          <w:szCs w:val="32"/>
        </w:rPr>
        <w:t>反兴奋剂工作人员在反兴奋剂工作中违反法定权限或者程序，不履行法定职责，或者包庇、纵容非法使用、提供兴奋剂的，依法给予负有责任的公职人员处分。涉嫌犯罪的，移交司法机关，依法追究刑事责任。</w:t>
      </w:r>
    </w:p>
    <w:p w14:paraId="517C9E35">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第四十六条</w:t>
      </w:r>
      <w:r>
        <w:rPr>
          <w:rFonts w:ascii="Calibri" w:hAnsi="Calibri" w:eastAsia="仿宋" w:cs="Calibri"/>
          <w:color w:val="222222"/>
          <w:sz w:val="32"/>
          <w:szCs w:val="32"/>
        </w:rPr>
        <w:t> </w:t>
      </w:r>
      <w:r>
        <w:rPr>
          <w:rFonts w:ascii="仿宋" w:hAnsi="仿宋" w:eastAsia="仿宋" w:cs="Arial"/>
          <w:color w:val="222222"/>
          <w:sz w:val="32"/>
          <w:szCs w:val="32"/>
        </w:rPr>
        <w:t>对在反兴奋剂工作中做出重大贡献、有突出成绩的单位和个人，应纳入体育系统表彰奖励范围。</w:t>
      </w:r>
    </w:p>
    <w:p w14:paraId="34CE39C9">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第四十七条</w:t>
      </w:r>
      <w:r>
        <w:rPr>
          <w:rFonts w:ascii="Calibri" w:hAnsi="Calibri" w:eastAsia="仿宋" w:cs="Calibri"/>
          <w:color w:val="222222"/>
          <w:sz w:val="32"/>
          <w:szCs w:val="32"/>
        </w:rPr>
        <w:t> </w:t>
      </w:r>
      <w:r>
        <w:rPr>
          <w:rFonts w:ascii="仿宋" w:hAnsi="仿宋" w:eastAsia="仿宋" w:cs="Arial"/>
          <w:color w:val="222222"/>
          <w:sz w:val="32"/>
          <w:szCs w:val="32"/>
        </w:rPr>
        <w:t>举报兴奋剂违规的线索或者证据经查实的，根据线索或者证据的重要性，按照国家有关规定酌情给予举报人奖励，并对举报人的安全和隐私进行保护。</w:t>
      </w:r>
    </w:p>
    <w:p w14:paraId="668BA863">
      <w:pPr>
        <w:pStyle w:val="6"/>
        <w:spacing w:before="0" w:beforeAutospacing="0" w:after="0" w:afterAutospacing="0"/>
        <w:jc w:val="center"/>
        <w:rPr>
          <w:rStyle w:val="9"/>
          <w:rFonts w:ascii="黑体" w:hAnsi="黑体" w:eastAsia="黑体" w:cs="Arial"/>
          <w:b w:val="0"/>
          <w:color w:val="222222"/>
          <w:sz w:val="32"/>
          <w:szCs w:val="32"/>
        </w:rPr>
      </w:pPr>
      <w:r>
        <w:rPr>
          <w:rFonts w:ascii="仿宋" w:hAnsi="仿宋" w:eastAsia="仿宋" w:cs="Arial"/>
          <w:b/>
          <w:bCs/>
          <w:color w:val="222222"/>
          <w:sz w:val="32"/>
          <w:szCs w:val="32"/>
        </w:rPr>
        <w:br w:type="textWrapping"/>
      </w:r>
      <w:r>
        <w:rPr>
          <w:rStyle w:val="9"/>
          <w:rFonts w:ascii="黑体" w:hAnsi="黑体" w:eastAsia="黑体" w:cs="Arial"/>
          <w:b w:val="0"/>
          <w:color w:val="222222"/>
          <w:sz w:val="32"/>
          <w:szCs w:val="32"/>
        </w:rPr>
        <w:t>第八章 药品、营养品、食品管理</w:t>
      </w:r>
    </w:p>
    <w:p w14:paraId="2C6E8090">
      <w:pPr>
        <w:pStyle w:val="6"/>
        <w:spacing w:before="0" w:beforeAutospacing="0" w:after="0" w:afterAutospacing="0"/>
        <w:jc w:val="center"/>
        <w:rPr>
          <w:rFonts w:ascii="黑体" w:hAnsi="黑体" w:eastAsia="黑体" w:cs="Arial"/>
          <w:b/>
          <w:color w:val="222222"/>
          <w:sz w:val="32"/>
          <w:szCs w:val="32"/>
        </w:rPr>
      </w:pPr>
    </w:p>
    <w:p w14:paraId="16C7CC0A">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第四十八条</w:t>
      </w:r>
      <w:r>
        <w:rPr>
          <w:rFonts w:ascii="Calibri" w:hAnsi="Calibri" w:eastAsia="仿宋" w:cs="Calibri"/>
          <w:color w:val="222222"/>
          <w:sz w:val="32"/>
          <w:szCs w:val="32"/>
        </w:rPr>
        <w:t> </w:t>
      </w:r>
      <w:r>
        <w:rPr>
          <w:rFonts w:ascii="仿宋" w:hAnsi="仿宋" w:eastAsia="仿宋" w:cs="Arial"/>
          <w:color w:val="222222"/>
          <w:sz w:val="32"/>
          <w:szCs w:val="32"/>
        </w:rPr>
        <w:t>运动员管理单位应当加强对运动员治疗用药的管理，指定专门机构或者人员负责管理药品和医疗器械。运动员因医疗目的确需使用含有《兴奋剂目录》所列禁用物质的药物或者禁用方法时，应按照运动员治疗用药豁免的有关规定使用。</w:t>
      </w:r>
    </w:p>
    <w:p w14:paraId="09EB4898">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第四十九条</w:t>
      </w:r>
      <w:r>
        <w:rPr>
          <w:rFonts w:ascii="Calibri" w:hAnsi="Calibri" w:eastAsia="仿宋" w:cs="Calibri"/>
          <w:color w:val="222222"/>
          <w:sz w:val="32"/>
          <w:szCs w:val="32"/>
        </w:rPr>
        <w:t> </w:t>
      </w:r>
      <w:r>
        <w:rPr>
          <w:rFonts w:ascii="仿宋" w:hAnsi="仿宋" w:eastAsia="仿宋" w:cs="Arial"/>
          <w:color w:val="222222"/>
          <w:sz w:val="32"/>
          <w:szCs w:val="32"/>
        </w:rPr>
        <w:t>运动员管理单位应当加强对运动员营养品的管理，规范营养品采购渠道，确保运动员所使用的营养品不包含任何禁用物质，避免运动员误服误用营养品发生兴奋剂违规。</w:t>
      </w:r>
    </w:p>
    <w:p w14:paraId="224CA219">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第五十条</w:t>
      </w:r>
      <w:r>
        <w:rPr>
          <w:rStyle w:val="9"/>
          <w:rFonts w:ascii="Calibri" w:hAnsi="Calibri" w:eastAsia="仿宋" w:cs="Calibri"/>
          <w:color w:val="222222"/>
          <w:sz w:val="32"/>
          <w:szCs w:val="32"/>
        </w:rPr>
        <w:t> </w:t>
      </w:r>
      <w:r>
        <w:rPr>
          <w:rFonts w:ascii="仿宋" w:hAnsi="仿宋" w:eastAsia="仿宋" w:cs="Arial"/>
          <w:color w:val="222222"/>
          <w:sz w:val="32"/>
          <w:szCs w:val="32"/>
        </w:rPr>
        <w:t>运动员管理单位和训练保障单位应当加强对运动员食品的管理，防止发生食源性兴奋剂事件。</w:t>
      </w:r>
    </w:p>
    <w:p w14:paraId="70F3595E">
      <w:pPr>
        <w:pStyle w:val="6"/>
        <w:spacing w:before="0" w:beforeAutospacing="0" w:after="0" w:afterAutospacing="0"/>
        <w:jc w:val="center"/>
        <w:rPr>
          <w:rStyle w:val="9"/>
          <w:rFonts w:ascii="黑体" w:hAnsi="黑体" w:eastAsia="黑体" w:cs="Arial"/>
          <w:b w:val="0"/>
          <w:color w:val="222222"/>
          <w:sz w:val="32"/>
          <w:szCs w:val="32"/>
        </w:rPr>
      </w:pPr>
      <w:r>
        <w:rPr>
          <w:rFonts w:ascii="仿宋" w:hAnsi="仿宋" w:eastAsia="仿宋" w:cs="Arial"/>
          <w:b/>
          <w:bCs/>
          <w:color w:val="222222"/>
          <w:sz w:val="32"/>
          <w:szCs w:val="32"/>
        </w:rPr>
        <w:br w:type="textWrapping"/>
      </w:r>
      <w:r>
        <w:rPr>
          <w:rStyle w:val="9"/>
          <w:rFonts w:ascii="黑体" w:hAnsi="黑体" w:eastAsia="黑体" w:cs="Arial"/>
          <w:b w:val="0"/>
          <w:color w:val="222222"/>
          <w:sz w:val="32"/>
          <w:szCs w:val="32"/>
        </w:rPr>
        <w:t>第九章 附则</w:t>
      </w:r>
    </w:p>
    <w:p w14:paraId="727096DD">
      <w:pPr>
        <w:pStyle w:val="6"/>
        <w:spacing w:before="0" w:beforeAutospacing="0" w:after="0" w:afterAutospacing="0"/>
        <w:jc w:val="center"/>
        <w:rPr>
          <w:rFonts w:ascii="黑体" w:hAnsi="黑体" w:eastAsia="黑体" w:cs="Arial"/>
          <w:b/>
          <w:color w:val="222222"/>
          <w:sz w:val="32"/>
          <w:szCs w:val="32"/>
        </w:rPr>
      </w:pPr>
    </w:p>
    <w:p w14:paraId="42B86582">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第五十一条</w:t>
      </w:r>
      <w:r>
        <w:rPr>
          <w:rStyle w:val="9"/>
          <w:rFonts w:ascii="Calibri" w:hAnsi="Calibri" w:eastAsia="仿宋" w:cs="Calibri"/>
          <w:color w:val="222222"/>
          <w:sz w:val="32"/>
          <w:szCs w:val="32"/>
        </w:rPr>
        <w:t> </w:t>
      </w:r>
      <w:r>
        <w:rPr>
          <w:rFonts w:ascii="仿宋" w:hAnsi="仿宋" w:eastAsia="仿宋" w:cs="Arial"/>
          <w:color w:val="222222"/>
          <w:sz w:val="32"/>
          <w:szCs w:val="32"/>
        </w:rPr>
        <w:t>残疾人体育、职业体育、学校体育、社会体育等其他领域的反兴奋剂管理参照本办法执行。</w:t>
      </w:r>
    </w:p>
    <w:p w14:paraId="371AF788">
      <w:pPr>
        <w:pStyle w:val="6"/>
        <w:spacing w:before="0" w:beforeAutospacing="0" w:after="0" w:afterAutospacing="0"/>
        <w:rPr>
          <w:rFonts w:ascii="仿宋" w:hAnsi="仿宋" w:eastAsia="仿宋" w:cs="Arial"/>
          <w:color w:val="222222"/>
          <w:sz w:val="32"/>
          <w:szCs w:val="32"/>
        </w:rPr>
      </w:pPr>
      <w:r>
        <w:rPr>
          <w:rFonts w:ascii="仿宋" w:hAnsi="仿宋" w:eastAsia="仿宋" w:cs="Arial"/>
          <w:color w:val="222222"/>
          <w:sz w:val="32"/>
          <w:szCs w:val="32"/>
        </w:rPr>
        <w:t>　　</w:t>
      </w:r>
      <w:r>
        <w:rPr>
          <w:rStyle w:val="9"/>
          <w:rFonts w:ascii="黑体" w:hAnsi="黑体" w:eastAsia="黑体" w:cs="Arial"/>
          <w:b w:val="0"/>
          <w:color w:val="222222"/>
          <w:sz w:val="32"/>
          <w:szCs w:val="32"/>
        </w:rPr>
        <w:t>第五十二条</w:t>
      </w:r>
      <w:r>
        <w:rPr>
          <w:rStyle w:val="9"/>
          <w:rFonts w:ascii="Calibri" w:hAnsi="Calibri" w:eastAsia="仿宋" w:cs="Calibri"/>
          <w:color w:val="222222"/>
          <w:sz w:val="32"/>
          <w:szCs w:val="32"/>
        </w:rPr>
        <w:t> </w:t>
      </w:r>
      <w:r>
        <w:rPr>
          <w:rFonts w:ascii="仿宋" w:hAnsi="仿宋" w:eastAsia="仿宋" w:cs="Arial"/>
          <w:color w:val="222222"/>
          <w:sz w:val="32"/>
          <w:szCs w:val="32"/>
        </w:rPr>
        <w:t>本办法自公布之日起施行，2014年11月21日颁布的国家体育总局第20号令《反兴奋剂管理办法》同时废止。</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78C7A">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85774">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7685774">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18EFC11A">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国家体育总局发布     </w:t>
    </w:r>
  </w:p>
  <w:p w14:paraId="40CFD29E">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1992D">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699E3786">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部门规章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6F6D97"/>
    <w:multiLevelType w:val="multilevel"/>
    <w:tmpl w:val="036F6D97"/>
    <w:lvl w:ilvl="0" w:tentative="0">
      <w:start w:val="1"/>
      <w:numFmt w:val="japaneseCounting"/>
      <w:lvlText w:val="第%1章"/>
      <w:lvlJc w:val="left"/>
      <w:pPr>
        <w:ind w:left="4005" w:hanging="1170"/>
      </w:pPr>
      <w:rPr>
        <w:rFonts w:hint="default"/>
      </w:rPr>
    </w:lvl>
    <w:lvl w:ilvl="1" w:tentative="0">
      <w:start w:val="1"/>
      <w:numFmt w:val="lowerLetter"/>
      <w:lvlText w:val="%2)"/>
      <w:lvlJc w:val="left"/>
      <w:pPr>
        <w:ind w:left="3675" w:hanging="420"/>
      </w:pPr>
    </w:lvl>
    <w:lvl w:ilvl="2" w:tentative="0">
      <w:start w:val="1"/>
      <w:numFmt w:val="lowerRoman"/>
      <w:lvlText w:val="%3."/>
      <w:lvlJc w:val="right"/>
      <w:pPr>
        <w:ind w:left="4095" w:hanging="420"/>
      </w:pPr>
    </w:lvl>
    <w:lvl w:ilvl="3" w:tentative="0">
      <w:start w:val="1"/>
      <w:numFmt w:val="decimal"/>
      <w:lvlText w:val="%4."/>
      <w:lvlJc w:val="left"/>
      <w:pPr>
        <w:ind w:left="4515" w:hanging="420"/>
      </w:pPr>
    </w:lvl>
    <w:lvl w:ilvl="4" w:tentative="0">
      <w:start w:val="1"/>
      <w:numFmt w:val="lowerLetter"/>
      <w:lvlText w:val="%5)"/>
      <w:lvlJc w:val="left"/>
      <w:pPr>
        <w:ind w:left="4935" w:hanging="420"/>
      </w:pPr>
    </w:lvl>
    <w:lvl w:ilvl="5" w:tentative="0">
      <w:start w:val="1"/>
      <w:numFmt w:val="lowerRoman"/>
      <w:lvlText w:val="%6."/>
      <w:lvlJc w:val="right"/>
      <w:pPr>
        <w:ind w:left="5355" w:hanging="420"/>
      </w:pPr>
    </w:lvl>
    <w:lvl w:ilvl="6" w:tentative="0">
      <w:start w:val="1"/>
      <w:numFmt w:val="decimal"/>
      <w:lvlText w:val="%7."/>
      <w:lvlJc w:val="left"/>
      <w:pPr>
        <w:ind w:left="5775" w:hanging="420"/>
      </w:pPr>
    </w:lvl>
    <w:lvl w:ilvl="7" w:tentative="0">
      <w:start w:val="1"/>
      <w:numFmt w:val="lowerLetter"/>
      <w:lvlText w:val="%8)"/>
      <w:lvlJc w:val="left"/>
      <w:pPr>
        <w:ind w:left="6195" w:hanging="420"/>
      </w:pPr>
    </w:lvl>
    <w:lvl w:ilvl="8" w:tentative="0">
      <w:start w:val="1"/>
      <w:numFmt w:val="lowerRoman"/>
      <w:lvlText w:val="%9."/>
      <w:lvlJc w:val="right"/>
      <w:pPr>
        <w:ind w:left="661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13A3"/>
    <w:rsid w:val="00172A27"/>
    <w:rsid w:val="001755B7"/>
    <w:rsid w:val="00191A6D"/>
    <w:rsid w:val="00236478"/>
    <w:rsid w:val="002B733E"/>
    <w:rsid w:val="005E05E3"/>
    <w:rsid w:val="007D2FF2"/>
    <w:rsid w:val="008C6E2C"/>
    <w:rsid w:val="00C21F20"/>
    <w:rsid w:val="00CE64A5"/>
    <w:rsid w:val="00E309AC"/>
    <w:rsid w:val="00F3249A"/>
    <w:rsid w:val="00F7441A"/>
    <w:rsid w:val="019E71BD"/>
    <w:rsid w:val="04B679C3"/>
    <w:rsid w:val="080F63D8"/>
    <w:rsid w:val="09341458"/>
    <w:rsid w:val="0B0912D7"/>
    <w:rsid w:val="152D2DCA"/>
    <w:rsid w:val="1DEC284C"/>
    <w:rsid w:val="1E6523AC"/>
    <w:rsid w:val="22052DE4"/>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character" w:styleId="9">
    <w:name w:val="Strong"/>
    <w:basedOn w:val="8"/>
    <w:qFormat/>
    <w:uiPriority w:val="22"/>
    <w:rPr>
      <w:b/>
      <w:bCs/>
    </w:rPr>
  </w:style>
  <w:style w:type="character" w:styleId="10">
    <w:name w:val="annotation reference"/>
    <w:basedOn w:val="8"/>
    <w:uiPriority w:val="0"/>
    <w:rPr>
      <w:sz w:val="21"/>
      <w:szCs w:val="21"/>
    </w:rPr>
  </w:style>
  <w:style w:type="character" w:customStyle="1" w:styleId="11">
    <w:name w:val="批注框文本 Char"/>
    <w:basedOn w:val="8"/>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2513</Words>
  <Characters>2524</Characters>
  <Lines>47</Lines>
  <Paragraphs>13</Paragraphs>
  <TotalTime>114</TotalTime>
  <ScaleCrop>false</ScaleCrop>
  <LinksUpToDate>false</LinksUpToDate>
  <CharactersWithSpaces>2681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刘云伟</cp:lastModifiedBy>
  <cp:lastPrinted>2021-10-26T03:30:00Z</cp:lastPrinted>
  <dcterms:modified xsi:type="dcterms:W3CDTF">2024-12-30T02:16:08Z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48C61CB29D3F4D9384F5922CF0F7FFB4</vt:lpwstr>
  </property>
  <property fmtid="{D5CDD505-2E9C-101B-9397-08002B2CF9AE}" pid="4" name="KSOTemplateDocerSaveRecord">
    <vt:lpwstr>eyJoZGlkIjoiZjI1NzMxYWRhOTFjZmQyNWE4ZjZkNjIwNzcyNWU2ZmYiLCJ1c2VySWQiOiI3OTk3OTYxMjYifQ==</vt:lpwstr>
  </property>
</Properties>
</file>