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 w:afterLines="30"/>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eastAsia="zh-CN"/>
        </w:rPr>
        <w:t>北京市东城</w:t>
      </w:r>
      <w:r>
        <w:rPr>
          <w:rFonts w:hint="eastAsia" w:ascii="方正小标宋简体" w:hAnsi="宋体" w:eastAsia="方正小标宋简体" w:cs="宋体"/>
          <w:kern w:val="0"/>
          <w:sz w:val="44"/>
          <w:szCs w:val="44"/>
        </w:rPr>
        <w:t>区生态环境</w:t>
      </w:r>
      <w:r>
        <w:rPr>
          <w:rFonts w:hint="eastAsia" w:ascii="方正小标宋简体" w:hAnsi="宋体" w:eastAsia="方正小标宋简体" w:cs="宋体"/>
          <w:kern w:val="0"/>
          <w:sz w:val="44"/>
          <w:szCs w:val="44"/>
          <w:lang w:eastAsia="zh-CN"/>
        </w:rPr>
        <w:t>局</w:t>
      </w:r>
      <w:r>
        <w:rPr>
          <w:rFonts w:hint="eastAsia" w:ascii="方正小标宋简体" w:hAnsi="宋体" w:eastAsia="方正小标宋简体" w:cs="宋体"/>
          <w:kern w:val="0"/>
          <w:sz w:val="44"/>
          <w:szCs w:val="44"/>
          <w:lang w:val="en-US" w:eastAsia="zh-CN"/>
        </w:rPr>
        <w:t>2025年</w:t>
      </w:r>
      <w:r>
        <w:rPr>
          <w:rFonts w:hint="eastAsia" w:ascii="方正小标宋简体" w:hAnsi="宋体" w:eastAsia="方正小标宋简体" w:cs="宋体"/>
          <w:kern w:val="0"/>
          <w:sz w:val="44"/>
          <w:szCs w:val="44"/>
        </w:rPr>
        <w:t>综合执法检查</w:t>
      </w:r>
      <w:r>
        <w:rPr>
          <w:rFonts w:hint="eastAsia" w:ascii="方正小标宋简体" w:hAnsi="宋体" w:eastAsia="方正小标宋简体" w:cs="宋体"/>
          <w:kern w:val="0"/>
          <w:sz w:val="44"/>
          <w:szCs w:val="44"/>
          <w:lang w:eastAsia="zh-CN"/>
        </w:rPr>
        <w:t>计划</w:t>
      </w:r>
    </w:p>
    <w:tbl>
      <w:tblPr>
        <w:tblStyle w:val="7"/>
        <w:tblW w:w="5368" w:type="pct"/>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1250"/>
        <w:gridCol w:w="8650"/>
        <w:gridCol w:w="712"/>
        <w:gridCol w:w="1050"/>
        <w:gridCol w:w="1100"/>
        <w:gridCol w:w="963"/>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序号</w:t>
            </w:r>
          </w:p>
        </w:tc>
        <w:tc>
          <w:tcPr>
            <w:tcW w:w="41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sz w:val="24"/>
                <w:szCs w:val="24"/>
                <w:lang w:eastAsia="zh-CN"/>
              </w:rPr>
            </w:pPr>
            <w:r>
              <w:rPr>
                <w:rFonts w:hint="eastAsia" w:ascii="黑体" w:hAnsi="黑体" w:eastAsia="黑体" w:cs="黑体"/>
                <w:kern w:val="0"/>
                <w:sz w:val="24"/>
                <w:szCs w:val="24"/>
              </w:rPr>
              <w:t>检查</w:t>
            </w:r>
            <w:r>
              <w:rPr>
                <w:rFonts w:hint="eastAsia" w:ascii="黑体" w:hAnsi="黑体" w:eastAsia="黑体" w:cs="黑体"/>
                <w:kern w:val="0"/>
                <w:sz w:val="24"/>
                <w:szCs w:val="24"/>
                <w:lang w:eastAsia="zh-CN"/>
              </w:rPr>
              <w:t>事项</w:t>
            </w:r>
          </w:p>
        </w:tc>
        <w:tc>
          <w:tcPr>
            <w:tcW w:w="28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kern w:val="0"/>
                <w:sz w:val="24"/>
                <w:szCs w:val="24"/>
                <w:lang w:eastAsia="zh-CN"/>
              </w:rPr>
            </w:pPr>
            <w:r>
              <w:rPr>
                <w:rFonts w:hint="eastAsia" w:ascii="黑体" w:hAnsi="黑体" w:eastAsia="黑体" w:cs="黑体"/>
                <w:kern w:val="0"/>
                <w:sz w:val="24"/>
                <w:szCs w:val="24"/>
              </w:rPr>
              <w:t>检查</w:t>
            </w:r>
            <w:r>
              <w:rPr>
                <w:rFonts w:hint="eastAsia" w:ascii="黑体" w:hAnsi="黑体" w:eastAsia="黑体" w:cs="黑体"/>
                <w:kern w:val="0"/>
                <w:sz w:val="24"/>
                <w:szCs w:val="24"/>
                <w:lang w:eastAsia="zh-CN"/>
              </w:rPr>
              <w:t>内容</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管理</w:t>
            </w:r>
            <w:r>
              <w:rPr>
                <w:rFonts w:hint="eastAsia" w:ascii="黑体" w:hAnsi="黑体" w:eastAsia="黑体" w:cs="黑体"/>
                <w:kern w:val="0"/>
                <w:sz w:val="24"/>
                <w:szCs w:val="24"/>
              </w:rPr>
              <w:t>对象基数</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eastAsia="zh-CN"/>
              </w:rPr>
              <w:t>计划检查数量</w:t>
            </w:r>
            <w:r>
              <w:rPr>
                <w:rFonts w:hint="eastAsia" w:ascii="黑体" w:hAnsi="黑体" w:eastAsia="黑体" w:cs="黑体"/>
                <w:kern w:val="0"/>
                <w:sz w:val="24"/>
                <w:szCs w:val="24"/>
                <w:lang w:val="en-US" w:eastAsia="zh-CN"/>
              </w:rPr>
              <w:t>/年</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检查比例</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检查方式</w:t>
            </w:r>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检查主体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5000" w:type="pct"/>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left"/>
              <w:textAlignment w:val="center"/>
              <w:rPr>
                <w:rFonts w:hint="eastAsia" w:ascii="仿宋" w:hAnsi="仿宋" w:eastAsia="仿宋" w:cs="仿宋"/>
                <w:b/>
                <w:bCs/>
                <w:color w:val="000000"/>
                <w:kern w:val="0"/>
                <w:sz w:val="24"/>
                <w:szCs w:val="24"/>
              </w:rPr>
            </w:pPr>
            <w:bookmarkStart w:id="0" w:name="OLE_LINK5"/>
            <w:r>
              <w:rPr>
                <w:rFonts w:hint="eastAsia" w:ascii="黑体" w:hAnsi="黑体" w:eastAsia="黑体" w:cs="黑体"/>
                <w:color w:val="auto"/>
                <w:sz w:val="28"/>
                <w:szCs w:val="28"/>
                <w:highlight w:val="none"/>
                <w:lang w:eastAsia="zh-CN"/>
              </w:rPr>
              <w:t>一、蓝天保卫战执法</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sz w:val="21"/>
                <w:szCs w:val="21"/>
              </w:rPr>
            </w:pPr>
            <w:r>
              <w:rPr>
                <w:rFonts w:hint="eastAsia" w:ascii="仿宋" w:hAnsi="仿宋" w:eastAsia="仿宋" w:cs="仿宋"/>
                <w:kern w:val="0"/>
                <w:sz w:val="21"/>
                <w:szCs w:val="21"/>
              </w:rPr>
              <w:t>1</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“点穴</w:t>
            </w:r>
            <w:r>
              <w:rPr>
                <w:rFonts w:hint="eastAsia" w:ascii="仿宋" w:hAnsi="仿宋" w:eastAsia="仿宋" w:cs="仿宋"/>
                <w:kern w:val="0"/>
                <w:sz w:val="21"/>
                <w:szCs w:val="21"/>
                <w:lang w:eastAsia="zh-CN"/>
              </w:rPr>
              <w:t>式</w:t>
            </w:r>
            <w:r>
              <w:rPr>
                <w:rFonts w:hint="eastAsia" w:ascii="仿宋" w:hAnsi="仿宋" w:eastAsia="仿宋" w:cs="仿宋"/>
                <w:kern w:val="0"/>
                <w:sz w:val="21"/>
                <w:szCs w:val="21"/>
              </w:rPr>
              <w:t>”</w:t>
            </w:r>
            <w:r>
              <w:rPr>
                <w:rFonts w:hint="eastAsia" w:ascii="仿宋" w:hAnsi="仿宋" w:eastAsia="仿宋" w:cs="仿宋"/>
                <w:kern w:val="0"/>
                <w:sz w:val="21"/>
                <w:szCs w:val="21"/>
                <w:lang w:eastAsia="zh-CN"/>
              </w:rPr>
              <w:t>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kern w:val="0"/>
                <w:sz w:val="21"/>
                <w:szCs w:val="21"/>
              </w:rPr>
              <w:t>开展大气、噪声“点穴式”专项非现场驱动的现</w:t>
            </w:r>
            <w:r>
              <w:rPr>
                <w:rFonts w:hint="eastAsia" w:ascii="仿宋" w:hAnsi="仿宋" w:eastAsia="仿宋" w:cs="仿宋"/>
                <w:kern w:val="0"/>
                <w:sz w:val="21"/>
                <w:szCs w:val="21"/>
                <w:lang w:eastAsia="zh-CN"/>
              </w:rPr>
              <w:t>场</w:t>
            </w:r>
            <w:r>
              <w:rPr>
                <w:rFonts w:hint="eastAsia" w:ascii="仿宋" w:hAnsi="仿宋" w:eastAsia="仿宋" w:cs="仿宋"/>
                <w:kern w:val="0"/>
                <w:sz w:val="21"/>
                <w:szCs w:val="21"/>
              </w:rPr>
              <w:t>执法</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大气“点穴”。根据空气质量排名和工作部署，对</w:t>
            </w:r>
            <w:r>
              <w:rPr>
                <w:rFonts w:hint="eastAsia" w:ascii="仿宋" w:hAnsi="仿宋" w:eastAsia="仿宋" w:cs="仿宋"/>
                <w:kern w:val="0"/>
                <w:sz w:val="21"/>
                <w:szCs w:val="21"/>
                <w:lang w:eastAsia="zh-CN"/>
              </w:rPr>
              <w:t>排名落后街道涉及单位开展检查</w:t>
            </w:r>
            <w:r>
              <w:rPr>
                <w:rFonts w:hint="eastAsia" w:ascii="仿宋" w:hAnsi="仿宋" w:eastAsia="仿宋" w:cs="仿宋"/>
                <w:kern w:val="0"/>
                <w:sz w:val="21"/>
                <w:szCs w:val="21"/>
              </w:rPr>
              <w:t>。对市级“点穴式”执法发现移送的问题进行核查整改</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噪声“点穴”</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根据商业固定设备、施工噪声投诉数据分析的噪声地图开展检查，督促属地</w:t>
            </w:r>
            <w:r>
              <w:rPr>
                <w:rFonts w:hint="eastAsia" w:ascii="仿宋" w:hAnsi="仿宋" w:eastAsia="仿宋" w:cs="仿宋"/>
                <w:kern w:val="0"/>
                <w:sz w:val="21"/>
                <w:szCs w:val="21"/>
                <w:lang w:eastAsia="zh-CN"/>
              </w:rPr>
              <w:t>、单位</w:t>
            </w:r>
            <w:r>
              <w:rPr>
                <w:rFonts w:hint="eastAsia" w:ascii="仿宋" w:hAnsi="仿宋" w:eastAsia="仿宋" w:cs="仿宋"/>
                <w:kern w:val="0"/>
                <w:sz w:val="21"/>
                <w:szCs w:val="21"/>
              </w:rPr>
              <w:t>落实环境管理职责</w:t>
            </w:r>
            <w:r>
              <w:rPr>
                <w:rFonts w:hint="eastAsia" w:ascii="仿宋" w:hAnsi="仿宋" w:eastAsia="仿宋" w:cs="仿宋"/>
                <w:kern w:val="0"/>
                <w:sz w:val="21"/>
                <w:szCs w:val="21"/>
                <w:lang w:eastAsia="zh-CN"/>
              </w:rPr>
              <w:t>。</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6275</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385家次</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非现场检查</w:t>
            </w:r>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东城</w:t>
            </w:r>
            <w:r>
              <w:rPr>
                <w:rFonts w:hint="eastAsia" w:ascii="仿宋" w:hAnsi="仿宋" w:eastAsia="仿宋" w:cs="仿宋"/>
                <w:kern w:val="0"/>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书记点评会执法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kern w:val="0"/>
                <w:sz w:val="21"/>
                <w:szCs w:val="21"/>
              </w:rPr>
              <w:t>对市级移送的问题线索进行现场检查整改，开展非现场</w:t>
            </w:r>
            <w:r>
              <w:rPr>
                <w:rFonts w:hint="eastAsia" w:ascii="仿宋" w:hAnsi="仿宋" w:eastAsia="仿宋" w:cs="仿宋"/>
                <w:kern w:val="0"/>
                <w:sz w:val="21"/>
                <w:szCs w:val="21"/>
                <w:lang w:eastAsia="zh-CN"/>
              </w:rPr>
              <w:t>驱动的现场执法。</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6275</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16家次</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0.3%</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bookmarkStart w:id="1" w:name="OLE_LINK1"/>
            <w:r>
              <w:rPr>
                <w:rFonts w:hint="eastAsia" w:ascii="仿宋" w:hAnsi="仿宋" w:eastAsia="仿宋" w:cs="仿宋"/>
                <w:kern w:val="0"/>
                <w:sz w:val="21"/>
                <w:szCs w:val="21"/>
                <w:lang w:eastAsia="zh-CN"/>
              </w:rPr>
              <w:t>非现场检查</w:t>
            </w:r>
            <w:bookmarkEnd w:id="1"/>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东城</w:t>
            </w:r>
            <w:r>
              <w:rPr>
                <w:rFonts w:hint="eastAsia" w:ascii="仿宋" w:hAnsi="仿宋" w:eastAsia="仿宋" w:cs="仿宋"/>
                <w:kern w:val="0"/>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sz w:val="21"/>
                <w:szCs w:val="21"/>
                <w:lang w:eastAsia="zh-CN"/>
              </w:rPr>
            </w:pPr>
            <w:bookmarkStart w:id="2" w:name="OLE_LINK11" w:colFirst="4" w:colLast="5"/>
            <w:r>
              <w:rPr>
                <w:rFonts w:hint="eastAsia" w:ascii="仿宋" w:hAnsi="仿宋" w:eastAsia="仿宋" w:cs="仿宋"/>
                <w:kern w:val="0"/>
                <w:sz w:val="21"/>
                <w:szCs w:val="21"/>
                <w:lang w:val="en-US" w:eastAsia="zh-CN"/>
              </w:rPr>
              <w:t>3</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default" w:ascii="仿宋" w:hAnsi="仿宋" w:eastAsia="仿宋" w:cs="仿宋"/>
                <w:kern w:val="0"/>
                <w:sz w:val="21"/>
                <w:szCs w:val="21"/>
                <w:lang w:val="en-US" w:eastAsia="zh-CN"/>
              </w:rPr>
              <w:t>重点时期执法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default" w:ascii="仿宋" w:hAnsi="仿宋" w:eastAsia="仿宋" w:cs="仿宋"/>
                <w:kern w:val="0"/>
                <w:sz w:val="21"/>
                <w:szCs w:val="21"/>
                <w:lang w:eastAsia="zh-CN"/>
              </w:rPr>
              <w:t>按照重大活动保障安排和重污染工作机制要求，开展重点时期专项现场执法，保障环境质量和环境安全。</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rPr>
            </w:pPr>
            <w:r>
              <w:rPr>
                <w:rFonts w:hint="eastAsia" w:ascii="仿宋" w:hAnsi="仿宋" w:eastAsia="仿宋" w:cs="仿宋"/>
                <w:kern w:val="0"/>
                <w:sz w:val="21"/>
                <w:szCs w:val="21"/>
                <w:lang w:val="en-US" w:eastAsia="zh-CN"/>
              </w:rPr>
              <w:t>6275</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非</w:t>
            </w:r>
            <w:r>
              <w:rPr>
                <w:rFonts w:hint="default" w:ascii="仿宋" w:hAnsi="仿宋" w:eastAsia="仿宋" w:cs="仿宋"/>
                <w:kern w:val="0"/>
                <w:sz w:val="21"/>
                <w:szCs w:val="21"/>
                <w:lang w:eastAsia="zh-CN"/>
              </w:rPr>
              <w:t>现场750家次</w:t>
            </w:r>
            <w:r>
              <w:rPr>
                <w:rFonts w:hint="eastAsia" w:ascii="仿宋" w:hAnsi="仿宋" w:eastAsia="仿宋" w:cs="仿宋"/>
                <w:kern w:val="0"/>
                <w:sz w:val="21"/>
                <w:szCs w:val="21"/>
                <w:lang w:eastAsia="zh-CN"/>
              </w:rPr>
              <w:t>，</w:t>
            </w:r>
            <w:r>
              <w:rPr>
                <w:rFonts w:hint="default" w:ascii="仿宋" w:hAnsi="仿宋" w:eastAsia="仿宋" w:cs="仿宋"/>
                <w:kern w:val="0"/>
                <w:sz w:val="21"/>
                <w:szCs w:val="21"/>
                <w:lang w:eastAsia="zh-CN"/>
              </w:rPr>
              <w:t>现场不超过500家次。</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现场7%</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非现场12%</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bookmarkStart w:id="3" w:name="OLE_LINK2"/>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bookmarkEnd w:id="3"/>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东城区生态环境局</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4</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sz w:val="21"/>
                <w:szCs w:val="21"/>
              </w:rPr>
              <w:t>采暖季锅炉</w:t>
            </w:r>
            <w:r>
              <w:rPr>
                <w:rFonts w:hint="eastAsia" w:ascii="仿宋" w:hAnsi="仿宋" w:eastAsia="仿宋" w:cs="仿宋"/>
                <w:sz w:val="21"/>
                <w:szCs w:val="21"/>
                <w:lang w:eastAsia="zh-CN"/>
              </w:rPr>
              <w:t>专项</w:t>
            </w:r>
            <w:r>
              <w:rPr>
                <w:rFonts w:hint="eastAsia" w:ascii="仿宋" w:hAnsi="仿宋" w:eastAsia="仿宋" w:cs="仿宋"/>
                <w:sz w:val="21"/>
                <w:szCs w:val="21"/>
              </w:rPr>
              <w:t>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default" w:ascii="仿宋" w:hAnsi="仿宋" w:eastAsia="仿宋" w:cs="仿宋"/>
                <w:kern w:val="0"/>
                <w:sz w:val="21"/>
                <w:szCs w:val="21"/>
                <w:lang w:eastAsia="zh-CN"/>
              </w:rPr>
              <w:t>对未安装在线监控的单纯采暖季锅炉使用单位开展专项非现场加现场执法，注重执法监测联动，以未开展低氮改造或改造目标为80</w:t>
            </w:r>
            <w:r>
              <w:rPr>
                <w:rFonts w:hint="eastAsia" w:ascii="仿宋" w:hAnsi="仿宋" w:eastAsia="仿宋" w:cs="仿宋"/>
                <w:kern w:val="0"/>
                <w:sz w:val="21"/>
                <w:szCs w:val="21"/>
                <w:lang w:eastAsia="zh-CN"/>
              </w:rPr>
              <w:t>毫克</w:t>
            </w:r>
            <w:r>
              <w:rPr>
                <w:rFonts w:hint="default" w:ascii="仿宋" w:hAnsi="仿宋" w:eastAsia="仿宋" w:cs="仿宋"/>
                <w:kern w:val="0"/>
                <w:sz w:val="21"/>
                <w:szCs w:val="21"/>
                <w:lang w:eastAsia="zh-CN"/>
              </w:rPr>
              <w:t>/</w:t>
            </w:r>
            <w:r>
              <w:rPr>
                <w:rFonts w:hint="eastAsia" w:ascii="仿宋" w:hAnsi="仿宋" w:eastAsia="仿宋" w:cs="仿宋"/>
                <w:kern w:val="0"/>
                <w:sz w:val="21"/>
                <w:szCs w:val="21"/>
                <w:lang w:eastAsia="zh-CN"/>
              </w:rPr>
              <w:t>立方米</w:t>
            </w:r>
            <w:r>
              <w:rPr>
                <w:rFonts w:hint="default" w:ascii="仿宋" w:hAnsi="仿宋" w:eastAsia="仿宋" w:cs="仿宋"/>
                <w:kern w:val="0"/>
                <w:sz w:val="21"/>
                <w:szCs w:val="21"/>
                <w:lang w:eastAsia="zh-CN"/>
              </w:rPr>
              <w:t>的燃气锅炉、燃油锅炉使用单位为检查重点。</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441</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非</w:t>
            </w:r>
            <w:r>
              <w:rPr>
                <w:rFonts w:hint="default" w:ascii="仿宋" w:hAnsi="仿宋" w:eastAsia="仿宋" w:cs="仿宋"/>
                <w:kern w:val="0"/>
                <w:sz w:val="21"/>
                <w:szCs w:val="21"/>
                <w:lang w:eastAsia="zh-CN"/>
              </w:rPr>
              <w:t>现场</w:t>
            </w:r>
            <w:r>
              <w:rPr>
                <w:rFonts w:hint="eastAsia" w:ascii="仿宋" w:hAnsi="仿宋" w:eastAsia="仿宋" w:cs="仿宋"/>
                <w:kern w:val="0"/>
                <w:sz w:val="21"/>
                <w:szCs w:val="21"/>
                <w:lang w:val="en-US" w:eastAsia="zh-CN"/>
              </w:rPr>
              <w:t>25</w:t>
            </w:r>
            <w:r>
              <w:rPr>
                <w:rFonts w:hint="default" w:ascii="仿宋" w:hAnsi="仿宋" w:eastAsia="仿宋" w:cs="仿宋"/>
                <w:kern w:val="0"/>
                <w:sz w:val="21"/>
                <w:szCs w:val="21"/>
                <w:lang w:eastAsia="zh-CN"/>
              </w:rPr>
              <w:t>家次</w:t>
            </w:r>
            <w:r>
              <w:rPr>
                <w:rFonts w:hint="eastAsia" w:ascii="仿宋" w:hAnsi="仿宋" w:eastAsia="仿宋" w:cs="仿宋"/>
                <w:kern w:val="0"/>
                <w:sz w:val="21"/>
                <w:szCs w:val="21"/>
                <w:lang w:eastAsia="zh-CN"/>
              </w:rPr>
              <w:t>，</w:t>
            </w:r>
            <w:r>
              <w:rPr>
                <w:rFonts w:hint="default" w:ascii="仿宋" w:hAnsi="仿宋" w:eastAsia="仿宋" w:cs="仿宋"/>
                <w:kern w:val="0"/>
                <w:sz w:val="21"/>
                <w:szCs w:val="21"/>
                <w:lang w:eastAsia="zh-CN"/>
              </w:rPr>
              <w:t>现场不超过</w:t>
            </w:r>
            <w:r>
              <w:rPr>
                <w:rFonts w:hint="eastAsia" w:ascii="仿宋" w:hAnsi="仿宋" w:eastAsia="仿宋" w:cs="仿宋"/>
                <w:kern w:val="0"/>
                <w:sz w:val="21"/>
                <w:szCs w:val="21"/>
                <w:lang w:val="en-US" w:eastAsia="zh-CN"/>
              </w:rPr>
              <w:t>25</w:t>
            </w:r>
            <w:r>
              <w:rPr>
                <w:rFonts w:hint="default" w:ascii="仿宋" w:hAnsi="仿宋" w:eastAsia="仿宋" w:cs="仿宋"/>
                <w:kern w:val="0"/>
                <w:sz w:val="21"/>
                <w:szCs w:val="21"/>
                <w:lang w:eastAsia="zh-CN"/>
              </w:rPr>
              <w:t>家次。</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现场5%</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非现场5%</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5</w:t>
            </w:r>
          </w:p>
        </w:tc>
        <w:tc>
          <w:tcPr>
            <w:tcW w:w="41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sz w:val="21"/>
                <w:szCs w:val="21"/>
                <w:lang w:val="en-US" w:eastAsia="zh-CN"/>
              </w:rPr>
              <w:t>餐饮包案执法</w:t>
            </w:r>
          </w:p>
        </w:tc>
        <w:tc>
          <w:tcPr>
            <w:tcW w:w="28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eastAsia="zh-CN"/>
              </w:rPr>
            </w:pPr>
            <w:r>
              <w:rPr>
                <w:rFonts w:hint="default" w:ascii="仿宋" w:hAnsi="仿宋" w:eastAsia="仿宋" w:cs="仿宋"/>
                <w:kern w:val="0"/>
                <w:sz w:val="21"/>
                <w:szCs w:val="21"/>
                <w:lang w:eastAsia="zh-CN"/>
              </w:rPr>
              <w:t>深化千家包案工作机制，开展餐饮专项非现场加现场执法。结合2024年市级每月一题平台收到涉餐饮油烟投诉举报，组织开展非现场、现场执法，针对2024年投诉10次以上（含10次）的新增点位和2023年未解决的点位开展包案</w:t>
            </w:r>
            <w:r>
              <w:rPr>
                <w:rFonts w:hint="eastAsia" w:ascii="仿宋" w:hAnsi="仿宋" w:eastAsia="仿宋" w:cs="仿宋"/>
                <w:kern w:val="0"/>
                <w:sz w:val="21"/>
                <w:szCs w:val="21"/>
                <w:lang w:eastAsia="zh-CN"/>
              </w:rPr>
              <w:t>。</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4285</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default" w:ascii="仿宋" w:hAnsi="仿宋" w:eastAsia="仿宋" w:cs="仿宋"/>
                <w:kern w:val="0"/>
                <w:sz w:val="21"/>
                <w:szCs w:val="21"/>
                <w:lang w:val="en-US" w:eastAsia="zh-CN"/>
              </w:rPr>
              <w:t>非现场390家次，现场不超过569家次</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现场13%</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非现场9%</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bookmarkStart w:id="4" w:name="OLE_LINK9"/>
            <w:r>
              <w:rPr>
                <w:rFonts w:hint="eastAsia" w:ascii="仿宋" w:hAnsi="仿宋" w:eastAsia="仿宋" w:cs="仿宋"/>
                <w:kern w:val="0"/>
                <w:sz w:val="21"/>
                <w:szCs w:val="21"/>
                <w:lang w:val="en-US" w:eastAsia="zh-CN"/>
              </w:rPr>
              <w:t>非现场检查+现场检查</w:t>
            </w:r>
            <w:bookmarkEnd w:id="4"/>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6</w:t>
            </w:r>
          </w:p>
        </w:tc>
        <w:tc>
          <w:tcPr>
            <w:tcW w:w="41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信访投诉执法</w:t>
            </w:r>
          </w:p>
        </w:tc>
        <w:tc>
          <w:tcPr>
            <w:tcW w:w="28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持续推进接诉即办，对餐饮油烟、工业噪声、异味扰民、工业污染等各类投诉举报案件即时现场执法，在规定期限内依法查实办准，建立辖区重点举报案件台账并及时跟进办理进度；做好政策解释和执法普法宣传，积极回应群众关切，提高响应率、解决率、满意率。定期分析研究各类举报线索，提前研判规律性共性问题，对举报频率较高的违法行为和区域加大执法力度。切实加强举报奖励与综合执法工作的衔接，对符合条件的举报人予以奖励。</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lang w:eastAsia="zh-CN"/>
              </w:rPr>
            </w:pPr>
            <w:bookmarkStart w:id="5" w:name="OLE_LINK4"/>
            <w:r>
              <w:rPr>
                <w:rFonts w:hint="eastAsia" w:ascii="仿宋" w:hAnsi="仿宋" w:eastAsia="仿宋" w:cs="仿宋"/>
                <w:color w:val="000000"/>
                <w:kern w:val="0"/>
                <w:sz w:val="21"/>
                <w:szCs w:val="21"/>
                <w:lang w:eastAsia="zh-CN"/>
              </w:rPr>
              <w:t>—</w:t>
            </w:r>
            <w:bookmarkEnd w:id="5"/>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rPr>
            </w:pPr>
            <w:r>
              <w:rPr>
                <w:rFonts w:hint="eastAsia" w:ascii="仿宋" w:hAnsi="仿宋" w:eastAsia="仿宋" w:cs="仿宋"/>
                <w:color w:val="000000"/>
                <w:kern w:val="0"/>
                <w:sz w:val="21"/>
                <w:szCs w:val="21"/>
                <w:lang w:eastAsia="zh-CN"/>
              </w:rPr>
              <w:t>—</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现场检查</w:t>
            </w:r>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41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ODS执法</w:t>
            </w:r>
          </w:p>
        </w:tc>
        <w:tc>
          <w:tcPr>
            <w:tcW w:w="28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对ODS备案单位开展专项非现场加现场执法，结合日常执法、全时执法等任务，对涉ODS企业实施日常监管，摸排企业备案情况，督促未备案企业依法限期备案。</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eastAsia="zh-CN"/>
              </w:rPr>
              <w:t>非现场检查</w:t>
            </w:r>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41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中高考期间噪声执法</w:t>
            </w:r>
          </w:p>
        </w:tc>
        <w:tc>
          <w:tcPr>
            <w:tcW w:w="28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中高考时期开展“绿色护考”行动，采取联合执法、全时执法等方式，配合公安、城管执法等部门做好消夏夜市、广场舞、装修扰民等社会生活噪声和学校、考点周边的施工噪声检查,对发现的问题依法进行查处，对生态环境职责以外的问题及时移交相关职能部门。</w:t>
            </w:r>
          </w:p>
        </w:tc>
        <w:tc>
          <w:tcPr>
            <w:tcW w:w="23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60" w:lineRule="exact"/>
              <w:ind w:firstLine="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kern w:val="0"/>
                <w:sz w:val="21"/>
                <w:szCs w:val="21"/>
                <w:lang w:val="en-US" w:eastAsia="zh-CN" w:bidi="ar-SA"/>
              </w:rPr>
              <w:t>6275</w:t>
            </w:r>
          </w:p>
        </w:tc>
        <w:tc>
          <w:tcPr>
            <w:tcW w:w="34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非现场40家次，现场检查不超过40家次</w:t>
            </w:r>
          </w:p>
        </w:tc>
        <w:tc>
          <w:tcPr>
            <w:tcW w:w="3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bookmarkStart w:id="6" w:name="OLE_LINK18"/>
            <w:r>
              <w:rPr>
                <w:rFonts w:hint="eastAsia" w:ascii="仿宋" w:hAnsi="仿宋" w:eastAsia="仿宋" w:cs="仿宋"/>
                <w:kern w:val="0"/>
                <w:sz w:val="21"/>
                <w:szCs w:val="21"/>
                <w:lang w:val="en-US" w:eastAsia="zh-CN" w:bidi="ar-SA"/>
              </w:rPr>
              <w:t>现场0.6%，非现场0.6%</w:t>
            </w:r>
            <w:bookmarkEnd w:id="6"/>
          </w:p>
        </w:tc>
        <w:tc>
          <w:tcPr>
            <w:tcW w:w="32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现场检查</w:t>
            </w:r>
          </w:p>
        </w:tc>
        <w:tc>
          <w:tcPr>
            <w:tcW w:w="2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
              <w:keepNext w:val="0"/>
              <w:keepLines w:val="0"/>
              <w:pageBreakBefore w:val="0"/>
              <w:widowControl/>
              <w:kinsoku/>
              <w:wordWrap/>
              <w:overflowPunct/>
              <w:topLinePunct w:val="0"/>
              <w:autoSpaceDE/>
              <w:autoSpaceDN/>
              <w:bidi w:val="0"/>
              <w:adjustRightInd/>
              <w:snapToGrid/>
              <w:spacing w:before="0" w:line="260" w:lineRule="exact"/>
              <w:jc w:val="left"/>
              <w:textAlignment w:val="center"/>
              <w:rPr>
                <w:rFonts w:hint="eastAsia" w:ascii="仿宋" w:hAnsi="仿宋" w:eastAsia="仿宋" w:cs="仿宋"/>
                <w:kern w:val="0"/>
                <w:sz w:val="21"/>
                <w:szCs w:val="21"/>
                <w:lang w:val="en-US" w:eastAsia="zh-CN" w:bidi="ar-SA"/>
              </w:rPr>
            </w:pPr>
            <w:bookmarkStart w:id="7" w:name="OLE_LINK3"/>
            <w:r>
              <w:rPr>
                <w:rFonts w:hint="eastAsia" w:ascii="仿宋" w:hAnsi="仿宋" w:eastAsia="仿宋" w:cs="仿宋"/>
                <w:kern w:val="0"/>
                <w:sz w:val="21"/>
                <w:szCs w:val="21"/>
                <w:lang w:val="en-US" w:eastAsia="zh-CN" w:bidi="ar-SA"/>
              </w:rPr>
              <w:t>在用车</w:t>
            </w:r>
            <w:r>
              <w:rPr>
                <w:rFonts w:hint="default" w:ascii="仿宋" w:hAnsi="仿宋" w:eastAsia="仿宋" w:cs="仿宋"/>
                <w:kern w:val="0"/>
                <w:sz w:val="21"/>
                <w:szCs w:val="21"/>
                <w:lang w:val="en-US" w:eastAsia="zh-CN" w:bidi="ar-SA"/>
              </w:rPr>
              <w:t>重点道路执法</w:t>
            </w:r>
            <w:bookmarkEnd w:id="7"/>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default" w:ascii="仿宋" w:hAnsi="仿宋" w:eastAsia="仿宋" w:cs="仿宋"/>
                <w:kern w:val="0"/>
                <w:sz w:val="21"/>
                <w:szCs w:val="21"/>
                <w:lang w:val="en-US" w:eastAsia="zh-CN"/>
              </w:rPr>
              <w:t>按照“环保检测、公安处罚”模式，在</w:t>
            </w:r>
            <w:r>
              <w:rPr>
                <w:rFonts w:hint="eastAsia" w:ascii="仿宋" w:hAnsi="仿宋" w:eastAsia="仿宋" w:cs="仿宋"/>
                <w:kern w:val="0"/>
                <w:sz w:val="21"/>
                <w:szCs w:val="21"/>
                <w:lang w:val="en-US" w:eastAsia="zh-CN"/>
              </w:rPr>
              <w:t>辖区内</w:t>
            </w:r>
            <w:r>
              <w:rPr>
                <w:rFonts w:hint="default" w:ascii="仿宋" w:hAnsi="仿宋" w:eastAsia="仿宋" w:cs="仿宋"/>
                <w:kern w:val="0"/>
                <w:sz w:val="21"/>
                <w:szCs w:val="21"/>
                <w:lang w:val="en-US" w:eastAsia="zh-CN"/>
              </w:rPr>
              <w:t>重点道路对上路行驶车辆开展</w:t>
            </w:r>
            <w:r>
              <w:rPr>
                <w:rFonts w:hint="eastAsia" w:ascii="仿宋" w:hAnsi="仿宋" w:eastAsia="仿宋" w:cs="仿宋"/>
                <w:kern w:val="0"/>
                <w:sz w:val="21"/>
                <w:szCs w:val="21"/>
                <w:lang w:val="en-US" w:eastAsia="zh-CN"/>
              </w:rPr>
              <w:t>人工</w:t>
            </w:r>
            <w:r>
              <w:rPr>
                <w:rFonts w:hint="default" w:ascii="仿宋" w:hAnsi="仿宋" w:eastAsia="仿宋" w:cs="仿宋"/>
                <w:kern w:val="0"/>
                <w:sz w:val="21"/>
                <w:szCs w:val="21"/>
                <w:lang w:val="en-US" w:eastAsia="zh-CN"/>
              </w:rPr>
              <w:t>执法检查</w:t>
            </w:r>
            <w:r>
              <w:rPr>
                <w:rFonts w:hint="eastAsia" w:ascii="仿宋" w:hAnsi="仿宋" w:eastAsia="仿宋" w:cs="仿宋"/>
                <w:kern w:val="0"/>
                <w:sz w:val="21"/>
                <w:szCs w:val="21"/>
                <w:lang w:val="en-US" w:eastAsia="zh-CN"/>
              </w:rPr>
              <w:t>，路检开展氮氧化物检查。突出夜间时段</w:t>
            </w:r>
            <w:r>
              <w:rPr>
                <w:rFonts w:hint="default" w:ascii="仿宋" w:hAnsi="仿宋" w:eastAsia="仿宋" w:cs="仿宋"/>
                <w:kern w:val="0"/>
                <w:sz w:val="21"/>
                <w:szCs w:val="21"/>
                <w:lang w:val="en-US" w:eastAsia="zh-CN"/>
              </w:rPr>
              <w:t>执法检查</w:t>
            </w:r>
            <w:r>
              <w:rPr>
                <w:rFonts w:hint="eastAsia" w:ascii="仿宋" w:hAnsi="仿宋" w:eastAsia="仿宋" w:cs="仿宋"/>
                <w:kern w:val="0"/>
                <w:sz w:val="21"/>
                <w:szCs w:val="21"/>
                <w:lang w:val="en-US" w:eastAsia="zh-CN"/>
              </w:rPr>
              <w:t>，重点查处排放超标未及时复检车辆。</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bookmarkStart w:id="8" w:name="OLE_LINK14"/>
            <w:r>
              <w:rPr>
                <w:rFonts w:hint="eastAsia" w:ascii="仿宋" w:hAnsi="仿宋" w:eastAsia="仿宋" w:cs="仿宋"/>
                <w:kern w:val="0"/>
                <w:sz w:val="21"/>
                <w:szCs w:val="21"/>
                <w:lang w:val="en-US" w:eastAsia="zh-CN"/>
              </w:rPr>
              <w:t>途经检查点位的车辆</w:t>
            </w:r>
            <w:bookmarkEnd w:id="8"/>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不少于2.9万辆</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rPr>
            </w:pPr>
            <w:bookmarkStart w:id="9" w:name="OLE_LINK12"/>
            <w:r>
              <w:rPr>
                <w:rFonts w:hint="eastAsia" w:ascii="仿宋" w:hAnsi="仿宋" w:eastAsia="仿宋" w:cs="仿宋"/>
                <w:kern w:val="0"/>
                <w:sz w:val="21"/>
                <w:szCs w:val="21"/>
                <w:lang w:val="en-US" w:eastAsia="zh-CN"/>
              </w:rPr>
              <w:t>—</w:t>
            </w:r>
            <w:bookmarkEnd w:id="9"/>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
              <w:keepNext w:val="0"/>
              <w:keepLines w:val="0"/>
              <w:pageBreakBefore w:val="0"/>
              <w:widowControl/>
              <w:kinsoku/>
              <w:wordWrap/>
              <w:overflowPunct/>
              <w:topLinePunct w:val="0"/>
              <w:autoSpaceDE/>
              <w:autoSpaceDN/>
              <w:bidi w:val="0"/>
              <w:adjustRightInd/>
              <w:snapToGrid/>
              <w:spacing w:before="0" w:line="260" w:lineRule="exact"/>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SA"/>
              </w:rPr>
              <w:t>在用车入户</w:t>
            </w:r>
            <w:r>
              <w:rPr>
                <w:rFonts w:hint="default" w:ascii="仿宋" w:hAnsi="仿宋" w:eastAsia="仿宋" w:cs="仿宋"/>
                <w:kern w:val="0"/>
                <w:sz w:val="21"/>
                <w:szCs w:val="21"/>
                <w:lang w:val="en-US" w:eastAsia="zh-CN" w:bidi="ar-SA"/>
              </w:rPr>
              <w:t>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针对上年度黑名单、在线异常和国四（及）以下排放标准重点车辆以及超标车辆较多的重点用车大户等线索开展“非现场+现场”执法检查，从严查处年度超标率超过10%或者单车年度超标被处罚5次以上的违法行为。适时开展氮氧化物检测。</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东城区注册车辆及在区内停放、维修、使用车辆</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氮氧化物检查</w:t>
            </w:r>
            <w:r>
              <w:rPr>
                <w:rFonts w:hint="eastAsia" w:ascii="仿宋" w:hAnsi="仿宋" w:eastAsia="仿宋" w:cs="仿宋"/>
                <w:color w:val="000000"/>
                <w:kern w:val="0"/>
                <w:sz w:val="21"/>
                <w:szCs w:val="21"/>
                <w:lang w:val="en-US" w:eastAsia="zh-CN"/>
              </w:rPr>
              <w:t>1万辆（含道路执法）</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color w:val="000000"/>
                <w:kern w:val="0"/>
                <w:sz w:val="21"/>
                <w:szCs w:val="21"/>
              </w:rPr>
            </w:pPr>
            <w:bookmarkStart w:id="10" w:name="OLE_LINK13"/>
            <w:r>
              <w:rPr>
                <w:rFonts w:hint="eastAsia" w:ascii="仿宋" w:hAnsi="仿宋" w:eastAsia="仿宋" w:cs="仿宋"/>
                <w:kern w:val="0"/>
                <w:sz w:val="21"/>
                <w:szCs w:val="21"/>
                <w:lang w:val="en-US" w:eastAsia="zh-CN"/>
              </w:rPr>
              <w:t>—</w:t>
            </w:r>
            <w:bookmarkEnd w:id="10"/>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default" w:ascii="仿宋" w:hAnsi="仿宋" w:eastAsia="仿宋" w:cs="仿宋"/>
                <w:kern w:val="0"/>
                <w:sz w:val="21"/>
                <w:szCs w:val="21"/>
                <w:lang w:val="en-US" w:eastAsia="zh-CN"/>
              </w:rPr>
              <w:t>非道路移动机械执法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结合日常、专项检查任务加强在用非道路移动机械执法检查，严查违反禁止使用高排放非道路移动机械区域有关规定的违法行为。根据</w:t>
            </w:r>
            <w:r>
              <w:rPr>
                <w:rFonts w:hint="default" w:ascii="仿宋" w:hAnsi="仿宋" w:eastAsia="仿宋" w:cs="仿宋"/>
                <w:kern w:val="0"/>
                <w:sz w:val="21"/>
                <w:szCs w:val="21"/>
                <w:lang w:val="en-US" w:eastAsia="zh-CN"/>
              </w:rPr>
              <w:t>企业编码登记</w:t>
            </w:r>
            <w:r>
              <w:rPr>
                <w:rFonts w:hint="eastAsia" w:ascii="仿宋" w:hAnsi="仿宋" w:eastAsia="仿宋" w:cs="仿宋"/>
                <w:kern w:val="0"/>
                <w:sz w:val="21"/>
                <w:szCs w:val="21"/>
                <w:lang w:val="en-US" w:eastAsia="zh-CN"/>
              </w:rPr>
              <w:t>数量以及施工工地进出场登记情况，筛选国三及以下排放标准柴油机械开展“非现场+现场”执法检查。在执法检查中收集黑加油站点、非法流动加油车等相关问题线索，及时移送市生态环境局或属地公安部门。其中移送属地公安部门的，将线索及办理结果及时报送市生态环境局。</w:t>
            </w:r>
            <w:r>
              <w:rPr>
                <w:rFonts w:hint="default" w:ascii="仿宋" w:hAnsi="仿宋" w:eastAsia="仿宋" w:cs="仿宋"/>
                <w:kern w:val="0"/>
                <w:sz w:val="21"/>
                <w:szCs w:val="21"/>
                <w:lang w:val="en-US" w:eastAsia="zh-CN"/>
              </w:rPr>
              <w:t>结合“点穴”、热点网格</w:t>
            </w:r>
            <w:r>
              <w:rPr>
                <w:rFonts w:hint="eastAsia" w:ascii="仿宋" w:hAnsi="仿宋" w:eastAsia="仿宋" w:cs="仿宋"/>
                <w:kern w:val="0"/>
                <w:sz w:val="21"/>
                <w:szCs w:val="21"/>
                <w:lang w:val="en-US" w:eastAsia="zh-CN"/>
              </w:rPr>
              <w:t>报警</w:t>
            </w:r>
            <w:r>
              <w:rPr>
                <w:rFonts w:hint="default" w:ascii="仿宋" w:hAnsi="仿宋" w:eastAsia="仿宋" w:cs="仿宋"/>
                <w:kern w:val="0"/>
                <w:sz w:val="21"/>
                <w:szCs w:val="21"/>
                <w:lang w:val="en-US" w:eastAsia="zh-CN"/>
              </w:rPr>
              <w:t>、重污染应对、重大活动保障等工作</w:t>
            </w:r>
            <w:r>
              <w:rPr>
                <w:rFonts w:hint="eastAsia" w:ascii="仿宋" w:hAnsi="仿宋" w:eastAsia="仿宋" w:cs="仿宋"/>
                <w:kern w:val="0"/>
                <w:sz w:val="21"/>
                <w:szCs w:val="21"/>
                <w:lang w:val="en-US" w:eastAsia="zh-CN"/>
              </w:rPr>
              <w:t>，检查非道路移动机械的同时开展扬尘督导检查，将发现的</w:t>
            </w:r>
            <w:r>
              <w:rPr>
                <w:rFonts w:hint="default" w:ascii="仿宋" w:hAnsi="仿宋" w:eastAsia="仿宋" w:cs="仿宋"/>
                <w:kern w:val="0"/>
                <w:sz w:val="21"/>
                <w:szCs w:val="21"/>
                <w:lang w:val="en-US" w:eastAsia="zh-CN"/>
              </w:rPr>
              <w:t>扬尘问题</w:t>
            </w:r>
            <w:r>
              <w:rPr>
                <w:rFonts w:hint="eastAsia" w:ascii="仿宋" w:hAnsi="仿宋" w:eastAsia="仿宋" w:cs="仿宋"/>
                <w:kern w:val="0"/>
                <w:sz w:val="21"/>
                <w:szCs w:val="21"/>
                <w:lang w:val="en-US" w:eastAsia="zh-CN"/>
              </w:rPr>
              <w:t>通过</w:t>
            </w:r>
            <w:r>
              <w:rPr>
                <w:rFonts w:hint="default" w:ascii="仿宋" w:hAnsi="仿宋" w:eastAsia="仿宋" w:cs="仿宋"/>
                <w:kern w:val="0"/>
                <w:sz w:val="21"/>
                <w:szCs w:val="21"/>
                <w:lang w:val="en-US" w:eastAsia="zh-CN"/>
              </w:rPr>
              <w:t>电子</w:t>
            </w:r>
            <w:r>
              <w:rPr>
                <w:rFonts w:hint="eastAsia" w:ascii="仿宋" w:hAnsi="仿宋" w:eastAsia="仿宋" w:cs="仿宋"/>
                <w:kern w:val="0"/>
                <w:sz w:val="21"/>
                <w:szCs w:val="21"/>
                <w:lang w:val="en-US" w:eastAsia="zh-CN"/>
              </w:rPr>
              <w:t>系统、函送等方式移送城管部门或属地街道（地区）</w:t>
            </w:r>
            <w:r>
              <w:rPr>
                <w:rFonts w:hint="default" w:ascii="仿宋" w:hAnsi="仿宋" w:eastAsia="仿宋" w:cs="仿宋"/>
                <w:kern w:val="0"/>
                <w:sz w:val="21"/>
                <w:szCs w:val="21"/>
                <w:lang w:val="en-US" w:eastAsia="zh-CN"/>
              </w:rPr>
              <w:t>。</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在东城辖区内使用的非道路移动机械</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650</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eastAsia="zh-CN"/>
              </w:rPr>
            </w:pPr>
            <w:r>
              <w:rPr>
                <w:rFonts w:hint="eastAsia" w:ascii="仿宋" w:hAnsi="仿宋" w:eastAsia="仿宋" w:cs="仿宋"/>
                <w:bCs/>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bookmarkStart w:id="11" w:name="OLE_LINK16"/>
            <w:r>
              <w:rPr>
                <w:rFonts w:hint="eastAsia" w:ascii="仿宋" w:hAnsi="仿宋" w:eastAsia="仿宋" w:cs="仿宋"/>
                <w:kern w:val="0"/>
                <w:sz w:val="21"/>
                <w:szCs w:val="21"/>
                <w:lang w:val="en-US" w:eastAsia="zh-CN"/>
              </w:rPr>
              <w:t>机动车检验机构和维修机构执法</w:t>
            </w:r>
            <w:bookmarkEnd w:id="11"/>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依托机动车定期排放检验监管系统对检验机构和维修机构开展非现场加现场专项检查，其中非现场检查全年60次。每日对车辆检验过程进行网络监控，全年重点车型网络监控核查率不低于80%。对发现问题进行现场核查，重点查处干扰OBD检测、检测仪器安装作弊软硬件、冒黑烟车出具合格报告、擅自放宽检验方法等违法违规行为。根据检查中发现的临时租用净化装置、破坏车载诊断系统的问题，对机动车维修机构开展延伸检查</w:t>
            </w:r>
            <w:r>
              <w:rPr>
                <w:rFonts w:hint="default" w:ascii="仿宋" w:hAnsi="仿宋" w:eastAsia="仿宋" w:cs="仿宋"/>
                <w:kern w:val="0"/>
                <w:sz w:val="21"/>
                <w:szCs w:val="21"/>
                <w:lang w:val="en-US" w:eastAsia="zh-CN"/>
              </w:rPr>
              <w:t>。</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60</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非现场检查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rPr>
                <w:rFonts w:hint="default" w:ascii="仿宋" w:hAnsi="仿宋" w:eastAsia="仿宋" w:cs="仿宋"/>
                <w:kern w:val="0"/>
                <w:sz w:val="21"/>
                <w:szCs w:val="21"/>
                <w:lang w:val="en-US" w:eastAsia="zh-CN" w:bidi="ar-SA"/>
              </w:rPr>
            </w:pPr>
            <w:r>
              <w:rPr>
                <w:rFonts w:hint="default" w:ascii="仿宋" w:hAnsi="仿宋" w:eastAsia="仿宋" w:cs="仿宋"/>
                <w:kern w:val="0"/>
                <w:sz w:val="21"/>
                <w:szCs w:val="21"/>
                <w:lang w:val="en-US" w:eastAsia="zh-CN" w:bidi="ar-SA"/>
              </w:rPr>
              <w:t>机动车遥感监测执法</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利用辖区机动车遥感监测系统,开展专项非现场执法，审核超标车数据。按照标准对执法设备定期校准和巡检，加强设备监测数据传输监控，提升数据有效率，及时排查异常问题并提交书面说明</w:t>
            </w:r>
            <w:r>
              <w:rPr>
                <w:rFonts w:hint="default" w:ascii="仿宋" w:hAnsi="仿宋" w:eastAsia="仿宋" w:cs="仿宋"/>
                <w:kern w:val="0"/>
                <w:sz w:val="21"/>
                <w:szCs w:val="21"/>
                <w:lang w:val="en-US" w:eastAsia="zh-CN" w:bidi="ar-SA"/>
              </w:rPr>
              <w:t>。</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途经检查点位的车辆</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非现场检查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5000" w:type="pct"/>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bookmarkStart w:id="12" w:name="OLE_LINK6"/>
            <w:r>
              <w:rPr>
                <w:rFonts w:hint="eastAsia" w:ascii="黑体" w:hAnsi="黑体" w:eastAsia="黑体" w:cs="黑体"/>
                <w:color w:val="auto"/>
                <w:sz w:val="24"/>
                <w:szCs w:val="24"/>
                <w:highlight w:val="none"/>
                <w:lang w:eastAsia="zh-CN"/>
              </w:rPr>
              <w:t>二、</w:t>
            </w:r>
            <w:r>
              <w:rPr>
                <w:rFonts w:hint="eastAsia" w:ascii="黑体" w:hAnsi="黑体" w:eastAsia="黑体" w:cs="黑体"/>
                <w:color w:val="auto"/>
                <w:kern w:val="0"/>
                <w:sz w:val="24"/>
                <w:szCs w:val="24"/>
                <w:highlight w:val="none"/>
                <w:lang w:eastAsia="zh-CN"/>
              </w:rPr>
              <w:t>碧水保卫战执法</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rPr>
            </w:pPr>
            <w:bookmarkStart w:id="13" w:name="OLE_LINK15" w:colFirst="4" w:colLast="5"/>
            <w:r>
              <w:rPr>
                <w:rFonts w:hint="eastAsia" w:ascii="仿宋" w:hAnsi="仿宋" w:eastAsia="仿宋" w:cs="仿宋"/>
                <w:kern w:val="0"/>
                <w:sz w:val="21"/>
                <w:szCs w:val="21"/>
              </w:rPr>
              <w:t>13</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bidi="ar-SA"/>
              </w:rPr>
            </w:pPr>
            <w:r>
              <w:rPr>
                <w:rFonts w:hint="default" w:ascii="仿宋" w:hAnsi="仿宋" w:eastAsia="仿宋" w:cs="仿宋"/>
                <w:kern w:val="0"/>
                <w:sz w:val="21"/>
                <w:szCs w:val="21"/>
                <w:lang w:val="en-US" w:eastAsia="zh-CN" w:bidi="ar-SA"/>
              </w:rPr>
              <w:t>饮用水水源</w:t>
            </w:r>
            <w:r>
              <w:rPr>
                <w:rFonts w:hint="eastAsia" w:ascii="仿宋" w:hAnsi="仿宋" w:eastAsia="仿宋" w:cs="仿宋"/>
                <w:kern w:val="0"/>
                <w:sz w:val="21"/>
                <w:szCs w:val="21"/>
                <w:lang w:val="en-US" w:eastAsia="zh-CN" w:bidi="ar-SA"/>
              </w:rPr>
              <w:t>保护区</w:t>
            </w:r>
            <w:r>
              <w:rPr>
                <w:rFonts w:hint="default" w:ascii="仿宋" w:hAnsi="仿宋" w:eastAsia="仿宋" w:cs="仿宋"/>
                <w:kern w:val="0"/>
                <w:sz w:val="21"/>
                <w:szCs w:val="21"/>
                <w:lang w:val="en-US" w:eastAsia="zh-CN" w:bidi="ar-SA"/>
              </w:rPr>
              <w:t>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对饮用水水源保护区内开展专项现场执法检查，依法查处水源保护区内的违法排污口、排放污染物的建设项目、养殖粪污水、垃圾堆放、钓鱼等违法行为。</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bookmarkStart w:id="14" w:name="OLE_LINK7"/>
            <w:r>
              <w:rPr>
                <w:rFonts w:hint="eastAsia" w:ascii="黑体" w:hAnsi="黑体" w:eastAsia="黑体" w:cs="黑体"/>
                <w:color w:val="auto"/>
                <w:kern w:val="0"/>
                <w:sz w:val="24"/>
                <w:szCs w:val="24"/>
                <w:highlight w:val="none"/>
                <w:lang w:eastAsia="zh-CN"/>
              </w:rPr>
              <w:t>三、净土保卫战执法</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rPr>
            </w:pPr>
            <w:bookmarkStart w:id="15" w:name="OLE_LINK17" w:colFirst="4" w:colLast="5"/>
            <w:r>
              <w:rPr>
                <w:rFonts w:hint="eastAsia" w:ascii="仿宋" w:hAnsi="仿宋" w:eastAsia="仿宋" w:cs="仿宋"/>
                <w:kern w:val="0"/>
                <w:sz w:val="21"/>
                <w:szCs w:val="21"/>
              </w:rPr>
              <w:t>14</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新污染物和新化学物质专项执法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对新污染物和新化学物质开展专项非现场加现场检查。严格落实国家、本市关于新污染物治理工作要求以及《新化学物质环境管理登记办法》要求，加大对未按规定落实环境风险管控措施企业的监督执法力度，严查未依法办理新化学物质登记、备案手续的违法行为，防范环境风险。</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非现场5家次，现场不超过5家次</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100%</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5000" w:type="pct"/>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60" w:lineRule="exact"/>
              <w:ind w:right="0" w:rightChars="0"/>
              <w:jc w:val="left"/>
              <w:textAlignment w:val="auto"/>
              <w:rPr>
                <w:rFonts w:hint="eastAsia"/>
                <w:lang w:eastAsia="zh-CN"/>
              </w:rPr>
            </w:pPr>
            <w:bookmarkStart w:id="16" w:name="OLE_LINK8"/>
            <w:r>
              <w:rPr>
                <w:rFonts w:hint="eastAsia" w:ascii="黑体" w:hAnsi="黑体" w:eastAsia="黑体" w:cs="黑体"/>
                <w:color w:val="auto"/>
                <w:kern w:val="0"/>
                <w:sz w:val="24"/>
                <w:szCs w:val="24"/>
                <w:highlight w:val="none"/>
                <w:lang w:eastAsia="zh-CN"/>
              </w:rPr>
              <w:t>四、辐射执法</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辐射执法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对涉及辐射单位开展日常非现场加现场执法，按照技术程序，重点检查辐射安全法律法规执行情况、管理制度建立健全及执行情况、辐射安全和防护设施运行情况等。根据发现的问题线索开展非现场驱动的现场检查，根据工作实际需求进行关键点的辐射剂量监测核实或者采样。</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1"/>
              <w:spacing w:line="240" w:lineRule="auto"/>
              <w:ind w:firstLine="0"/>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180</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bidi="ar-SA"/>
              </w:rPr>
            </w:pPr>
            <w:bookmarkStart w:id="17" w:name="OLE_LINK19"/>
            <w:r>
              <w:rPr>
                <w:rFonts w:hint="eastAsia" w:ascii="仿宋" w:hAnsi="仿宋" w:eastAsia="仿宋" w:cs="仿宋"/>
                <w:kern w:val="0"/>
                <w:sz w:val="21"/>
                <w:szCs w:val="21"/>
                <w:lang w:val="en-US" w:eastAsia="zh-CN" w:bidi="ar-SA"/>
              </w:rPr>
              <w:t>非现场180家次，现场不超过180家次</w:t>
            </w:r>
            <w:bookmarkEnd w:id="17"/>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100%</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both"/>
              <w:textAlignment w:val="center"/>
              <w:rPr>
                <w:rFonts w:hint="eastAsia" w:ascii="仿宋" w:hAnsi="仿宋" w:eastAsia="仿宋" w:cs="仿宋"/>
                <w:bCs/>
                <w:color w:val="000000"/>
                <w:kern w:val="0"/>
                <w:sz w:val="21"/>
                <w:szCs w:val="21"/>
                <w:lang w:eastAsia="zh-CN"/>
              </w:rPr>
            </w:pPr>
            <w:r>
              <w:rPr>
                <w:rFonts w:hint="eastAsia" w:ascii="黑体" w:hAnsi="黑体" w:eastAsia="黑体" w:cs="黑体"/>
                <w:color w:val="auto"/>
                <w:kern w:val="0"/>
                <w:sz w:val="24"/>
                <w:szCs w:val="24"/>
                <w:highlight w:val="none"/>
                <w:lang w:eastAsia="zh-CN"/>
              </w:rPr>
              <w:t>五、综合执法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16</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深入推进分级分类执法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根据分级分类工作要求，以污染源为对象，对大气、水、土壤、固体废物、噪声、辐射等要素，开展差异化、多要素、综合性的日常检查。将污染源分为ABCDE五个级别，分别按比例开展非现场检查和现场检查。</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总数：1927</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A级：16</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B级：1090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C级：504</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D级：166</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E级：151</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15"/>
                <w:szCs w:val="15"/>
              </w:rPr>
              <w:t>建设项目：72</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eastAsia="zh-CN"/>
              </w:rPr>
            </w:pPr>
            <w:bookmarkStart w:id="18" w:name="OLE_LINK25"/>
            <w:r>
              <w:rPr>
                <w:rFonts w:hint="eastAsia" w:ascii="仿宋" w:hAnsi="仿宋" w:eastAsia="仿宋" w:cs="仿宋"/>
                <w:kern w:val="0"/>
                <w:sz w:val="21"/>
                <w:szCs w:val="21"/>
                <w:lang w:val="en-US" w:eastAsia="zh-CN" w:bidi="ar-SA"/>
              </w:rPr>
              <w:t>非现场650家次，现场不超过491家次</w:t>
            </w:r>
            <w:bookmarkEnd w:id="18"/>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现场</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B级：10%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C级：36%</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D级：60%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E级：100%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非现场A级：100%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B级：10%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C级：36%</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D级：60%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E级：100%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lang w:val="en-US" w:eastAsia="zh-CN"/>
              </w:rPr>
              <w:t>报告书：100%</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rPr>
            </w:pPr>
            <w:r>
              <w:rPr>
                <w:rFonts w:hint="eastAsia" w:ascii="仿宋" w:hAnsi="仿宋" w:eastAsia="仿宋" w:cs="仿宋"/>
                <w:color w:val="000000"/>
                <w:kern w:val="0"/>
                <w:sz w:val="15"/>
                <w:szCs w:val="15"/>
                <w:lang w:val="en-US" w:eastAsia="zh-CN"/>
              </w:rPr>
              <w:t>报告表：34%</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sz w:val="21"/>
                <w:szCs w:val="21"/>
                <w:lang w:eastAsia="zh-CN"/>
              </w:rPr>
            </w:pPr>
            <w:bookmarkStart w:id="19" w:name="OLE_LINK10"/>
            <w:r>
              <w:rPr>
                <w:rFonts w:hint="eastAsia" w:ascii="仿宋" w:hAnsi="仿宋" w:eastAsia="仿宋" w:cs="仿宋"/>
                <w:bCs/>
                <w:color w:val="000000"/>
                <w:kern w:val="0"/>
                <w:sz w:val="21"/>
                <w:szCs w:val="21"/>
                <w:lang w:eastAsia="zh-CN"/>
              </w:rPr>
              <w:t>东城区生态环境局</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177"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17</w:t>
            </w:r>
          </w:p>
        </w:tc>
        <w:tc>
          <w:tcPr>
            <w:tcW w:w="416"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科技手段线索核查执法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自动监控系统。依托自动监控平台，对污染物数据、自动监控标记内容每日至少开展1遍巡查，审核排污单位是否存在超标、虚假标记、贴线生产等异常问题，发现问题线索后，将异常问题录入综合执法平台，填报非现场执法清单；同时开展非现场驱动的现场执法，根据实际情况采取比对监测、准确性核查等方式，及时固定违法证据，依法查处违法行为。</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96</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bookmarkStart w:id="20" w:name="OLE_LINK22"/>
            <w:r>
              <w:rPr>
                <w:rFonts w:hint="eastAsia" w:ascii="仿宋" w:hAnsi="仿宋" w:eastAsia="仿宋" w:cs="仿宋"/>
                <w:kern w:val="0"/>
                <w:sz w:val="21"/>
                <w:szCs w:val="21"/>
                <w:lang w:eastAsia="zh-CN"/>
              </w:rPr>
              <w:t>非现场检查</w:t>
            </w:r>
            <w:bookmarkEnd w:id="20"/>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sz w:val="21"/>
                <w:szCs w:val="21"/>
                <w:lang w:eastAsia="zh-CN"/>
              </w:rPr>
            </w:pPr>
            <w:bookmarkStart w:id="21" w:name="OLE_LINK21"/>
            <w:r>
              <w:rPr>
                <w:rFonts w:hint="eastAsia" w:ascii="仿宋" w:hAnsi="仿宋" w:eastAsia="仿宋" w:cs="仿宋"/>
                <w:bCs/>
                <w:color w:val="000000"/>
                <w:kern w:val="0"/>
                <w:sz w:val="21"/>
                <w:szCs w:val="21"/>
                <w:lang w:eastAsia="zh-CN"/>
              </w:rPr>
              <w:t>东城区生态环境局</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177" w:type="pct"/>
            <w:vMerge w:val="continue"/>
            <w:tcBorders>
              <w:left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pPr>
            <w:bookmarkStart w:id="22" w:name="OLE_LINK24" w:colFirst="3" w:colLast="6"/>
          </w:p>
        </w:tc>
        <w:tc>
          <w:tcPr>
            <w:tcW w:w="416" w:type="pct"/>
            <w:vMerge w:val="continue"/>
            <w:tcBorders>
              <w:left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油气回收在线监控。依托油气回收在线监控平台，每月对已安装油气回收在线监控的加油站非现场检查1次。重点检查存在预报警问题线索的企业，对发现存在报警和短时间罐压骤降的问题线索开展现场精准检查。结合现场视频监控、比对监测、一致性和准确性核查等手段，查处油气回收系统和在线监控系统不正常运行、手动开启回气阀等违法行为。</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12</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144</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100%</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非现场检查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bCs/>
                <w:color w:val="000000"/>
                <w:kern w:val="0"/>
                <w:sz w:val="21"/>
                <w:szCs w:val="21"/>
                <w:lang w:eastAsia="zh-CN"/>
              </w:rPr>
              <w:t>东城区生态环境局</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177"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auto"/>
              <w:jc w:val="center"/>
              <w:textAlignment w:val="center"/>
              <w:rPr>
                <w:rFonts w:hint="eastAsia" w:ascii="仿宋" w:hAnsi="仿宋" w:eastAsia="仿宋" w:cs="仿宋"/>
                <w:kern w:val="0"/>
                <w:sz w:val="21"/>
                <w:szCs w:val="21"/>
                <w:lang w:val="en-US" w:eastAsia="zh-CN" w:bidi="ar-SA"/>
              </w:rPr>
            </w:pPr>
            <w:bookmarkStart w:id="23" w:name="OLE_LINK23" w:colFirst="2" w:colLast="7"/>
          </w:p>
        </w:tc>
        <w:tc>
          <w:tcPr>
            <w:tcW w:w="416"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热点网格。依托热点网格系统，开展日常线索核查、“点穴式”执法、全时执法和重大活动保障执法等，按要求完成非现场驱动的热点网格报警线索现场核查</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6275</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652</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10.3%</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非现场检查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bCs/>
                <w:color w:val="000000"/>
                <w:kern w:val="0"/>
                <w:sz w:val="21"/>
                <w:szCs w:val="21"/>
                <w:lang w:eastAsia="zh-CN"/>
              </w:rPr>
              <w:t>东城区生态环境局</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77"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pPr>
          </w:p>
        </w:tc>
        <w:tc>
          <w:tcPr>
            <w:tcW w:w="416"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pP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其他线索核查。依托排污许可证管理系统、固体废物管理信息系统、新化学物质管理信息平台、建设项目竣工验收系统、信息披露等平台信息及遥感、走航、视频核查等科技手段，通过非现场手段发现问题线索，开展非现场驱动的现场执法，</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6275</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137</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2.2%</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非现场检查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N/>
              <w:bidi w:val="0"/>
              <w:adjustRightInd/>
              <w:snapToGrid/>
              <w:spacing w:line="240" w:lineRule="auto"/>
              <w:ind w:right="0" w:rightChars="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18</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“三监”联动线索核查执法</w:t>
            </w:r>
          </w:p>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eastAsia" w:ascii="仿宋" w:hAnsi="仿宋" w:eastAsia="仿宋" w:cs="仿宋"/>
                <w:kern w:val="0"/>
                <w:sz w:val="21"/>
                <w:szCs w:val="21"/>
                <w:lang w:val="en-US" w:eastAsia="zh-CN" w:bidi="ar-SA"/>
              </w:rPr>
            </w:pP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根据“三监”联动反馈裸地、重型车、用电监控等问题线索，以及管理部门转办的碳排放、建设项目（含电磁）、辐射、排污许可证后核查、环境信息披露等问题线索，开展即时非现场执法</w:t>
            </w:r>
            <w:r>
              <w:rPr>
                <w:rFonts w:hint="default" w:ascii="仿宋" w:hAnsi="仿宋" w:eastAsia="仿宋" w:cs="仿宋"/>
                <w:kern w:val="0"/>
                <w:sz w:val="21"/>
                <w:szCs w:val="21"/>
                <w:lang w:val="en-US" w:eastAsia="zh-CN" w:bidi="ar-SA"/>
              </w:rPr>
              <w:t>。</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6275</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非现场检查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6"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19</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w:t>
            </w:r>
            <w:r>
              <w:rPr>
                <w:rFonts w:hint="default" w:ascii="仿宋" w:hAnsi="仿宋" w:eastAsia="仿宋" w:cs="仿宋"/>
                <w:kern w:val="0"/>
                <w:sz w:val="21"/>
                <w:szCs w:val="21"/>
                <w:lang w:val="en-US" w:eastAsia="zh-CN" w:bidi="ar-SA"/>
              </w:rPr>
              <w:t>两打”专项执法行动</w:t>
            </w:r>
            <w:r>
              <w:rPr>
                <w:rFonts w:hint="eastAsia" w:ascii="仿宋" w:hAnsi="仿宋" w:eastAsia="仿宋" w:cs="仿宋"/>
                <w:kern w:val="0"/>
                <w:sz w:val="21"/>
                <w:szCs w:val="21"/>
                <w:lang w:val="en-US" w:eastAsia="zh-CN" w:bidi="ar-SA"/>
              </w:rPr>
              <w:t>以及深化打击第三方环保服务机构弄虚作假问题专项整治行动执法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4"/>
              <w:keepNext w:val="0"/>
              <w:keepLines w:val="0"/>
              <w:pageBreakBefore w:val="0"/>
              <w:kinsoku/>
              <w:wordWrap/>
              <w:overflowPunct/>
              <w:topLinePunct w:val="0"/>
              <w:autoSpaceDE/>
              <w:autoSpaceDN/>
              <w:bidi w:val="0"/>
              <w:adjustRightInd/>
              <w:snapToGrid/>
              <w:spacing w:after="0" w:line="260" w:lineRule="exact"/>
              <w:ind w:right="0" w:right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对于危险废物，利用各类信息系统开展大数据分析，精准发现问题线索，重点针对废矿物油、精（蒸）馏残渣、废旧药品、废酸、废旧电子、工业污泥、废铅蓄电池等危险废物产生、收集、处置单位（个人）和非法加油活动开展联合检查。</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对于在线自动监控，筛选频繁故障（含超标后标记或报告故障）、超标后骤降、虚假标记、恒值、贴线生产等异常问题线索开展数据分析，查办违法犯罪问题。</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对于第三方弄虚作假，聚焦排污许可自行监测、验收监测、比对监测等关键领域，严查采样人未到场、同一采样人在相近时间出现在不同地点、原始记录缺失等篡改、伪造监测数据的情形。</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涉及污染物排放的单位</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bidi="ar-SA"/>
              </w:rPr>
              <w:t>非现场12家次，现场不超过105家次</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bookmarkStart w:id="24" w:name="OLE_LINK26"/>
            <w:r>
              <w:rPr>
                <w:rFonts w:hint="eastAsia" w:ascii="仿宋" w:hAnsi="仿宋" w:eastAsia="仿宋" w:cs="仿宋"/>
                <w:color w:val="000000"/>
                <w:kern w:val="0"/>
                <w:sz w:val="21"/>
                <w:szCs w:val="21"/>
                <w:lang w:val="en-US" w:eastAsia="zh-CN"/>
              </w:rPr>
              <w:t>__</w:t>
            </w:r>
            <w:bookmarkEnd w:id="24"/>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非现场检查</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执法监测执法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注重执法监测联动，对</w:t>
            </w:r>
            <w:r>
              <w:rPr>
                <w:rFonts w:hint="default" w:ascii="仿宋" w:hAnsi="仿宋" w:eastAsia="仿宋" w:cs="仿宋"/>
                <w:kern w:val="0"/>
                <w:sz w:val="21"/>
                <w:szCs w:val="21"/>
                <w:lang w:val="en-US" w:eastAsia="zh-CN" w:bidi="ar-SA"/>
              </w:rPr>
              <w:t>《2025年北京市生态环境监测方案》</w:t>
            </w:r>
            <w:r>
              <w:rPr>
                <w:rFonts w:hint="eastAsia" w:ascii="仿宋" w:hAnsi="仿宋" w:eastAsia="仿宋" w:cs="仿宋"/>
                <w:kern w:val="0"/>
                <w:sz w:val="21"/>
                <w:szCs w:val="21"/>
                <w:lang w:val="en-US" w:eastAsia="zh-CN" w:bidi="ar-SA"/>
              </w:rPr>
              <w:t>中的执法监测和在线自动监控、在油站在线监控比对监测等执法监测任务，开展专项现场检查，全年现场检查监测不超过12家次</w:t>
            </w:r>
            <w:r>
              <w:rPr>
                <w:rFonts w:hint="default" w:ascii="仿宋" w:hAnsi="仿宋" w:eastAsia="仿宋" w:cs="仿宋"/>
                <w:kern w:val="0"/>
                <w:sz w:val="21"/>
                <w:szCs w:val="21"/>
                <w:lang w:val="en-US" w:eastAsia="zh-CN" w:bidi="ar-SA"/>
              </w:rPr>
              <w:t>。</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default" w:ascii="仿宋" w:hAnsi="仿宋" w:eastAsia="仿宋" w:cs="仿宋"/>
                <w:color w:val="000000"/>
                <w:kern w:val="0"/>
                <w:sz w:val="21"/>
                <w:szCs w:val="21"/>
                <w:lang w:val="en-US" w:eastAsia="zh-CN"/>
              </w:rPr>
              <w:t>涉及需要开展监测的污染源排放单位</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__</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现场检查</w:t>
            </w:r>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7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21</w:t>
            </w:r>
          </w:p>
        </w:tc>
        <w:tc>
          <w:tcPr>
            <w:tcW w:w="41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0"/>
                <w:sz w:val="21"/>
                <w:szCs w:val="21"/>
                <w:lang w:val="en-US" w:eastAsia="zh-CN" w:bidi="ar-SA"/>
              </w:rPr>
            </w:pPr>
            <w:r>
              <w:rPr>
                <w:rFonts w:hint="default" w:ascii="仿宋" w:hAnsi="仿宋" w:eastAsia="仿宋" w:cs="仿宋"/>
                <w:kern w:val="0"/>
                <w:sz w:val="21"/>
                <w:szCs w:val="21"/>
                <w:lang w:val="en-US" w:eastAsia="zh-CN" w:bidi="ar-SA"/>
              </w:rPr>
              <w:t>全时执法</w:t>
            </w:r>
          </w:p>
        </w:tc>
        <w:tc>
          <w:tcPr>
            <w:tcW w:w="287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强化数据分析应用开展日常现场检查。与重点时期、重点地区、重点任务和问题线索相结合，采取工作日、休息日及昼、夜不间断的“全时”形式开展执法检查，严厉打击生态环境违法行为。原则上每周出动3次，每次1组，其中工作日晚上出动1次检查3家次（点位）、周末两天日间各出动1次检查6家次（点位），其余时间每天至少有1组执法人员备班，落实快速反应机制要求。全年现场检查不超过780家次。</w:t>
            </w:r>
          </w:p>
        </w:tc>
        <w:tc>
          <w:tcPr>
            <w:tcW w:w="23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6275</w:t>
            </w:r>
          </w:p>
        </w:tc>
        <w:tc>
          <w:tcPr>
            <w:tcW w:w="34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780</w:t>
            </w:r>
          </w:p>
        </w:tc>
        <w:tc>
          <w:tcPr>
            <w:tcW w:w="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12.4%</w:t>
            </w:r>
          </w:p>
        </w:tc>
        <w:tc>
          <w:tcPr>
            <w:tcW w:w="3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kern w:val="0"/>
                <w:sz w:val="21"/>
                <w:szCs w:val="21"/>
              </w:rPr>
            </w:pPr>
            <w:bookmarkStart w:id="25" w:name="OLE_LINK20"/>
            <w:r>
              <w:rPr>
                <w:rFonts w:hint="eastAsia" w:ascii="仿宋" w:hAnsi="仿宋" w:eastAsia="仿宋" w:cs="仿宋"/>
                <w:kern w:val="0"/>
                <w:sz w:val="21"/>
                <w:szCs w:val="21"/>
                <w:lang w:eastAsia="zh-CN"/>
              </w:rPr>
              <w:t>现场检查</w:t>
            </w:r>
            <w:bookmarkEnd w:id="25"/>
          </w:p>
        </w:tc>
        <w:tc>
          <w:tcPr>
            <w:tcW w:w="2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lang w:eastAsia="zh-CN"/>
              </w:rPr>
              <w:t>东城区生态环境局</w:t>
            </w:r>
          </w:p>
        </w:tc>
      </w:tr>
    </w:tbl>
    <w:p>
      <w:pPr>
        <w:pStyle w:val="10"/>
        <w:spacing w:line="560" w:lineRule="exact"/>
        <w:ind w:firstLine="0" w:firstLineChars="0"/>
        <w:rPr>
          <w:rFonts w:ascii="黑体" w:hAnsi="黑体" w:eastAsia="黑体" w:cs="黑体"/>
          <w:sz w:val="32"/>
          <w:szCs w:val="32"/>
        </w:rPr>
      </w:pPr>
      <w:r>
        <w:rPr>
          <w:rFonts w:hint="eastAsia" w:ascii="Segoe UI" w:hAnsi="Segoe UI" w:eastAsia="宋体" w:cs="Segoe UI"/>
          <w:i w:val="0"/>
          <w:iCs w:val="0"/>
          <w:caps w:val="0"/>
          <w:color w:val="232930"/>
          <w:spacing w:val="0"/>
          <w:sz w:val="21"/>
          <w:szCs w:val="21"/>
          <w:shd w:val="clear" w:fill="EBEDF0"/>
          <w:lang w:eastAsia="zh-CN"/>
        </w:rPr>
        <w:t>生态环境执法</w:t>
      </w:r>
      <w:r>
        <w:rPr>
          <w:rFonts w:ascii="Segoe UI" w:hAnsi="Segoe UI" w:eastAsia="Segoe UI" w:cs="Segoe UI"/>
          <w:i w:val="0"/>
          <w:iCs w:val="0"/>
          <w:caps w:val="0"/>
          <w:color w:val="232930"/>
          <w:spacing w:val="0"/>
          <w:sz w:val="21"/>
          <w:szCs w:val="21"/>
          <w:shd w:val="clear" w:fill="EBEDF0"/>
        </w:rPr>
        <w:t>对同一家企业最高现场检查上限是12次/年</w:t>
      </w:r>
    </w:p>
    <w:p>
      <w:bookmarkStart w:id="26" w:name="_GoBack"/>
      <w:bookmarkEnd w:id="26"/>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B1BB14-F0DB-4506-9338-1D6ECF6B14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6F1870BE-32A0-445C-8AC6-213288548BF1}"/>
  </w:font>
  <w:font w:name="仿宋">
    <w:panose1 w:val="02010609060101010101"/>
    <w:charset w:val="86"/>
    <w:family w:val="modern"/>
    <w:pitch w:val="default"/>
    <w:sig w:usb0="800002BF" w:usb1="38CF7CFA" w:usb2="00000016" w:usb3="00000000" w:csb0="00040001" w:csb1="00000000"/>
    <w:embedRegular r:id="rId3" w:fontKey="{0FB9A440-16E5-4BE7-B942-8D9F349C6A6D}"/>
  </w:font>
  <w:font w:name="Segoe UI">
    <w:panose1 w:val="020B0502040204020203"/>
    <w:charset w:val="00"/>
    <w:family w:val="auto"/>
    <w:pitch w:val="default"/>
    <w:sig w:usb0="E10022FF" w:usb1="C000E47F" w:usb2="00000029" w:usb3="00000000" w:csb0="200001DF" w:csb1="20000000"/>
    <w:embedRegular r:id="rId4" w:fontKey="{05E37413-90B1-4401-8394-2963AF3EAB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YjQ0YmYyZjFiMWQzYmMzMjQ2Njc3ZjZlYWE5NDMifQ=="/>
  </w:docVars>
  <w:rsids>
    <w:rsidRoot w:val="00944996"/>
    <w:rsid w:val="00015E60"/>
    <w:rsid w:val="00093AD7"/>
    <w:rsid w:val="001973D9"/>
    <w:rsid w:val="002604B0"/>
    <w:rsid w:val="0031586B"/>
    <w:rsid w:val="00575B96"/>
    <w:rsid w:val="00660D9E"/>
    <w:rsid w:val="006A1594"/>
    <w:rsid w:val="006F267D"/>
    <w:rsid w:val="00706DB1"/>
    <w:rsid w:val="00827CA4"/>
    <w:rsid w:val="008C0E97"/>
    <w:rsid w:val="00944996"/>
    <w:rsid w:val="00A45EBB"/>
    <w:rsid w:val="00F04CFF"/>
    <w:rsid w:val="00F94653"/>
    <w:rsid w:val="01D42434"/>
    <w:rsid w:val="033E21D9"/>
    <w:rsid w:val="03806F86"/>
    <w:rsid w:val="048A1780"/>
    <w:rsid w:val="04E92E1E"/>
    <w:rsid w:val="051A35ED"/>
    <w:rsid w:val="05C22B02"/>
    <w:rsid w:val="05D7005F"/>
    <w:rsid w:val="0C354C94"/>
    <w:rsid w:val="0CD957A2"/>
    <w:rsid w:val="0CFB3759"/>
    <w:rsid w:val="0F3F1C2B"/>
    <w:rsid w:val="0F476BA1"/>
    <w:rsid w:val="0FD34206"/>
    <w:rsid w:val="104A3253"/>
    <w:rsid w:val="11784596"/>
    <w:rsid w:val="123A23F6"/>
    <w:rsid w:val="149D3DDF"/>
    <w:rsid w:val="184C37C6"/>
    <w:rsid w:val="18F3355C"/>
    <w:rsid w:val="191D2FC3"/>
    <w:rsid w:val="1A734CF7"/>
    <w:rsid w:val="1BBE098B"/>
    <w:rsid w:val="1CEC5C03"/>
    <w:rsid w:val="1DD261D8"/>
    <w:rsid w:val="1F910FEA"/>
    <w:rsid w:val="20664BB5"/>
    <w:rsid w:val="23140F9B"/>
    <w:rsid w:val="250B4EB8"/>
    <w:rsid w:val="26B00E23"/>
    <w:rsid w:val="26E4095C"/>
    <w:rsid w:val="28A006AE"/>
    <w:rsid w:val="28FA6189"/>
    <w:rsid w:val="2A9C13A9"/>
    <w:rsid w:val="2AB11ADB"/>
    <w:rsid w:val="2AFA300F"/>
    <w:rsid w:val="2D21475F"/>
    <w:rsid w:val="2E31422D"/>
    <w:rsid w:val="2EDB42EF"/>
    <w:rsid w:val="3121401A"/>
    <w:rsid w:val="31AB75D8"/>
    <w:rsid w:val="33436EB8"/>
    <w:rsid w:val="34B63FE3"/>
    <w:rsid w:val="34E6283D"/>
    <w:rsid w:val="36FC6348"/>
    <w:rsid w:val="37540BA0"/>
    <w:rsid w:val="384735B7"/>
    <w:rsid w:val="39D8166F"/>
    <w:rsid w:val="3B6E493A"/>
    <w:rsid w:val="3B702E61"/>
    <w:rsid w:val="3C277297"/>
    <w:rsid w:val="3C841D58"/>
    <w:rsid w:val="3D336678"/>
    <w:rsid w:val="3D3659E4"/>
    <w:rsid w:val="3D851A5C"/>
    <w:rsid w:val="3F65436B"/>
    <w:rsid w:val="403717E9"/>
    <w:rsid w:val="41DD22AA"/>
    <w:rsid w:val="41E30B3A"/>
    <w:rsid w:val="42E3216A"/>
    <w:rsid w:val="450774CE"/>
    <w:rsid w:val="474B4782"/>
    <w:rsid w:val="48152EE1"/>
    <w:rsid w:val="4A1B4820"/>
    <w:rsid w:val="4D5B26AC"/>
    <w:rsid w:val="50DF27CC"/>
    <w:rsid w:val="52B23907"/>
    <w:rsid w:val="544256CC"/>
    <w:rsid w:val="54CC782F"/>
    <w:rsid w:val="54DE352E"/>
    <w:rsid w:val="554A151E"/>
    <w:rsid w:val="56602E9D"/>
    <w:rsid w:val="574D5FA2"/>
    <w:rsid w:val="58103AAF"/>
    <w:rsid w:val="59D14FBA"/>
    <w:rsid w:val="5A1C19D3"/>
    <w:rsid w:val="5AE16125"/>
    <w:rsid w:val="5B1F705C"/>
    <w:rsid w:val="5C6F0ABB"/>
    <w:rsid w:val="5D2972E4"/>
    <w:rsid w:val="5E8C4273"/>
    <w:rsid w:val="5FEF0D71"/>
    <w:rsid w:val="60736DCB"/>
    <w:rsid w:val="612C2AD6"/>
    <w:rsid w:val="61FB7AAA"/>
    <w:rsid w:val="632C3B2A"/>
    <w:rsid w:val="65196AA2"/>
    <w:rsid w:val="65ED6B48"/>
    <w:rsid w:val="68A634BD"/>
    <w:rsid w:val="6904134A"/>
    <w:rsid w:val="6A2471B2"/>
    <w:rsid w:val="6BC952E4"/>
    <w:rsid w:val="6C9C0EC0"/>
    <w:rsid w:val="6E0E5A3E"/>
    <w:rsid w:val="712212A8"/>
    <w:rsid w:val="73430029"/>
    <w:rsid w:val="7513602F"/>
    <w:rsid w:val="75A44310"/>
    <w:rsid w:val="794463D0"/>
    <w:rsid w:val="7B10762B"/>
    <w:rsid w:val="7BF2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toa heading"/>
    <w:basedOn w:val="1"/>
    <w:next w:val="1"/>
    <w:qFormat/>
    <w:uiPriority w:val="0"/>
    <w:pPr>
      <w:spacing w:before="120"/>
    </w:pPr>
    <w:rPr>
      <w:rFonts w:ascii="Arial" w:hAnsi="Arial" w:eastAsia="宋体" w:cs="Times New Roman"/>
      <w:sz w:val="24"/>
    </w:rPr>
  </w:style>
  <w:style w:type="paragraph" w:styleId="4">
    <w:name w:val="Body Text"/>
    <w:basedOn w:val="1"/>
    <w:next w:val="1"/>
    <w:link w:val="9"/>
    <w:qFormat/>
    <w:uiPriority w:val="99"/>
    <w:pPr>
      <w:spacing w:after="120"/>
    </w:p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正文文本 Char"/>
    <w:basedOn w:val="8"/>
    <w:link w:val="4"/>
    <w:qFormat/>
    <w:uiPriority w:val="99"/>
    <w:rPr>
      <w:rFonts w:ascii="Calibri" w:hAnsi="Calibri" w:eastAsia="宋体" w:cs="Times New Roman"/>
      <w:szCs w:val="24"/>
    </w:rPr>
  </w:style>
  <w:style w:type="paragraph" w:customStyle="1" w:styleId="10">
    <w:name w:val="正文首行缩进 21"/>
    <w:basedOn w:val="1"/>
    <w:qFormat/>
    <w:uiPriority w:val="0"/>
    <w:pPr>
      <w:spacing w:line="360" w:lineRule="auto"/>
      <w:ind w:firstLine="420" w:firstLineChars="200"/>
    </w:pPr>
    <w:rPr>
      <w:sz w:val="28"/>
      <w:szCs w:val="20"/>
    </w:rPr>
  </w:style>
  <w:style w:type="paragraph" w:customStyle="1" w:styleId="11">
    <w:name w:val="BodyText1I2"/>
    <w:basedOn w:val="12"/>
    <w:qFormat/>
    <w:uiPriority w:val="0"/>
    <w:pPr>
      <w:ind w:firstLine="420"/>
    </w:pPr>
  </w:style>
  <w:style w:type="paragraph" w:customStyle="1" w:styleId="12">
    <w:name w:val="BodyTextIndent"/>
    <w:basedOn w:val="1"/>
    <w:qFormat/>
    <w:uiPriority w:val="0"/>
    <w:pPr>
      <w:ind w:firstLine="645"/>
      <w:textAlignment w:val="baseline"/>
    </w:pPr>
    <w:rPr>
      <w:sz w:val="32"/>
    </w:rPr>
  </w:style>
  <w:style w:type="character" w:customStyle="1" w:styleId="13">
    <w:name w:val="1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1010</Words>
  <Characters>1149</Characters>
  <Lines>9</Lines>
  <Paragraphs>2</Paragraphs>
  <TotalTime>7</TotalTime>
  <ScaleCrop>false</ScaleCrop>
  <LinksUpToDate>false</LinksUpToDate>
  <CharactersWithSpaces>1149</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2024-03-29T07:13:00Z</dcterms:created>
  <dc:creator>dell</dc:creator>
  <cp:lastModifiedBy>Administrator</cp:lastModifiedBy>
  <cp:lastPrinted>2025-07-13T09:59:41Z</cp:lastPrinted>
  <dcterms:modified xsi:type="dcterms:W3CDTF">2025-07-13T12:50:35Z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647A5DAC3D7942DD8F0C8D5EC993F645_13</vt:lpwstr>
  </property>
</Properties>
</file>