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8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北京市东城区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市场监督管理局</w:t>
      </w:r>
    </w:p>
    <w:p>
      <w:pPr>
        <w:widowControl/>
        <w:wordWrap/>
        <w:adjustRightInd/>
        <w:snapToGrid/>
        <w:spacing w:line="58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度行政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执法统计年报</w:t>
      </w:r>
    </w:p>
    <w:p>
      <w:pPr>
        <w:pStyle w:val="13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2024年度，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东城区市场监督管理局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坚持以习近平新时代中国特色社会主义思想为指导，全面贯彻党的二十大和二十届二中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、三中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全会精神，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结合市区执法工作要求，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推进执法队伍建设、周密部署执法检查计划、不断强化执法监督指导等举措，全面贯彻落实行政执法“三项制度”，全力实现行政领域严格规范公正文明执法，高质高效完成本年度各项执法工作任务，切实提高行政执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效能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。根据《北京市行政执法公示办法》第十七条的规定，现将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行政执法工作情况报告如下：</w:t>
      </w:r>
    </w:p>
    <w:p>
      <w:pPr>
        <w:widowControl/>
        <w:wordWrap/>
        <w:adjustRightInd/>
        <w:snapToGrid/>
        <w:spacing w:line="5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行政执法机关的执法主体名称和数量情况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执法主体名称：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北京市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东城区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市场监督管理局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执法主体数量：1个。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二、执法主体的执法岗位设置及执法人员在岗情况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北京市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东城区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市场监督管理局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共有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21个业务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科室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19个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街道所以及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10个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执法分队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涉及行政执法事项。核定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A岗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人数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人，在岗人数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人，岗位人员关联率100%。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执法力量投入情况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highlight w:val="none"/>
        </w:rPr>
        <w:t>截至202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highlight w:val="none"/>
        </w:rPr>
        <w:t>年底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highlight w:val="none"/>
          <w:lang w:eastAsia="zh-CN"/>
        </w:rPr>
        <w:t>，本机关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</w:rPr>
        <w:t>行政执法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  <w:lang w:val="en-US" w:eastAsia="zh-CN"/>
        </w:rPr>
        <w:t>A岗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</w:rPr>
        <w:t>在岗人员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  <w:lang w:val="en-US" w:eastAsia="zh-CN"/>
        </w:rPr>
        <w:t>249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</w:rPr>
        <w:t>全部在岗并参与行政执法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、政务服务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事项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办理情况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共办理新设市场主体登记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5532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户，其中企业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4655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户，个体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877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服务5859户市场主体退出市场，其中企业5160户，个体699户。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办理食品行政审批事项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，药品行政审批事项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14420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件，医疗器械行政审批事项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。办理特种设备使用登记许可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4088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特种设备生产单位许可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家。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、执法检查计划执行情况</w:t>
      </w:r>
    </w:p>
    <w:p>
      <w:pPr>
        <w:widowControl/>
        <w:wordWrap/>
        <w:adjustRightInd/>
        <w:snapToGrid/>
        <w:spacing w:line="580" w:lineRule="exact"/>
        <w:ind w:left="0" w:leftChars="0" w:right="0" w:firstLine="571"/>
        <w:jc w:val="lef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（一）“双随机、一公开”监管</w:t>
      </w:r>
    </w:p>
    <w:p>
      <w:pPr>
        <w:spacing w:line="560" w:lineRule="exact"/>
        <w:ind w:firstLine="640" w:firstLineChars="200"/>
        <w:outlineLvl w:val="9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本机关牵头全区各相关部门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开展部门联合抽查13451户次，通过加强部门联合抽查规划统筹，进一步加大部门联合抽查力度，实现“进一次门、查多项事”。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各有关部门在开展部门联合抽查过程中发现问题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，问题发现率达20%，有效增强了监管合力和监管威力，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相关做法得到中国房地产报、中国环境报、中国信息报、中国城市网、新京报等多家中央和市级媒体宣传报道25次，助力提高企业、社会对双随机抽查监管方式的认知度，为双随机抽查顺利开展营造良好氛围。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各业务领域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专项检查</w:t>
      </w:r>
    </w:p>
    <w:p>
      <w:pPr>
        <w:pStyle w:val="13"/>
        <w:widowControl/>
        <w:numPr>
          <w:ilvl w:val="0"/>
          <w:numId w:val="0"/>
        </w:numPr>
        <w:spacing w:line="578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2024年，本机关开展食品安全领域监督检查1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4003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户次，其中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食品流通经营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7478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户次、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餐饮经营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  <w:t>299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户次、食品市场经营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236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户次、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特殊食品经营环节967户次、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食品生产环节23户次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共出动执法人员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28006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人次。</w:t>
      </w:r>
    </w:p>
    <w:p>
      <w:pPr>
        <w:pStyle w:val="9"/>
        <w:widowControl/>
        <w:numPr>
          <w:ilvl w:val="0"/>
          <w:numId w:val="0"/>
        </w:numPr>
        <w:wordWrap/>
        <w:adjustRightInd/>
        <w:snapToGrid/>
        <w:spacing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食品安全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监督抽检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批次，合格样本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3305件，合格率98.95%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。其中食品流通环节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批次，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合格样本16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合格率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99.32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餐饮服务环节10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批次，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合格样本1058件，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合格率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98.69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食品市场环节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610批次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，合格样本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600件，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合格率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98.36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食品生产环节32批次，合格样本32件，生产合格率100%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特殊食品经营环节3批次，合格样本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合格率100%。</w:t>
      </w:r>
    </w:p>
    <w:p>
      <w:pPr>
        <w:widowControl/>
        <w:adjustRightInd/>
        <w:snapToGrid/>
        <w:spacing w:line="580" w:lineRule="exact"/>
        <w:ind w:firstLine="584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开展药品（含医疗器械、化妆品）领域监督检查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2406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户次，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其中医疗器械流通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环节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595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次，药品流通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环节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307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次，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药品使用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环节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户次，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医疗器械使用环节360户次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医疗器械生产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环节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4户次，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化妆品经营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环节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840户次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共出动执法人员4812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人次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</w:t>
      </w:r>
    </w:p>
    <w:p>
      <w:pPr>
        <w:pStyle w:val="6"/>
        <w:widowControl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开展药品经营环节共抽样130批，其中网络抽检38批，完成率100%，合格率100%；医疗器械经营环节共抽样10批，完成率100%，合格率100%；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药品使用环节共抽样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230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监督抽检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合格率100%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；医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疗器械使用环节共抽样30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，合格率96.67%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；开展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化妆品抽样检验共120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，合格率99.17%。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开展特种设备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监督检查1184户次，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共出动执法人员2368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人次，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现隐患62项，全部紧盯整改闭环，立案处罚结案3起，行政处罚金额共计18万元。对9家特种设备生产单位的许可资源条件、质保体系运行、安全生产责任落实等情况进行检查，对发现的问题均督促整改完毕，有效落实特种设备领域信用监管，提升特种设备安全管理效能。</w:t>
      </w:r>
    </w:p>
    <w:p>
      <w:pPr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开展电动自行车经营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领域监督检查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2243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户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次，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其中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“考验”式暗访检查主体543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户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次，共出动执法人员4486人次。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加大对销售来源不明、无产品质量合格证明的“三无”蓄电池等违法行为监督检查力度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严厉打击电动自行车产品质量违法行为。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，立案查办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涉及电动自行车经营主体案件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件，其中立案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非法拼改装案件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4件，办结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率100%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行政处罚金额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共计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19.75万元；立案销售不合格电动自行车案件15件，办结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率86.66%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行政处罚金额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共计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5.51万元。查办其他涉及电动自行车经营主体案件23件。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车用汽油、车用柴油、涂料、胶粘剂、电动自行车蓄电池、儿童玩具、学生用品、服装、燃气灶具等12类直接关系安全风险隐患和人身健康的重点产品抽检，抽检152组，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合格率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90.8%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不合格产品处理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率100%。</w:t>
      </w:r>
    </w:p>
    <w:p>
      <w:pPr>
        <w:ind w:firstLine="640" w:firstLineChars="200"/>
        <w:outlineLvl w:val="9"/>
        <w:rPr>
          <w:rStyle w:val="12"/>
          <w:rFonts w:hint="default" w:ascii="Times New Roman" w:hAnsi="Times New Roman" w:eastAsia="仿宋_GB2312" w:cs="Times New Roman"/>
          <w:b w:val="0"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开展广告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领域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专项检查，对辖区内通过自有互联网媒介发布的广告行为进行监督检查，共计150户次，出动执法人员300人次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，检查中未发现问题。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开展知识产权</w:t>
      </w:r>
      <w:r>
        <w:rPr>
          <w:rStyle w:val="12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领域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监督检查300户次，专利代理机构检查14户次，专利代理师检查27户次，商标代理机构检查14户次；专项行动检查245户次，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上述专项检查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共计出动执法人员1200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人次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开展企业、团体标准专项检查，对34个企业标准和5个团体标准进行评估；对48件商品条码进行监督检查。</w:t>
      </w:r>
    </w:p>
    <w:p>
      <w:pPr>
        <w:pStyle w:val="13"/>
        <w:ind w:firstLine="640" w:firstLineChars="200"/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</w:pP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开展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网络市场监管</w:t>
      </w:r>
      <w:r>
        <w:rPr>
          <w:rStyle w:val="12"/>
          <w:rFonts w:hint="eastAsia" w:eastAsia="仿宋_GB2312" w:cs="Times New Roman"/>
          <w:b w:val="0"/>
          <w:color w:val="auto"/>
          <w:sz w:val="32"/>
          <w:szCs w:val="32"/>
          <w:lang w:eastAsia="zh-CN"/>
        </w:rPr>
        <w:t>领域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促发展保安全专项行动，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监督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检查网络经营主体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5055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户次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，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督促网络交易平台删除违法商品信息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87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条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；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开展“网盾行动”打击整治网络非法野生动植物交易</w:t>
      </w:r>
      <w:r>
        <w:rPr>
          <w:rStyle w:val="12"/>
          <w:rFonts w:hint="default" w:eastAsia="仿宋_GB2312" w:cs="Times New Roman"/>
          <w:b w:val="0"/>
          <w:color w:val="auto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行动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，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监督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检查网络经营主体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258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户次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；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开展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加强直播带货规范管理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工作，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监督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检查网络经营主体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3446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户次</w:t>
      </w:r>
      <w:r>
        <w:rPr>
          <w:rStyle w:val="12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Style w:val="12"/>
          <w:rFonts w:hint="default" w:eastAsia="仿宋_GB2312" w:cs="Times New Roman"/>
          <w:b w:val="0"/>
          <w:color w:val="auto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价格领域专项行动，涉及教育、医药、旅游、商超等领域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的价格监督检查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，共计160户次；开展反不正当竞争领域专项行动，涉及网络及民生领域不正当竞争、商业贿赂、侵犯商业秘密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的监督检查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，共计214户次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查网络传销违法线索1户次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；开展整治殡葬领域腐败乱象专项行动，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对辖区内医疗机构太平间及殡葬用品销售行业进行监督检查，共计60户次。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上述专项检查共出动执法人员870人次。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开展有形市场、超市计量专项监督检查，加强对市场计量秩序监管，全力维护消费者权益，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共计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2824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户次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；开展眼镜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制配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场所计量专项监督检查，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共计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105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户次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；开展加油机治理专项监督检查，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共计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57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户次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；开展医疗卫生系统在用计量器具监督检查，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共计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105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户次</w:t>
      </w:r>
      <w:r>
        <w:rPr>
          <w:rStyle w:val="12"/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开展认证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和检验检测领域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专项监督检查，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共计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155</w:t>
      </w:r>
      <w:r>
        <w:rPr>
          <w:rStyle w:val="12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户次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。上述专项检查共出动执法人员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6492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人次。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、行政处罚、行政强制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等案件的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办理情况</w:t>
      </w:r>
    </w:p>
    <w:p>
      <w:pPr>
        <w:widowControl w:val="0"/>
        <w:wordWrap/>
        <w:adjustRightInd w:val="0"/>
        <w:snapToGrid w:val="0"/>
        <w:spacing w:beforeAutospacing="0" w:afterAutospacing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2024年，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本机关共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办结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各类行政处罚案件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3329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件，罚没款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846.00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采取强制措施共计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申请法院非诉强制执行共计19件，案涉金额共计242.8万元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、投诉、举报案件的受理和分类办理情况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年，本机关共接收全国12315平台投诉举报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278441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件。其中投诉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241078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件，受理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件，受理率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39.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%；举报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37363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件，已立案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件。北京市消协热线96315共接收投诉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zh-CN"/>
        </w:rPr>
        <w:t>接收办理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zh-CN" w:eastAsia="zh-CN"/>
        </w:rPr>
        <w:t>12345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zh-CN"/>
        </w:rPr>
        <w:t>市民热线诉求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87617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zh-CN" w:eastAsia="zh-CN"/>
        </w:rPr>
        <w:t>。七有五性案件共计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64165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zh-CN" w:eastAsia="zh-CN"/>
        </w:rPr>
        <w:t>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val="zh-CN" w:eastAsia="zh-CN"/>
        </w:rPr>
        <w:t>市级考核参评案件共计59982件，考核三率案件1878件，响应率100%，解决率98.35%，满意率98.68%。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、其他需要公示的情况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无。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13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584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北京市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东城区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市场监督管理局</w:t>
      </w:r>
    </w:p>
    <w:p>
      <w:pPr>
        <w:widowControl/>
        <w:tabs>
          <w:tab w:val="left" w:pos="3150"/>
        </w:tabs>
        <w:wordWrap/>
        <w:adjustRightInd/>
        <w:snapToGrid/>
        <w:spacing w:line="580" w:lineRule="exact"/>
        <w:ind w:left="0" w:leftChars="0" w:right="0" w:firstLine="408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</w:t>
      </w:r>
    </w:p>
    <w:p>
      <w:pPr>
        <w:widowControl/>
        <w:tabs>
          <w:tab w:val="left" w:pos="3150"/>
        </w:tabs>
        <w:wordWrap/>
        <w:adjustRightInd/>
        <w:snapToGrid/>
        <w:spacing w:line="580" w:lineRule="exact"/>
        <w:ind w:left="0" w:leftChars="0" w:right="0" w:firstLine="408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9BEB"/>
    <w:multiLevelType w:val="singleLevel"/>
    <w:tmpl w:val="5E339BE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D16"/>
    <w:rsid w:val="000857EC"/>
    <w:rsid w:val="000B4533"/>
    <w:rsid w:val="000E5121"/>
    <w:rsid w:val="001A358B"/>
    <w:rsid w:val="001E6DDC"/>
    <w:rsid w:val="00285144"/>
    <w:rsid w:val="002918D3"/>
    <w:rsid w:val="005146CA"/>
    <w:rsid w:val="006C66A9"/>
    <w:rsid w:val="00710408"/>
    <w:rsid w:val="007376B6"/>
    <w:rsid w:val="007470CC"/>
    <w:rsid w:val="007C3EC9"/>
    <w:rsid w:val="008747D0"/>
    <w:rsid w:val="00894554"/>
    <w:rsid w:val="008D5784"/>
    <w:rsid w:val="00904957"/>
    <w:rsid w:val="00945D39"/>
    <w:rsid w:val="0094749D"/>
    <w:rsid w:val="00A97570"/>
    <w:rsid w:val="00AA0383"/>
    <w:rsid w:val="00B32E8D"/>
    <w:rsid w:val="00C12D8C"/>
    <w:rsid w:val="00C957EC"/>
    <w:rsid w:val="00CE054A"/>
    <w:rsid w:val="00D82E8B"/>
    <w:rsid w:val="00E117FA"/>
    <w:rsid w:val="01AD2720"/>
    <w:rsid w:val="02387B98"/>
    <w:rsid w:val="02BF76BC"/>
    <w:rsid w:val="037B2A6E"/>
    <w:rsid w:val="03820F4E"/>
    <w:rsid w:val="04452310"/>
    <w:rsid w:val="045A6A33"/>
    <w:rsid w:val="0544764D"/>
    <w:rsid w:val="06BB7496"/>
    <w:rsid w:val="07BF4B46"/>
    <w:rsid w:val="07C91C52"/>
    <w:rsid w:val="07EB560A"/>
    <w:rsid w:val="08073896"/>
    <w:rsid w:val="080F6D9E"/>
    <w:rsid w:val="08284309"/>
    <w:rsid w:val="090969B4"/>
    <w:rsid w:val="09581859"/>
    <w:rsid w:val="09C74F1B"/>
    <w:rsid w:val="09E14865"/>
    <w:rsid w:val="0C413890"/>
    <w:rsid w:val="0C906F4E"/>
    <w:rsid w:val="0D1A6BCA"/>
    <w:rsid w:val="0D6D0214"/>
    <w:rsid w:val="10863CAA"/>
    <w:rsid w:val="10B068B6"/>
    <w:rsid w:val="11006C18"/>
    <w:rsid w:val="13D20779"/>
    <w:rsid w:val="156E40E4"/>
    <w:rsid w:val="1695274A"/>
    <w:rsid w:val="19EF621A"/>
    <w:rsid w:val="1EF20FE3"/>
    <w:rsid w:val="1F8E06AF"/>
    <w:rsid w:val="20210BB6"/>
    <w:rsid w:val="20D641FE"/>
    <w:rsid w:val="20DA4FBF"/>
    <w:rsid w:val="22D342A3"/>
    <w:rsid w:val="23A52A88"/>
    <w:rsid w:val="23EF72F9"/>
    <w:rsid w:val="2554531C"/>
    <w:rsid w:val="26303437"/>
    <w:rsid w:val="26FE7307"/>
    <w:rsid w:val="27240D71"/>
    <w:rsid w:val="274376F0"/>
    <w:rsid w:val="274E5821"/>
    <w:rsid w:val="29120F71"/>
    <w:rsid w:val="2B0416BB"/>
    <w:rsid w:val="2B5C5632"/>
    <w:rsid w:val="2E4D7DEA"/>
    <w:rsid w:val="2E953B7B"/>
    <w:rsid w:val="314D1010"/>
    <w:rsid w:val="3206033F"/>
    <w:rsid w:val="32E93B15"/>
    <w:rsid w:val="332835E2"/>
    <w:rsid w:val="33A132C4"/>
    <w:rsid w:val="3699519F"/>
    <w:rsid w:val="369C0EED"/>
    <w:rsid w:val="37712C84"/>
    <w:rsid w:val="37C83693"/>
    <w:rsid w:val="38764AB1"/>
    <w:rsid w:val="39902C7F"/>
    <w:rsid w:val="3998231E"/>
    <w:rsid w:val="39B10FB5"/>
    <w:rsid w:val="3A3E409C"/>
    <w:rsid w:val="3B680E92"/>
    <w:rsid w:val="3BE92B6C"/>
    <w:rsid w:val="3C5D4096"/>
    <w:rsid w:val="3CC63104"/>
    <w:rsid w:val="3FA41FA3"/>
    <w:rsid w:val="40A5279C"/>
    <w:rsid w:val="40D16AE4"/>
    <w:rsid w:val="41B525D9"/>
    <w:rsid w:val="42584642"/>
    <w:rsid w:val="444F0D8B"/>
    <w:rsid w:val="447B1607"/>
    <w:rsid w:val="44E30F30"/>
    <w:rsid w:val="46EC63E9"/>
    <w:rsid w:val="47E930BF"/>
    <w:rsid w:val="485C5346"/>
    <w:rsid w:val="48686433"/>
    <w:rsid w:val="49982444"/>
    <w:rsid w:val="4A904595"/>
    <w:rsid w:val="4AE323C9"/>
    <w:rsid w:val="4B625163"/>
    <w:rsid w:val="4C906FAA"/>
    <w:rsid w:val="4C9B4DF9"/>
    <w:rsid w:val="4DF6085C"/>
    <w:rsid w:val="4E1622A9"/>
    <w:rsid w:val="4E854B2B"/>
    <w:rsid w:val="4F45079D"/>
    <w:rsid w:val="4FD07FD2"/>
    <w:rsid w:val="506B4CFC"/>
    <w:rsid w:val="509666D7"/>
    <w:rsid w:val="50C20F8E"/>
    <w:rsid w:val="5126481C"/>
    <w:rsid w:val="51640797"/>
    <w:rsid w:val="523D7B1D"/>
    <w:rsid w:val="52CA1363"/>
    <w:rsid w:val="53A47918"/>
    <w:rsid w:val="54B04BC4"/>
    <w:rsid w:val="55DF2C53"/>
    <w:rsid w:val="56FA63F5"/>
    <w:rsid w:val="580D3184"/>
    <w:rsid w:val="58BA45A1"/>
    <w:rsid w:val="58CF0CC3"/>
    <w:rsid w:val="59DE0E81"/>
    <w:rsid w:val="5BB3647D"/>
    <w:rsid w:val="5C8925EC"/>
    <w:rsid w:val="5C9B3AF1"/>
    <w:rsid w:val="5CD56084"/>
    <w:rsid w:val="5D8F5D8E"/>
    <w:rsid w:val="5E8F3D62"/>
    <w:rsid w:val="5EDE4575"/>
    <w:rsid w:val="61770E4D"/>
    <w:rsid w:val="61B6615E"/>
    <w:rsid w:val="62194ABB"/>
    <w:rsid w:val="62D1432C"/>
    <w:rsid w:val="62D15A2C"/>
    <w:rsid w:val="62D425CD"/>
    <w:rsid w:val="635F537B"/>
    <w:rsid w:val="642C6B67"/>
    <w:rsid w:val="66534934"/>
    <w:rsid w:val="679806C0"/>
    <w:rsid w:val="68400989"/>
    <w:rsid w:val="686B6B5C"/>
    <w:rsid w:val="695139D0"/>
    <w:rsid w:val="6A5247FE"/>
    <w:rsid w:val="6C3A2120"/>
    <w:rsid w:val="6C7147F8"/>
    <w:rsid w:val="6F8A4A0A"/>
    <w:rsid w:val="71E86D0D"/>
    <w:rsid w:val="720863B5"/>
    <w:rsid w:val="72764159"/>
    <w:rsid w:val="734E5BB8"/>
    <w:rsid w:val="73B13AB8"/>
    <w:rsid w:val="73FD2CDB"/>
    <w:rsid w:val="757349DC"/>
    <w:rsid w:val="7582525F"/>
    <w:rsid w:val="75F85260"/>
    <w:rsid w:val="762272A9"/>
    <w:rsid w:val="768B3966"/>
    <w:rsid w:val="76931A1A"/>
    <w:rsid w:val="76B5414D"/>
    <w:rsid w:val="76FF6B4B"/>
    <w:rsid w:val="77190AFC"/>
    <w:rsid w:val="78857FEE"/>
    <w:rsid w:val="79843F18"/>
    <w:rsid w:val="79E14685"/>
    <w:rsid w:val="7B9F58E0"/>
    <w:rsid w:val="7C4D6CFD"/>
    <w:rsid w:val="7D4B1A57"/>
    <w:rsid w:val="7F9C15E8"/>
    <w:rsid w:val="7FE80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99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 First Indent"/>
    <w:next w:val="1"/>
    <w:unhideWhenUsed/>
    <w:qFormat/>
    <w:uiPriority w:val="99"/>
    <w:pPr>
      <w:widowControl w:val="0"/>
      <w:suppressAutoHyphens/>
      <w:spacing w:after="140" w:line="276" w:lineRule="auto"/>
      <w:ind w:firstLine="7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basedOn w:val="1"/>
    <w:unhideWhenUsed/>
    <w:qFormat/>
    <w:uiPriority w:val="0"/>
    <w:pPr>
      <w:jc w:val="left"/>
    </w:pPr>
  </w:style>
  <w:style w:type="paragraph" w:styleId="6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BodyText"/>
    <w:basedOn w:val="1"/>
    <w:qFormat/>
    <w:uiPriority w:val="0"/>
    <w:rPr>
      <w:rFonts w:ascii="Times New Roman" w:hAnsi="Times New Roman" w:eastAsia="楷体_GB2312" w:cs="Times New Roman"/>
      <w:sz w:val="32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2616</Words>
  <Characters>2994</Characters>
  <Lines>26</Lines>
  <Paragraphs>7</Paragraphs>
  <TotalTime>0</TotalTime>
  <ScaleCrop>false</ScaleCrop>
  <LinksUpToDate>false</LinksUpToDate>
  <CharactersWithSpaces>3048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2020-01-31T03:02:00Z</dcterms:created>
  <dc:creator>pc</dc:creator>
  <cp:lastModifiedBy>a</cp:lastModifiedBy>
  <cp:lastPrinted>2025-01-23T02:39:00Z</cp:lastPrinted>
  <dcterms:modified xsi:type="dcterms:W3CDTF">2025-01-24T07:21:20Z</dcterms:modified>
  <dc:title>西城区市场监督管理局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B0BDE77B99F84C899C2E02BAEBB6B460</vt:lpwstr>
  </property>
</Properties>
</file>