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7DA" w:rsidRDefault="005720A4">
      <w:pPr>
        <w:widowControl/>
        <w:shd w:val="clear" w:color="auto" w:fill="FFFFFF"/>
        <w:spacing w:before="300" w:after="300"/>
        <w:ind w:left="600" w:right="600"/>
        <w:jc w:val="center"/>
        <w:outlineLvl w:val="0"/>
        <w:rPr>
          <w:rFonts w:ascii="微软雅黑" w:eastAsia="微软雅黑" w:hAnsi="微软雅黑" w:cs="宋体"/>
          <w:color w:val="DF4443"/>
          <w:kern w:val="36"/>
          <w:sz w:val="47"/>
          <w:szCs w:val="47"/>
        </w:rPr>
      </w:pPr>
      <w:bookmarkStart w:id="0" w:name="_GoBack"/>
      <w:r>
        <w:rPr>
          <w:rFonts w:ascii="微软雅黑" w:hAnsi="微软雅黑"/>
          <w:b/>
          <w:bCs/>
          <w:color w:val="404040"/>
          <w:kern w:val="36"/>
          <w:sz w:val="48"/>
          <w:szCs w:val="48"/>
        </w:rPr>
        <w:t>北京市</w:t>
      </w:r>
      <w:r>
        <w:rPr>
          <w:rFonts w:ascii="微软雅黑" w:hAnsi="微软雅黑" w:hint="eastAsia"/>
          <w:b/>
          <w:bCs/>
          <w:color w:val="404040"/>
          <w:kern w:val="36"/>
          <w:sz w:val="48"/>
          <w:szCs w:val="48"/>
        </w:rPr>
        <w:t>东城区</w:t>
      </w:r>
      <w:r>
        <w:rPr>
          <w:rFonts w:ascii="微软雅黑" w:hAnsi="微软雅黑"/>
          <w:b/>
          <w:bCs/>
          <w:color w:val="404040"/>
          <w:kern w:val="36"/>
          <w:sz w:val="48"/>
          <w:szCs w:val="48"/>
        </w:rPr>
        <w:t>人力资源和社会保障局</w:t>
      </w:r>
      <w:r>
        <w:rPr>
          <w:rFonts w:ascii="微软雅黑" w:hAnsi="微软雅黑"/>
          <w:b/>
          <w:bCs/>
          <w:color w:val="404040"/>
          <w:kern w:val="36"/>
          <w:sz w:val="48"/>
          <w:szCs w:val="48"/>
        </w:rPr>
        <w:t>“</w:t>
      </w:r>
      <w:r>
        <w:rPr>
          <w:rFonts w:ascii="微软雅黑" w:hAnsi="微软雅黑"/>
          <w:b/>
          <w:bCs/>
          <w:color w:val="404040"/>
          <w:kern w:val="36"/>
          <w:sz w:val="48"/>
          <w:szCs w:val="48"/>
        </w:rPr>
        <w:t>双随机、一公开</w:t>
      </w:r>
      <w:r>
        <w:rPr>
          <w:rFonts w:ascii="微软雅黑" w:hAnsi="微软雅黑"/>
          <w:b/>
          <w:bCs/>
          <w:color w:val="404040"/>
          <w:kern w:val="36"/>
          <w:sz w:val="48"/>
          <w:szCs w:val="48"/>
        </w:rPr>
        <w:t>”</w:t>
      </w:r>
      <w:r>
        <w:rPr>
          <w:rFonts w:ascii="微软雅黑" w:hAnsi="微软雅黑"/>
          <w:b/>
          <w:bCs/>
          <w:color w:val="404040"/>
          <w:kern w:val="36"/>
          <w:sz w:val="48"/>
          <w:szCs w:val="48"/>
        </w:rPr>
        <w:t>抽查事项清单（</w:t>
      </w:r>
      <w:r>
        <w:rPr>
          <w:rFonts w:ascii="微软雅黑" w:hAnsi="微软雅黑"/>
          <w:b/>
          <w:bCs/>
          <w:color w:val="404040"/>
          <w:kern w:val="36"/>
          <w:sz w:val="48"/>
          <w:szCs w:val="48"/>
        </w:rPr>
        <w:t>2021</w:t>
      </w:r>
      <w:r>
        <w:rPr>
          <w:rFonts w:ascii="微软雅黑" w:hAnsi="微软雅黑"/>
          <w:b/>
          <w:bCs/>
          <w:color w:val="404040"/>
          <w:kern w:val="36"/>
          <w:sz w:val="48"/>
          <w:szCs w:val="48"/>
        </w:rPr>
        <w:t>年第一版）</w:t>
      </w:r>
    </w:p>
    <w:bookmarkEnd w:id="0"/>
    <w:tbl>
      <w:tblPr>
        <w:tblW w:w="19185" w:type="dxa"/>
        <w:tblCellSpacing w:w="0" w:type="dxa"/>
        <w:tblCellMar>
          <w:left w:w="0" w:type="dxa"/>
          <w:right w:w="0" w:type="dxa"/>
        </w:tblCellMar>
        <w:tblLook w:val="04A0" w:firstRow="1" w:lastRow="0" w:firstColumn="1" w:lastColumn="0" w:noHBand="0" w:noVBand="1"/>
      </w:tblPr>
      <w:tblGrid>
        <w:gridCol w:w="600"/>
        <w:gridCol w:w="2235"/>
        <w:gridCol w:w="3150"/>
        <w:gridCol w:w="2820"/>
        <w:gridCol w:w="1590"/>
        <w:gridCol w:w="1245"/>
        <w:gridCol w:w="1665"/>
        <w:gridCol w:w="3945"/>
        <w:gridCol w:w="1935"/>
      </w:tblGrid>
      <w:tr w:rsidR="005720A4" w:rsidRPr="005720A4" w:rsidTr="005720A4">
        <w:trPr>
          <w:trHeight w:val="1095"/>
          <w:tblCellSpacing w:w="0" w:type="dxa"/>
        </w:trPr>
        <w:tc>
          <w:tcPr>
            <w:tcW w:w="19185" w:type="dxa"/>
            <w:gridSpan w:val="9"/>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blCellSpacing w:w="0" w:type="dxa"/>
        </w:trPr>
        <w:tc>
          <w:tcPr>
            <w:tcW w:w="600" w:type="dxa"/>
            <w:vMerge w:val="restart"/>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序号</w:t>
            </w:r>
          </w:p>
        </w:tc>
        <w:tc>
          <w:tcPr>
            <w:tcW w:w="5385" w:type="dxa"/>
            <w:gridSpan w:val="2"/>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抽查项目</w:t>
            </w:r>
          </w:p>
        </w:tc>
        <w:tc>
          <w:tcPr>
            <w:tcW w:w="2820" w:type="dxa"/>
            <w:vMerge w:val="restart"/>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检查对象</w:t>
            </w:r>
          </w:p>
        </w:tc>
        <w:tc>
          <w:tcPr>
            <w:tcW w:w="1590" w:type="dxa"/>
            <w:vMerge w:val="restart"/>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事项类别</w:t>
            </w:r>
          </w:p>
        </w:tc>
        <w:tc>
          <w:tcPr>
            <w:tcW w:w="1245" w:type="dxa"/>
            <w:vMerge w:val="restart"/>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检查方式</w:t>
            </w:r>
          </w:p>
        </w:tc>
        <w:tc>
          <w:tcPr>
            <w:tcW w:w="1665" w:type="dxa"/>
            <w:vMerge w:val="restart"/>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检查主体</w:t>
            </w:r>
          </w:p>
        </w:tc>
        <w:tc>
          <w:tcPr>
            <w:tcW w:w="3945" w:type="dxa"/>
            <w:vMerge w:val="restart"/>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检查依据</w:t>
            </w:r>
          </w:p>
        </w:tc>
        <w:tc>
          <w:tcPr>
            <w:tcW w:w="0" w:type="auto"/>
            <w:vMerge w:val="restart"/>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备注</w:t>
            </w:r>
          </w:p>
        </w:tc>
      </w:tr>
      <w:tr w:rsidR="005720A4" w:rsidRPr="005720A4" w:rsidTr="005720A4">
        <w:trPr>
          <w:tblCellSpacing w:w="0" w:type="dxa"/>
        </w:trPr>
        <w:tc>
          <w:tcPr>
            <w:tcW w:w="0" w:type="auto"/>
            <w:vMerge/>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抽查类别</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抽查事项</w:t>
            </w:r>
          </w:p>
        </w:tc>
        <w:tc>
          <w:tcPr>
            <w:tcW w:w="0" w:type="auto"/>
            <w:vMerge/>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c>
          <w:tcPr>
            <w:tcW w:w="0" w:type="auto"/>
            <w:vMerge/>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c>
          <w:tcPr>
            <w:tcW w:w="0" w:type="auto"/>
            <w:vMerge/>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c>
          <w:tcPr>
            <w:tcW w:w="0" w:type="auto"/>
            <w:vMerge/>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c>
          <w:tcPr>
            <w:tcW w:w="0" w:type="auto"/>
            <w:vMerge/>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c>
          <w:tcPr>
            <w:tcW w:w="0" w:type="auto"/>
            <w:vMerge/>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540"/>
          <w:tblCellSpacing w:w="0" w:type="dxa"/>
        </w:trPr>
        <w:tc>
          <w:tcPr>
            <w:tcW w:w="60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1</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社保基金监督</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对社会保险基金的收支、管理和投资运营情况进行监督检查</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社会保险经办机构、管理机构、服务和使用机构</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市、区人力社会保障部门</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《中华人民共和国社会保险法》（</w:t>
            </w:r>
            <w:r w:rsidRPr="005720A4">
              <w:rPr>
                <w:rFonts w:ascii="微软雅黑" w:eastAsia="宋体" w:hAnsi="微软雅黑" w:cs="宋体"/>
                <w:color w:val="404040"/>
                <w:kern w:val="0"/>
                <w:sz w:val="15"/>
                <w:szCs w:val="15"/>
              </w:rPr>
              <w:t>2010</w:t>
            </w:r>
            <w:r w:rsidRPr="005720A4">
              <w:rPr>
                <w:rFonts w:ascii="微软雅黑" w:eastAsia="宋体" w:hAnsi="微软雅黑" w:cs="宋体"/>
                <w:color w:val="404040"/>
                <w:kern w:val="0"/>
                <w:sz w:val="15"/>
                <w:szCs w:val="15"/>
              </w:rPr>
              <w:t>年主席令第</w:t>
            </w:r>
            <w:r w:rsidRPr="005720A4">
              <w:rPr>
                <w:rFonts w:ascii="微软雅黑" w:eastAsia="宋体" w:hAnsi="微软雅黑" w:cs="宋体"/>
                <w:color w:val="404040"/>
                <w:kern w:val="0"/>
                <w:sz w:val="15"/>
                <w:szCs w:val="15"/>
              </w:rPr>
              <w:t>35</w:t>
            </w:r>
            <w:r w:rsidRPr="005720A4">
              <w:rPr>
                <w:rFonts w:ascii="微软雅黑" w:eastAsia="宋体" w:hAnsi="微软雅黑" w:cs="宋体"/>
                <w:color w:val="404040"/>
                <w:kern w:val="0"/>
                <w:sz w:val="15"/>
                <w:szCs w:val="15"/>
              </w:rPr>
              <w:t>号）</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810"/>
          <w:tblCellSpacing w:w="0" w:type="dxa"/>
        </w:trPr>
        <w:tc>
          <w:tcPr>
            <w:tcW w:w="60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2</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对职业技能鉴定机构和人员检查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对职业技能鉴定机构和人员进行督导检查</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职业技能鉴定机构和考评人员、督导人员、机构管理人员</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市、区人力社会保障部门</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原劳动部《职业技能鉴定规定》（劳部发〔</w:t>
            </w:r>
            <w:r w:rsidRPr="005720A4">
              <w:rPr>
                <w:rFonts w:ascii="微软雅黑" w:eastAsia="宋体" w:hAnsi="微软雅黑" w:cs="宋体"/>
                <w:color w:val="404040"/>
                <w:kern w:val="0"/>
                <w:sz w:val="15"/>
                <w:szCs w:val="15"/>
              </w:rPr>
              <w:t>1993</w:t>
            </w:r>
            <w:r w:rsidRPr="005720A4">
              <w:rPr>
                <w:rFonts w:ascii="微软雅黑" w:eastAsia="宋体" w:hAnsi="微软雅黑" w:cs="宋体"/>
                <w:color w:val="404040"/>
                <w:kern w:val="0"/>
                <w:sz w:val="15"/>
                <w:szCs w:val="15"/>
              </w:rPr>
              <w:t>〕</w:t>
            </w:r>
            <w:r w:rsidRPr="005720A4">
              <w:rPr>
                <w:rFonts w:ascii="微软雅黑" w:eastAsia="宋体" w:hAnsi="微软雅黑" w:cs="宋体"/>
                <w:color w:val="404040"/>
                <w:kern w:val="0"/>
                <w:sz w:val="15"/>
                <w:szCs w:val="15"/>
              </w:rPr>
              <w:t>134</w:t>
            </w:r>
            <w:r w:rsidRPr="005720A4">
              <w:rPr>
                <w:rFonts w:ascii="微软雅黑" w:eastAsia="宋体" w:hAnsi="微软雅黑" w:cs="宋体"/>
                <w:color w:val="404040"/>
                <w:kern w:val="0"/>
                <w:sz w:val="15"/>
                <w:szCs w:val="15"/>
              </w:rPr>
              <w:t>号）</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810"/>
          <w:tblCellSpacing w:w="0" w:type="dxa"/>
        </w:trPr>
        <w:tc>
          <w:tcPr>
            <w:tcW w:w="60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3</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社保缴费和待遇领取</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社会保险稽核</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全市用人单位</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市、区两级社保经办部门</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《中华人民共和国社会保险法》（</w:t>
            </w:r>
            <w:r w:rsidRPr="005720A4">
              <w:rPr>
                <w:rFonts w:ascii="微软雅黑" w:eastAsia="宋体" w:hAnsi="微软雅黑" w:cs="宋体"/>
                <w:color w:val="404040"/>
                <w:kern w:val="0"/>
                <w:sz w:val="15"/>
                <w:szCs w:val="15"/>
              </w:rPr>
              <w:t>2010</w:t>
            </w:r>
            <w:r w:rsidRPr="005720A4">
              <w:rPr>
                <w:rFonts w:ascii="微软雅黑" w:eastAsia="宋体" w:hAnsi="微软雅黑" w:cs="宋体"/>
                <w:color w:val="404040"/>
                <w:kern w:val="0"/>
                <w:sz w:val="15"/>
                <w:szCs w:val="15"/>
              </w:rPr>
              <w:t>年主席令第</w:t>
            </w:r>
            <w:r w:rsidRPr="005720A4">
              <w:rPr>
                <w:rFonts w:ascii="微软雅黑" w:eastAsia="宋体" w:hAnsi="微软雅黑" w:cs="宋体"/>
                <w:color w:val="404040"/>
                <w:kern w:val="0"/>
                <w:sz w:val="15"/>
                <w:szCs w:val="15"/>
              </w:rPr>
              <w:t>35</w:t>
            </w:r>
            <w:r w:rsidRPr="005720A4">
              <w:rPr>
                <w:rFonts w:ascii="微软雅黑" w:eastAsia="宋体" w:hAnsi="微软雅黑" w:cs="宋体"/>
                <w:color w:val="404040"/>
                <w:kern w:val="0"/>
                <w:sz w:val="15"/>
                <w:szCs w:val="15"/>
              </w:rPr>
              <w:t>号）《社会保险稽核办法》（原劳动和社会保障部</w:t>
            </w:r>
            <w:r w:rsidRPr="005720A4">
              <w:rPr>
                <w:rFonts w:ascii="微软雅黑" w:eastAsia="宋体" w:hAnsi="微软雅黑" w:cs="宋体"/>
                <w:color w:val="404040"/>
                <w:kern w:val="0"/>
                <w:sz w:val="15"/>
                <w:szCs w:val="15"/>
              </w:rPr>
              <w:t xml:space="preserve"> 16</w:t>
            </w:r>
            <w:r w:rsidRPr="005720A4">
              <w:rPr>
                <w:rFonts w:ascii="微软雅黑" w:eastAsia="宋体" w:hAnsi="微软雅黑" w:cs="宋体"/>
                <w:color w:val="404040"/>
                <w:kern w:val="0"/>
                <w:sz w:val="15"/>
                <w:szCs w:val="15"/>
              </w:rPr>
              <w:t>号令）</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1440"/>
          <w:tblCellSpacing w:w="0" w:type="dxa"/>
        </w:trPr>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4</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对定点培训机构督导检查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对定点培训机构进行督导评估和抽查（检查）</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职业技能提升行动培训补贴机构</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网上检查或实地抽查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区人力社会保障部门</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关于印发《北京市职业培训补贴资金管理办法（试行）》的通知、《中华人民共和国民办教育促进法实施条例》、《北京市职业技能提升行动实施方案</w:t>
            </w:r>
            <w:r w:rsidRPr="005720A4">
              <w:rPr>
                <w:rFonts w:ascii="微软雅黑" w:eastAsia="宋体" w:hAnsi="微软雅黑" w:cs="宋体"/>
                <w:color w:val="404040"/>
                <w:kern w:val="0"/>
                <w:sz w:val="15"/>
                <w:szCs w:val="15"/>
              </w:rPr>
              <w:t>(2019-2021</w:t>
            </w:r>
            <w:r w:rsidRPr="005720A4">
              <w:rPr>
                <w:rFonts w:ascii="微软雅黑" w:eastAsia="宋体" w:hAnsi="微软雅黑" w:cs="宋体"/>
                <w:color w:val="404040"/>
                <w:kern w:val="0"/>
                <w:sz w:val="15"/>
                <w:szCs w:val="15"/>
              </w:rPr>
              <w:t>年</w:t>
            </w:r>
            <w:r w:rsidRPr="005720A4">
              <w:rPr>
                <w:rFonts w:ascii="微软雅黑" w:eastAsia="宋体" w:hAnsi="微软雅黑" w:cs="宋体"/>
                <w:color w:val="404040"/>
                <w:kern w:val="0"/>
                <w:sz w:val="15"/>
                <w:szCs w:val="15"/>
              </w:rPr>
              <w:t>)</w:t>
            </w:r>
            <w:r w:rsidRPr="005720A4">
              <w:rPr>
                <w:rFonts w:ascii="微软雅黑" w:eastAsia="宋体" w:hAnsi="微软雅黑" w:cs="宋体"/>
                <w:color w:val="404040"/>
                <w:kern w:val="0"/>
                <w:sz w:val="15"/>
                <w:szCs w:val="15"/>
              </w:rPr>
              <w:t>》</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1515"/>
          <w:tblCellSpacing w:w="0" w:type="dxa"/>
        </w:trPr>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lastRenderedPageBreak/>
              <w:t>5</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对遵守劳动保障法律、法规规章情况进行检查和处理</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对用人单位遵守劳动保障法律、法规和规章情况开展日常巡视检查</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全市用人单位</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市、区两级劳动保障监察机构</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劳动保障监察条例</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810"/>
          <w:tblCellSpacing w:w="0" w:type="dxa"/>
        </w:trPr>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6</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对经营性人力资源服务机构从事人力资源服务业务的行政检查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经营性人力资源服务机构从事职业中介活动或备案事项是否符合规定</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经营性人力资源服务机构</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市、区两级劳动保障监察机构</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《中华人民共和国就业促进法》、《人力资源市场暂行条例》</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540"/>
          <w:tblCellSpacing w:w="0" w:type="dxa"/>
        </w:trPr>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7</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对经营劳务派遣业务的行政检查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劳务派遣企业经营活动管理是否符合法律法规规定</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经营劳务派遣业务的企业</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市、区两级劳动保障监察机构</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《中华人民共和国劳动合同法》</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1080"/>
          <w:tblCellSpacing w:w="0" w:type="dxa"/>
        </w:trPr>
        <w:tc>
          <w:tcPr>
            <w:tcW w:w="60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8</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对企业实行不定时工作制和综合计算工作制情况的行政检查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实行特殊工时制度企业遵守法律法规情况</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企业</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市、区两级劳动保障监察机构</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《中华人民共和国劳动法》、《国务院关于职工工作时间的规定》、《关于企业实行不定时工作制和综合计算工时工作制的审批办法》</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1350"/>
          <w:tblCellSpacing w:w="0" w:type="dxa"/>
        </w:trPr>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9</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对民办职业培训学校（项目）设立、分立、合并、变更及终止违规行为的行政检查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办学许可证管理是否符合要求，培训教学内容和招生发证是否符合要求，教学和管理人员资格是否符合要求。</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民办职业培训学校</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市、区两级劳动保障监察机构</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《中华人民共和国民办教育促进法》</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p>
        </w:tc>
      </w:tr>
      <w:tr w:rsidR="005720A4" w:rsidRPr="005720A4" w:rsidTr="005720A4">
        <w:trPr>
          <w:trHeight w:val="1350"/>
          <w:tblCellSpacing w:w="0" w:type="dxa"/>
        </w:trPr>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10</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对以技能为主的国外职业资格证书发证机构的代表机构、中方合作机构的行政检查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对以技能为主的国外职业资格证书发证机构的代表机构和中方合作机构活动是否合法</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对以技能为主的国外职业资格证书发证机构的代表机构、中方合作机构</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市、区两级劳动保障监察机构</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《中华人民共和国境外非政府组织境内活动管理法》、《国务院对确需保留的行政审批项目设定行政许可的决定》、《关于对引进国外职业资格证书加强管理的通知》</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目前无检查对象</w:t>
            </w:r>
          </w:p>
        </w:tc>
      </w:tr>
      <w:tr w:rsidR="005720A4" w:rsidRPr="005720A4" w:rsidTr="005720A4">
        <w:trPr>
          <w:trHeight w:val="1080"/>
          <w:tblCellSpacing w:w="0" w:type="dxa"/>
        </w:trPr>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11</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对中外合作职业技能培训项目的行政检查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办学项目批准书管理是否符合要求，人员资格是否符合要求，教学内容层次是否符合要求。</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中外合作职业技能培训机构</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市、区两级劳动保障监察机构</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《中华人民共和国中外合作办学条例》、《中外合作职业技能培训办学管理办法》</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目前无检查对象</w:t>
            </w:r>
          </w:p>
        </w:tc>
      </w:tr>
      <w:tr w:rsidR="005720A4" w:rsidRPr="005720A4" w:rsidTr="005720A4">
        <w:trPr>
          <w:trHeight w:val="1410"/>
          <w:tblCellSpacing w:w="0" w:type="dxa"/>
        </w:trPr>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lastRenderedPageBreak/>
              <w:t>12</w:t>
            </w:r>
          </w:p>
        </w:tc>
        <w:tc>
          <w:tcPr>
            <w:tcW w:w="223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对中外合作职业技能培训机构设立、分立、合并、变更及终止的行政检查</w:t>
            </w:r>
          </w:p>
        </w:tc>
        <w:tc>
          <w:tcPr>
            <w:tcW w:w="315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办学许可证管理是否符合要求，人员资格是否符合要求，教学内容层次是否符合要求。</w:t>
            </w:r>
          </w:p>
        </w:tc>
        <w:tc>
          <w:tcPr>
            <w:tcW w:w="282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中外合作职业技能培训机构</w:t>
            </w:r>
          </w:p>
        </w:tc>
        <w:tc>
          <w:tcPr>
            <w:tcW w:w="1590"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一般检查事项</w:t>
            </w:r>
          </w:p>
        </w:tc>
        <w:tc>
          <w:tcPr>
            <w:tcW w:w="12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现场检查</w:t>
            </w:r>
          </w:p>
        </w:tc>
        <w:tc>
          <w:tcPr>
            <w:tcW w:w="166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市、区两级劳动保障监察机构</w:t>
            </w:r>
          </w:p>
        </w:tc>
        <w:tc>
          <w:tcPr>
            <w:tcW w:w="3945" w:type="dxa"/>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《中华人民共和国中外合作办学条例》</w:t>
            </w:r>
          </w:p>
        </w:tc>
        <w:tc>
          <w:tcPr>
            <w:tcW w:w="0" w:type="auto"/>
            <w:vAlign w:val="center"/>
            <w:hideMark/>
          </w:tcPr>
          <w:p w:rsidR="005720A4" w:rsidRPr="005720A4" w:rsidRDefault="005720A4" w:rsidP="005720A4">
            <w:pPr>
              <w:widowControl/>
              <w:jc w:val="left"/>
              <w:rPr>
                <w:rFonts w:ascii="微软雅黑" w:eastAsia="宋体" w:hAnsi="微软雅黑" w:cs="宋体"/>
                <w:color w:val="404040"/>
                <w:kern w:val="0"/>
                <w:sz w:val="15"/>
                <w:szCs w:val="15"/>
              </w:rPr>
            </w:pPr>
            <w:r w:rsidRPr="005720A4">
              <w:rPr>
                <w:rFonts w:ascii="微软雅黑" w:eastAsia="宋体" w:hAnsi="微软雅黑" w:cs="宋体"/>
                <w:color w:val="404040"/>
                <w:kern w:val="0"/>
                <w:sz w:val="15"/>
                <w:szCs w:val="15"/>
              </w:rPr>
              <w:t>目前无检查对象</w:t>
            </w:r>
          </w:p>
        </w:tc>
      </w:tr>
    </w:tbl>
    <w:p w:rsidR="008477DA" w:rsidRDefault="008477DA" w:rsidP="005720A4">
      <w:pPr>
        <w:widowControl/>
        <w:shd w:val="clear" w:color="auto" w:fill="FFFFFF"/>
        <w:spacing w:before="75" w:line="486" w:lineRule="atLeast"/>
        <w:jc w:val="left"/>
      </w:pPr>
    </w:p>
    <w:sectPr w:rsidR="008477DA" w:rsidSect="008477D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50" w:rsidRDefault="00366F50" w:rsidP="005720A4">
      <w:r>
        <w:separator/>
      </w:r>
    </w:p>
  </w:endnote>
  <w:endnote w:type="continuationSeparator" w:id="0">
    <w:p w:rsidR="00366F50" w:rsidRDefault="00366F50" w:rsidP="0057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50" w:rsidRDefault="00366F50" w:rsidP="005720A4">
      <w:r>
        <w:separator/>
      </w:r>
    </w:p>
  </w:footnote>
  <w:footnote w:type="continuationSeparator" w:id="0">
    <w:p w:rsidR="00366F50" w:rsidRDefault="00366F50" w:rsidP="00572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3B"/>
    <w:rsid w:val="000435B6"/>
    <w:rsid w:val="002818A5"/>
    <w:rsid w:val="00366F50"/>
    <w:rsid w:val="005720A4"/>
    <w:rsid w:val="005B183B"/>
    <w:rsid w:val="008477DA"/>
    <w:rsid w:val="10647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E1ABD3C-33F8-4E75-90FB-D098D941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DA"/>
    <w:pPr>
      <w:widowControl w:val="0"/>
      <w:jc w:val="both"/>
    </w:pPr>
    <w:rPr>
      <w:kern w:val="2"/>
      <w:sz w:val="21"/>
      <w:szCs w:val="22"/>
    </w:rPr>
  </w:style>
  <w:style w:type="paragraph" w:styleId="1">
    <w:name w:val="heading 1"/>
    <w:basedOn w:val="a"/>
    <w:next w:val="a"/>
    <w:link w:val="10"/>
    <w:uiPriority w:val="9"/>
    <w:qFormat/>
    <w:rsid w:val="008477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8477DA"/>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sid w:val="008477DA"/>
    <w:rPr>
      <w:rFonts w:ascii="宋体" w:eastAsia="宋体" w:hAnsi="宋体" w:cs="宋体"/>
      <w:b/>
      <w:bCs/>
      <w:kern w:val="36"/>
      <w:sz w:val="48"/>
      <w:szCs w:val="48"/>
    </w:rPr>
  </w:style>
  <w:style w:type="character" w:customStyle="1" w:styleId="time">
    <w:name w:val="time"/>
    <w:basedOn w:val="a0"/>
    <w:rsid w:val="008477DA"/>
  </w:style>
  <w:style w:type="paragraph" w:styleId="a4">
    <w:name w:val="header"/>
    <w:basedOn w:val="a"/>
    <w:link w:val="a5"/>
    <w:uiPriority w:val="99"/>
    <w:unhideWhenUsed/>
    <w:rsid w:val="005720A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720A4"/>
    <w:rPr>
      <w:kern w:val="2"/>
      <w:sz w:val="18"/>
      <w:szCs w:val="18"/>
    </w:rPr>
  </w:style>
  <w:style w:type="paragraph" w:styleId="a6">
    <w:name w:val="footer"/>
    <w:basedOn w:val="a"/>
    <w:link w:val="a7"/>
    <w:uiPriority w:val="99"/>
    <w:unhideWhenUsed/>
    <w:rsid w:val="005720A4"/>
    <w:pPr>
      <w:tabs>
        <w:tab w:val="center" w:pos="4153"/>
        <w:tab w:val="right" w:pos="8306"/>
      </w:tabs>
      <w:snapToGrid w:val="0"/>
      <w:jc w:val="left"/>
    </w:pPr>
    <w:rPr>
      <w:sz w:val="18"/>
      <w:szCs w:val="18"/>
    </w:rPr>
  </w:style>
  <w:style w:type="character" w:customStyle="1" w:styleId="a7">
    <w:name w:val="页脚 字符"/>
    <w:basedOn w:val="a0"/>
    <w:link w:val="a6"/>
    <w:uiPriority w:val="99"/>
    <w:rsid w:val="005720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8224">
      <w:bodyDiv w:val="1"/>
      <w:marLeft w:val="0"/>
      <w:marRight w:val="0"/>
      <w:marTop w:val="0"/>
      <w:marBottom w:val="0"/>
      <w:divBdr>
        <w:top w:val="none" w:sz="0" w:space="0" w:color="auto"/>
        <w:left w:val="none" w:sz="0" w:space="0" w:color="auto"/>
        <w:bottom w:val="none" w:sz="0" w:space="0" w:color="auto"/>
        <w:right w:val="none" w:sz="0" w:space="0" w:color="auto"/>
      </w:divBdr>
      <w:divsChild>
        <w:div w:id="542210800">
          <w:marLeft w:val="0"/>
          <w:marRight w:val="0"/>
          <w:marTop w:val="0"/>
          <w:marBottom w:val="0"/>
          <w:divBdr>
            <w:top w:val="none" w:sz="0" w:space="0" w:color="auto"/>
            <w:left w:val="none" w:sz="0" w:space="0" w:color="auto"/>
            <w:bottom w:val="none" w:sz="0" w:space="0" w:color="auto"/>
            <w:right w:val="none" w:sz="0" w:space="0" w:color="auto"/>
          </w:divBdr>
          <w:divsChild>
            <w:div w:id="2017226090">
              <w:marLeft w:val="0"/>
              <w:marRight w:val="0"/>
              <w:marTop w:val="0"/>
              <w:marBottom w:val="0"/>
              <w:divBdr>
                <w:top w:val="none" w:sz="0" w:space="0" w:color="auto"/>
                <w:left w:val="none" w:sz="0" w:space="0" w:color="auto"/>
                <w:bottom w:val="none" w:sz="0" w:space="0" w:color="auto"/>
                <w:right w:val="none" w:sz="0" w:space="0" w:color="auto"/>
              </w:divBdr>
              <w:divsChild>
                <w:div w:id="1810516683">
                  <w:marLeft w:val="0"/>
                  <w:marRight w:val="0"/>
                  <w:marTop w:val="0"/>
                  <w:marBottom w:val="0"/>
                  <w:divBdr>
                    <w:top w:val="none" w:sz="0" w:space="0" w:color="auto"/>
                    <w:left w:val="none" w:sz="0" w:space="0" w:color="auto"/>
                    <w:bottom w:val="none" w:sz="0" w:space="0" w:color="auto"/>
                    <w:right w:val="none" w:sz="0" w:space="0" w:color="auto"/>
                  </w:divBdr>
                  <w:divsChild>
                    <w:div w:id="1455909354">
                      <w:marLeft w:val="0"/>
                      <w:marRight w:val="0"/>
                      <w:marTop w:val="0"/>
                      <w:marBottom w:val="0"/>
                      <w:divBdr>
                        <w:top w:val="none" w:sz="0" w:space="0" w:color="auto"/>
                        <w:left w:val="none" w:sz="0" w:space="0" w:color="auto"/>
                        <w:bottom w:val="none" w:sz="0" w:space="0" w:color="auto"/>
                        <w:right w:val="none" w:sz="0" w:space="0" w:color="auto"/>
                      </w:divBdr>
                      <w:divsChild>
                        <w:div w:id="310135645">
                          <w:marLeft w:val="0"/>
                          <w:marRight w:val="0"/>
                          <w:marTop w:val="0"/>
                          <w:marBottom w:val="0"/>
                          <w:divBdr>
                            <w:top w:val="none" w:sz="0" w:space="0" w:color="auto"/>
                            <w:left w:val="none" w:sz="0" w:space="0" w:color="auto"/>
                            <w:bottom w:val="none" w:sz="0" w:space="0" w:color="auto"/>
                            <w:right w:val="none" w:sz="0" w:space="0" w:color="auto"/>
                          </w:divBdr>
                          <w:divsChild>
                            <w:div w:id="12492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17268">
      <w:bodyDiv w:val="1"/>
      <w:marLeft w:val="0"/>
      <w:marRight w:val="0"/>
      <w:marTop w:val="0"/>
      <w:marBottom w:val="0"/>
      <w:divBdr>
        <w:top w:val="none" w:sz="0" w:space="0" w:color="auto"/>
        <w:left w:val="none" w:sz="0" w:space="0" w:color="auto"/>
        <w:bottom w:val="none" w:sz="0" w:space="0" w:color="auto"/>
        <w:right w:val="none" w:sz="0" w:space="0" w:color="auto"/>
      </w:divBdr>
      <w:divsChild>
        <w:div w:id="396127484">
          <w:marLeft w:val="0"/>
          <w:marRight w:val="0"/>
          <w:marTop w:val="0"/>
          <w:marBottom w:val="0"/>
          <w:divBdr>
            <w:top w:val="none" w:sz="0" w:space="0" w:color="auto"/>
            <w:left w:val="none" w:sz="0" w:space="0" w:color="auto"/>
            <w:bottom w:val="none" w:sz="0" w:space="0" w:color="auto"/>
            <w:right w:val="none" w:sz="0" w:space="0" w:color="auto"/>
          </w:divBdr>
          <w:divsChild>
            <w:div w:id="61148922">
              <w:marLeft w:val="0"/>
              <w:marRight w:val="0"/>
              <w:marTop w:val="0"/>
              <w:marBottom w:val="0"/>
              <w:divBdr>
                <w:top w:val="none" w:sz="0" w:space="0" w:color="auto"/>
                <w:left w:val="none" w:sz="0" w:space="0" w:color="auto"/>
                <w:bottom w:val="none" w:sz="0" w:space="0" w:color="auto"/>
                <w:right w:val="none" w:sz="0" w:space="0" w:color="auto"/>
              </w:divBdr>
              <w:divsChild>
                <w:div w:id="1585532520">
                  <w:marLeft w:val="0"/>
                  <w:marRight w:val="0"/>
                  <w:marTop w:val="0"/>
                  <w:marBottom w:val="0"/>
                  <w:divBdr>
                    <w:top w:val="none" w:sz="0" w:space="0" w:color="auto"/>
                    <w:left w:val="none" w:sz="0" w:space="0" w:color="auto"/>
                    <w:bottom w:val="none" w:sz="0" w:space="0" w:color="auto"/>
                    <w:right w:val="none" w:sz="0" w:space="0" w:color="auto"/>
                  </w:divBdr>
                  <w:divsChild>
                    <w:div w:id="2001108733">
                      <w:marLeft w:val="0"/>
                      <w:marRight w:val="0"/>
                      <w:marTop w:val="0"/>
                      <w:marBottom w:val="0"/>
                      <w:divBdr>
                        <w:top w:val="none" w:sz="0" w:space="0" w:color="auto"/>
                        <w:left w:val="none" w:sz="0" w:space="0" w:color="auto"/>
                        <w:bottom w:val="none" w:sz="0" w:space="0" w:color="auto"/>
                        <w:right w:val="none" w:sz="0" w:space="0" w:color="auto"/>
                      </w:divBdr>
                      <w:divsChild>
                        <w:div w:id="2135639965">
                          <w:marLeft w:val="0"/>
                          <w:marRight w:val="0"/>
                          <w:marTop w:val="0"/>
                          <w:marBottom w:val="0"/>
                          <w:divBdr>
                            <w:top w:val="none" w:sz="0" w:space="0" w:color="auto"/>
                            <w:left w:val="none" w:sz="0" w:space="0" w:color="auto"/>
                            <w:bottom w:val="none" w:sz="0" w:space="0" w:color="auto"/>
                            <w:right w:val="none" w:sz="0" w:space="0" w:color="auto"/>
                          </w:divBdr>
                          <w:divsChild>
                            <w:div w:id="15706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马景泉</dc:creator>
  <cp:lastModifiedBy>翟晴晴</cp:lastModifiedBy>
  <cp:revision>2</cp:revision>
  <dcterms:created xsi:type="dcterms:W3CDTF">2021-09-06T09:13:00Z</dcterms:created>
  <dcterms:modified xsi:type="dcterms:W3CDTF">2021-09-06T09:13:00Z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