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shd w:val="clear" w:fill="FFFFFF"/>
        </w:rPr>
      </w:pPr>
      <w:bookmarkStart w:id="0" w:name="_GoBack"/>
      <w:bookmarkEnd w:id="0"/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shd w:val="clear" w:fill="FFFFFF"/>
        </w:rPr>
        <w:t>北京市民政局重大行政执法决定法制审核目录</w:t>
      </w:r>
    </w:p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发布日期：2024-01-12 12:59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 来源：市民政局政策法规处</w:t>
      </w:r>
    </w:p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19"/>
          <w:szCs w:val="19"/>
          <w:shd w:val="clear" w:fill="FFFFFF"/>
        </w:rPr>
      </w:pPr>
    </w:p>
    <w:tbl>
      <w:tblPr>
        <w:tblW w:w="6527" w:type="dxa"/>
        <w:jc w:val="center"/>
        <w:tblInd w:w="97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851"/>
        <w:gridCol w:w="514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北京市民政局重大行政执法决定法制审核目录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事项类别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审核事项名称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经过听证作出的行政许可决定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撤回行政许可的决定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撤销行政许可的决定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需提交集体审议的行政许可决定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对社会组织作出限期停止活动的行政处罚决定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对社会组织作出撤销登记的行政处罚决定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对公民处以超过一万元，对法人或者其他组织处以超过十万元罚款的行政处罚决定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对个人没收违法所得一万元以上，对机构没收十万元以上的行政处罚决定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对案情复杂或者经听证程序作出的行政处罚决定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向公安机关移送涉嫌犯罪案件的决定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向监察机关移送涉嫌职务违法、职务犯罪案件的决定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84" w:lineRule="atLeast"/>
        <w:ind w:left="0" w:right="0"/>
        <w:jc w:val="both"/>
        <w:rPr>
          <w:rFonts w:ascii="微软雅黑" w:hAnsi="微软雅黑" w:eastAsia="微软雅黑" w:cs="微软雅黑"/>
          <w:sz w:val="19"/>
          <w:szCs w:val="19"/>
        </w:rPr>
      </w:pPr>
    </w:p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19"/>
          <w:szCs w:val="19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16EF5"/>
    <w:rsid w:val="11CE2C00"/>
    <w:rsid w:val="1D382E6B"/>
    <w:rsid w:val="28714D77"/>
    <w:rsid w:val="2D6B5C32"/>
    <w:rsid w:val="48DA2882"/>
    <w:rsid w:val="536011A3"/>
    <w:rsid w:val="6A786CC0"/>
    <w:rsid w:val="77A03C58"/>
    <w:rsid w:val="789A6929"/>
    <w:rsid w:val="7AE20C99"/>
    <w:rsid w:val="7C0B2298"/>
    <w:rsid w:val="7DE3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2024-09-29T09:40:48Z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