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北京市</w:t>
      </w:r>
      <w:r>
        <w:rPr>
          <w:rFonts w:hint="eastAsia"/>
          <w:b/>
          <w:sz w:val="32"/>
          <w:szCs w:val="32"/>
          <w:lang w:eastAsia="zh-CN"/>
        </w:rPr>
        <w:t>东城区</w:t>
      </w:r>
      <w:r>
        <w:rPr>
          <w:rFonts w:hint="eastAsia"/>
          <w:b/>
          <w:sz w:val="32"/>
          <w:szCs w:val="32"/>
        </w:rPr>
        <w:t>民族宗教事务</w:t>
      </w:r>
      <w:r>
        <w:rPr>
          <w:rFonts w:hint="eastAsia"/>
          <w:b/>
          <w:sz w:val="32"/>
          <w:szCs w:val="32"/>
          <w:lang w:eastAsia="zh-CN"/>
        </w:rPr>
        <w:t>办公室</w:t>
      </w:r>
      <w:bookmarkStart w:id="0" w:name="_GoBack"/>
      <w:bookmarkEnd w:id="0"/>
      <w:r>
        <w:rPr>
          <w:rFonts w:hint="eastAsia"/>
          <w:b/>
          <w:sz w:val="32"/>
          <w:szCs w:val="32"/>
        </w:rPr>
        <w:t>行政强制流程图</w:t>
      </w:r>
    </w:p>
    <w:p/>
    <w:p>
      <w:r>
        <w:pict>
          <v:shape id="_x0000_s2051" o:spid="_x0000_s2051" o:spt="202" type="#_x0000_t202" style="position:absolute;left:0pt;margin-left:126.5pt;margin-top:12pt;height:23.55pt;width:133.75pt;z-index:251660288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案件来源（检查、举报）</w:t>
                  </w:r>
                </w:p>
              </w:txbxContent>
            </v:textbox>
          </v:shape>
        </w:pict>
      </w:r>
    </w:p>
    <w:p>
      <w:r>
        <w:pict>
          <v:shape id="_x0000_s2073" o:spid="_x0000_s2073" o:spt="202" type="#_x0000_t202" style="position:absolute;left:0pt;margin-left:153.3pt;margin-top:472.35pt;height:30pt;width:73.55pt;z-index:25168179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结案归档</w:t>
                  </w:r>
                </w:p>
              </w:txbxContent>
            </v:textbox>
          </v:shape>
        </w:pict>
      </w:r>
      <w:r>
        <w:pict>
          <v:shape id="_x0000_s2090" o:spid="_x0000_s2090" o:spt="32" type="#_x0000_t32" style="position:absolute;left:0pt;margin-left:187.5pt;margin-top:449.85pt;height:16.2pt;width:0.75pt;z-index:2516992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89" o:spid="_x0000_s2089" o:spt="32" type="#_x0000_t32" style="position:absolute;left:0pt;margin-left:186.75pt;margin-top:403.65pt;height:16.2pt;width:0.75pt;z-index:2516981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71" o:spid="_x0000_s2071" o:spt="202" type="#_x0000_t202" style="position:absolute;left:0pt;margin-left:116.6pt;margin-top:419.85pt;height:30pt;width:158.65pt;z-index:25167974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行政强制文书文书送达及执行</w:t>
                  </w:r>
                </w:p>
              </w:txbxContent>
            </v:textbox>
          </v:shape>
        </w:pict>
      </w:r>
      <w:r>
        <w:pict>
          <v:shape id="_x0000_s2088" o:spid="_x0000_s2088" o:spt="32" type="#_x0000_t32" style="position:absolute;left:0pt;margin-left:185.25pt;margin-top:351.55pt;height:16.2pt;width:0.75pt;z-index:2516971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69" o:spid="_x0000_s2069" o:spt="202" type="#_x0000_t202" style="position:absolute;left:0pt;margin-left:135.15pt;margin-top:371.85pt;height:23.25pt;width:102.6pt;z-index:25167769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作出限期拆除决定</w:t>
                  </w:r>
                </w:p>
              </w:txbxContent>
            </v:textbox>
          </v:shape>
        </w:pict>
      </w:r>
      <w:r>
        <w:pict>
          <v:shape id="_x0000_s2068" o:spid="_x0000_s2068" o:spt="202" type="#_x0000_t202" style="position:absolute;left:0pt;margin-left:121.05pt;margin-top:275.1pt;height:70.35pt;width:139.55pt;z-index:251676672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案件处理呈批表（承办人员意见、业务处室处长意见、法制审核意见,集体讨论意见，领导审批意见）</w:t>
                  </w:r>
                </w:p>
              </w:txbxContent>
            </v:textbox>
          </v:shape>
        </w:pict>
      </w:r>
      <w:r>
        <w:pict>
          <v:shape id="_x0000_s2087" o:spid="_x0000_s2087" o:spt="32" type="#_x0000_t32" style="position:absolute;left:0pt;margin-left:185.25pt;margin-top:251.35pt;height:16.2pt;width:0.75pt;z-index:2516961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67" o:spid="_x0000_s2067" o:spt="202" type="#_x0000_t202" style="position:absolute;left:0pt;margin-left:116.75pt;margin-top:219.6pt;height:23.55pt;width:139.55pt;z-index:251675648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ind w:firstLine="525" w:firstLineChars="250"/>
                  </w:pPr>
                  <w:r>
                    <w:rPr>
                      <w:rFonts w:hint="eastAsia"/>
                    </w:rPr>
                    <w:t>案件调查终结</w:t>
                  </w:r>
                </w:p>
              </w:txbxContent>
            </v:textbox>
          </v:shape>
        </w:pict>
      </w:r>
      <w:r>
        <w:pict>
          <v:shape id="_x0000_s2084" o:spid="_x0000_s2084" o:spt="32" type="#_x0000_t32" style="position:absolute;left:0pt;margin-left:186pt;margin-top:197.25pt;height:16.2pt;width:0.75pt;z-index:2516930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81" o:spid="_x0000_s2081" o:spt="32" type="#_x0000_t32" style="position:absolute;left:0pt;margin-left:186.75pt;margin-top:125.4pt;height:16.2pt;width:0.75pt;z-index:2516899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66" o:spid="_x0000_s2066" o:spt="202" type="#_x0000_t202" style="position:absolute;left:0pt;margin-left:110.9pt;margin-top:141.6pt;height:54.75pt;width:149.85pt;z-index:251674624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调查取证（执法人员进行检查，出示执法证件，依法询问，收集整理证件材料）</w:t>
                  </w:r>
                </w:p>
              </w:txbxContent>
            </v:textbox>
          </v:shape>
        </w:pict>
      </w:r>
      <w:r>
        <w:pict>
          <v:shape id="_x0000_s2080" o:spid="_x0000_s2080" o:spt="32" type="#_x0000_t32" style="position:absolute;left:0pt;margin-left:187.5pt;margin-top:65.95pt;height:16.2pt;width:0.75pt;z-index:2516889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59" o:spid="_x0000_s2059" o:spt="202" type="#_x0000_t202" style="position:absolute;left:0pt;margin-left:134.35pt;margin-top:85.9pt;height:39.15pt;width:109.5pt;z-index:251667456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立案（执法人员填写审批表，报批）</w:t>
                  </w:r>
                </w:p>
              </w:txbxContent>
            </v:textbox>
          </v:shape>
        </w:pict>
      </w:r>
      <w:r>
        <w:pict>
          <v:shape id="_x0000_s2055" o:spid="_x0000_s2055" o:spt="202" type="#_x0000_t202" style="position:absolute;left:0pt;margin-left:121.05pt;margin-top:41.85pt;height:24.1pt;width:138.65pt;z-index:25166438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735" w:firstLineChars="350"/>
                  </w:pPr>
                  <w:r>
                    <w:rPr>
                      <w:rFonts w:hint="eastAsia"/>
                    </w:rPr>
                    <w:t>一般程序</w:t>
                  </w:r>
                </w:p>
              </w:txbxContent>
            </v:textbox>
          </v:shape>
        </w:pict>
      </w:r>
      <w:r>
        <w:pict>
          <v:shape id="_x0000_s2052" o:spid="_x0000_s2052" o:spt="32" type="#_x0000_t32" style="position:absolute;left:0pt;margin-left:187.5pt;margin-top:19.95pt;height:16.2pt;width:0.75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204"/>
    <w:rsid w:val="000B42C2"/>
    <w:rsid w:val="0018710F"/>
    <w:rsid w:val="001C5BBD"/>
    <w:rsid w:val="002E0417"/>
    <w:rsid w:val="003D06F0"/>
    <w:rsid w:val="00540BE0"/>
    <w:rsid w:val="00610066"/>
    <w:rsid w:val="00773049"/>
    <w:rsid w:val="007C0EED"/>
    <w:rsid w:val="008004AA"/>
    <w:rsid w:val="008B0BEA"/>
    <w:rsid w:val="00AD70B2"/>
    <w:rsid w:val="00DB0204"/>
    <w:rsid w:val="00E63D3D"/>
    <w:rsid w:val="00F26251"/>
    <w:rsid w:val="21F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/>
        <o:r id="V:Rule2" type="connector" idref="#_x0000_s2080"/>
        <o:r id="V:Rule3" type="connector" idref="#_x0000_s2081"/>
        <o:r id="V:Rule4" type="connector" idref="#_x0000_s2084"/>
        <o:r id="V:Rule5" type="connector" idref="#_x0000_s2087"/>
        <o:r id="V:Rule6" type="connector" idref="#_x0000_s2088"/>
        <o:r id="V:Rule7" type="connector" idref="#_x0000_s2089"/>
        <o:r id="V:Rule8" type="connector" idref="#_x0000_s209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73"/>
    <customShpInfo spid="_x0000_s2090"/>
    <customShpInfo spid="_x0000_s2089"/>
    <customShpInfo spid="_x0000_s2071"/>
    <customShpInfo spid="_x0000_s2088"/>
    <customShpInfo spid="_x0000_s2069"/>
    <customShpInfo spid="_x0000_s2068"/>
    <customShpInfo spid="_x0000_s2087"/>
    <customShpInfo spid="_x0000_s2067"/>
    <customShpInfo spid="_x0000_s2084"/>
    <customShpInfo spid="_x0000_s2081"/>
    <customShpInfo spid="_x0000_s2066"/>
    <customShpInfo spid="_x0000_s2080"/>
    <customShpInfo spid="_x0000_s2059"/>
    <customShpInfo spid="_x0000_s2055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</Words>
  <Characters>35</Characters>
  <Lines>1</Lines>
  <Paragraphs>1</Paragraphs>
  <TotalTime>45</TotalTime>
  <ScaleCrop>false</ScaleCrop>
  <LinksUpToDate>false</LinksUpToDate>
  <CharactersWithSpaces>39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2019-06-17T02:05:00Z</dcterms:created>
  <dc:creator>USER-</dc:creator>
  <cp:lastModifiedBy>gjhfgfhk</cp:lastModifiedBy>
  <dcterms:modified xsi:type="dcterms:W3CDTF">2019-12-30T09:32:48Z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