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BB" w:rsidRPr="00942DBB" w:rsidRDefault="00942DBB" w:rsidP="00942DBB">
      <w:pPr>
        <w:widowControl/>
        <w:jc w:val="center"/>
        <w:rPr>
          <w:rFonts w:ascii="方正小标宋简体" w:eastAsia="方正小标宋简体" w:hAnsi="Arial" w:cs="Arial" w:hint="eastAsia"/>
          <w:kern w:val="0"/>
          <w:sz w:val="36"/>
          <w:szCs w:val="36"/>
        </w:rPr>
      </w:pPr>
      <w:r w:rsidRPr="00942DBB">
        <w:rPr>
          <w:rFonts w:ascii="方正小标宋简体" w:eastAsia="方正小标宋简体" w:hAnsi="Arial" w:cs="Arial" w:hint="eastAsia"/>
          <w:kern w:val="0"/>
          <w:sz w:val="36"/>
          <w:szCs w:val="36"/>
        </w:rPr>
        <w:t>东城区教育委员会责任清单</w:t>
      </w:r>
    </w:p>
    <w:p w:rsidR="00942DBB" w:rsidRPr="009962A5" w:rsidRDefault="00942DBB" w:rsidP="009962A5">
      <w:pPr>
        <w:widowControl/>
        <w:jc w:val="left"/>
        <w:rPr>
          <w:rFonts w:ascii="Arial" w:eastAsia="宋体" w:hAnsi="Arial" w:cs="Arial"/>
          <w:kern w:val="0"/>
          <w:szCs w:val="21"/>
        </w:rPr>
      </w:pPr>
    </w:p>
    <w:tbl>
      <w:tblPr>
        <w:tblpPr w:leftFromText="180" w:rightFromText="180" w:vertAnchor="text"/>
        <w:tblW w:w="8941" w:type="dxa"/>
        <w:tblCellMar>
          <w:left w:w="0" w:type="dxa"/>
          <w:right w:w="0" w:type="dxa"/>
        </w:tblCellMar>
        <w:tblLook w:val="04A0" w:firstRow="1" w:lastRow="0" w:firstColumn="1" w:lastColumn="0" w:noHBand="0" w:noVBand="1"/>
      </w:tblPr>
      <w:tblGrid>
        <w:gridCol w:w="1003"/>
        <w:gridCol w:w="499"/>
        <w:gridCol w:w="776"/>
        <w:gridCol w:w="142"/>
        <w:gridCol w:w="184"/>
        <w:gridCol w:w="6337"/>
      </w:tblGrid>
      <w:tr w:rsidR="009962A5" w:rsidRPr="009962A5" w:rsidTr="009962A5">
        <w:trPr>
          <w:trHeight w:val="826"/>
        </w:trPr>
        <w:tc>
          <w:tcPr>
            <w:tcW w:w="8941" w:type="dxa"/>
            <w:gridSpan w:val="6"/>
            <w:tcBorders>
              <w:top w:val="inset" w:sz="8" w:space="0" w:color="auto"/>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方正小标宋简体" w:eastAsia="方正小标宋简体" w:hAnsi="宋体" w:cs="宋体" w:hint="eastAsia"/>
                <w:color w:val="282828"/>
                <w:kern w:val="0"/>
                <w:sz w:val="24"/>
                <w:szCs w:val="24"/>
              </w:rPr>
              <w:t>一、行政许可类行政职权运行通用责任清</w:t>
            </w:r>
            <w:bookmarkStart w:id="0" w:name="_GoBack"/>
            <w:bookmarkEnd w:id="0"/>
            <w:r w:rsidRPr="009962A5">
              <w:rPr>
                <w:rFonts w:ascii="方正小标宋简体" w:eastAsia="方正小标宋简体" w:hAnsi="宋体" w:cs="宋体" w:hint="eastAsia"/>
                <w:color w:val="282828"/>
                <w:kern w:val="0"/>
                <w:sz w:val="24"/>
                <w:szCs w:val="24"/>
              </w:rPr>
              <w:t>单</w:t>
            </w:r>
          </w:p>
        </w:tc>
      </w:tr>
      <w:tr w:rsidR="009962A5" w:rsidRPr="009962A5" w:rsidTr="00CB65FC">
        <w:trPr>
          <w:trHeight w:val="407"/>
        </w:trPr>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序号</w:t>
            </w:r>
          </w:p>
        </w:tc>
        <w:tc>
          <w:tcPr>
            <w:tcW w:w="1275"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运行环节</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责任事项</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w:t>
            </w:r>
          </w:p>
        </w:tc>
        <w:tc>
          <w:tcPr>
            <w:tcW w:w="1275" w:type="dxa"/>
            <w:gridSpan w:val="2"/>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（一）受理</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接收申请人提交的材料。若申请人提交的申请材料不齐全、不符合法定形式，应当一次性告知申请人必须补正的全部内容。</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2</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受理或者不予受理行政许可申请，应当出具加盖行政机关专用印章和注明日期的书面凭证。</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3</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依法说明不受理行政许可申请或者不予行政许可的理由。</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4</w:t>
            </w:r>
          </w:p>
        </w:tc>
        <w:tc>
          <w:tcPr>
            <w:tcW w:w="1275" w:type="dxa"/>
            <w:gridSpan w:val="2"/>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（二）审查</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申请人提交的申请材料齐全、符合法定形式，能够当场</w:t>
            </w: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决定的，当场</w:t>
            </w: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书面的行政许可决定。</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5</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根据法定条件和程序，需要对申请材料的实质内容进行核实的，行政机关应当指派</w:t>
            </w:r>
            <w:r w:rsidRPr="009962A5">
              <w:rPr>
                <w:rFonts w:ascii="宋体" w:eastAsia="宋体" w:hAnsi="宋体" w:cs="宋体"/>
                <w:color w:val="282828"/>
                <w:kern w:val="0"/>
                <w:sz w:val="24"/>
                <w:szCs w:val="24"/>
              </w:rPr>
              <w:t>2</w:t>
            </w:r>
            <w:r w:rsidRPr="009962A5">
              <w:rPr>
                <w:rFonts w:ascii="宋体" w:eastAsia="宋体" w:hAnsi="宋体" w:cs="宋体" w:hint="eastAsia"/>
                <w:color w:val="282828"/>
                <w:kern w:val="0"/>
                <w:sz w:val="24"/>
                <w:szCs w:val="24"/>
              </w:rPr>
              <w:t>名以上工作人员进行核查。</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6</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需依法举行听证的应当依法举行听证。</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7</w:t>
            </w:r>
          </w:p>
        </w:tc>
        <w:tc>
          <w:tcPr>
            <w:tcW w:w="1275" w:type="dxa"/>
            <w:gridSpan w:val="2"/>
            <w:vMerge w:val="restart"/>
            <w:tcBorders>
              <w:top w:val="nil"/>
              <w:left w:val="nil"/>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（三）决定</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对符合法定条件的申请人应当在法定职权范围和期限内尽快</w:t>
            </w: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准予行政许可的决定。</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8</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依法根据招标、拍卖结果或者考试成绩择优</w:t>
            </w: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准予行政许可的决定。</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9</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w:t>
            </w: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不予行政许可的书面决定的，应当说明理由，并告知申请人享有依法申请行政复议或者提起行政诉讼的权利。</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10</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按法定项目和标准予以收费。</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11</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proofErr w:type="gramStart"/>
            <w:r w:rsidRPr="009962A5">
              <w:rPr>
                <w:rFonts w:ascii="宋体" w:eastAsia="宋体" w:hAnsi="宋体" w:cs="宋体" w:hint="eastAsia"/>
                <w:color w:val="282828"/>
                <w:kern w:val="0"/>
                <w:sz w:val="24"/>
                <w:szCs w:val="24"/>
              </w:rPr>
              <w:t>作出</w:t>
            </w:r>
            <w:proofErr w:type="gramEnd"/>
            <w:r w:rsidRPr="009962A5">
              <w:rPr>
                <w:rFonts w:ascii="宋体" w:eastAsia="宋体" w:hAnsi="宋体" w:cs="宋体" w:hint="eastAsia"/>
                <w:color w:val="282828"/>
                <w:kern w:val="0"/>
                <w:sz w:val="24"/>
                <w:szCs w:val="24"/>
              </w:rPr>
              <w:t>的准予行政许可决定，应当予以公开，公众有权查阅。</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12</w:t>
            </w:r>
          </w:p>
        </w:tc>
        <w:tc>
          <w:tcPr>
            <w:tcW w:w="1275" w:type="dxa"/>
            <w:gridSpan w:val="2"/>
            <w:vMerge w:val="restart"/>
            <w:tcBorders>
              <w:top w:val="nil"/>
              <w:left w:val="nil"/>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（四）送达</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送达行政执法文书应当有送达回证，受送达人在送达回证上的签收日期为送达日期。</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lastRenderedPageBreak/>
              <w:t>13</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送达程序参照民事诉讼法有关规定执行。</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14</w:t>
            </w:r>
          </w:p>
        </w:tc>
        <w:tc>
          <w:tcPr>
            <w:tcW w:w="1275" w:type="dxa"/>
            <w:gridSpan w:val="2"/>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（五）事后监管</w:t>
            </w: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建立健全监督制度，通过核查反映被许可人从事行政许可事项活动情况的有关材料，履行监督责任。</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15</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建立随机抽查制度，对被许可人生产经营的产品依法进行抽样检查、检验、检测，对其生产经营场所依法进行实地检查。</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16</w:t>
            </w:r>
          </w:p>
        </w:tc>
        <w:tc>
          <w:tcPr>
            <w:tcW w:w="1275" w:type="dxa"/>
            <w:gridSpan w:val="2"/>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Arial" w:eastAsia="宋体" w:hAnsi="Arial" w:cs="Arial"/>
                <w:kern w:val="0"/>
                <w:szCs w:val="21"/>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根据法律、行政法规的规定，对直接关系公共安全、人身健康、生命财产安全的重要设备、设施进行定期检验。</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17</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Arial" w:eastAsia="宋体" w:hAnsi="Arial" w:cs="Arial"/>
                <w:kern w:val="0"/>
                <w:szCs w:val="21"/>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实施监督检查时，应当将监督检查的情况和处理结果予以记录，由监督检查人员签字后归档。公众有权查阅监督检查记录。</w:t>
            </w:r>
          </w:p>
        </w:tc>
      </w:tr>
      <w:tr w:rsidR="009962A5" w:rsidRPr="009962A5" w:rsidTr="00CB65FC">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18</w:t>
            </w:r>
          </w:p>
        </w:tc>
        <w:tc>
          <w:tcPr>
            <w:tcW w:w="1275" w:type="dxa"/>
            <w:gridSpan w:val="2"/>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Arial" w:eastAsia="宋体" w:hAnsi="Arial" w:cs="Arial"/>
                <w:kern w:val="0"/>
                <w:szCs w:val="21"/>
              </w:rPr>
            </w:pPr>
          </w:p>
        </w:tc>
        <w:tc>
          <w:tcPr>
            <w:tcW w:w="6663"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实施监督检查，不得妨碍被许可人正常的生产经营活动，不得索取或收受被许可人的财物，不得谋取其他利益。</w:t>
            </w:r>
          </w:p>
        </w:tc>
      </w:tr>
      <w:tr w:rsidR="009962A5" w:rsidRPr="009962A5" w:rsidTr="009962A5">
        <w:trPr>
          <w:trHeight w:val="578"/>
        </w:trPr>
        <w:tc>
          <w:tcPr>
            <w:tcW w:w="8941" w:type="dxa"/>
            <w:gridSpan w:val="6"/>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方正小标宋简体" w:eastAsia="方正小标宋简体" w:hAnsi="宋体" w:cs="宋体" w:hint="eastAsia"/>
                <w:color w:val="282828"/>
                <w:kern w:val="0"/>
                <w:sz w:val="24"/>
                <w:szCs w:val="24"/>
              </w:rPr>
              <w:t>二、行政给付行政职权运行通用责任清单</w:t>
            </w:r>
          </w:p>
        </w:tc>
      </w:tr>
      <w:tr w:rsidR="009962A5" w:rsidRPr="009962A5" w:rsidTr="009962A5">
        <w:trPr>
          <w:trHeight w:val="558"/>
        </w:trPr>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序号</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运行环节</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责任事项</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w:t>
            </w:r>
          </w:p>
        </w:tc>
        <w:tc>
          <w:tcPr>
            <w:tcW w:w="1417"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（一）受理</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对符合受理条件的，应当受理，并制作受理通知书；对不符合受理条件的不予受理，并书面告知申请人不予受理的理由和依据。</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2</w:t>
            </w:r>
          </w:p>
        </w:tc>
        <w:tc>
          <w:tcPr>
            <w:tcW w:w="0" w:type="auto"/>
            <w:gridSpan w:val="3"/>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申请材料不齐全或者不符合法定形式的，应当一次性告知申请人需要补正的全部内容和合理的补正期限。</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3</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（二）审查</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在法定期限（承诺期限）内完成审查。</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4</w:t>
            </w:r>
          </w:p>
        </w:tc>
        <w:tc>
          <w:tcPr>
            <w:tcW w:w="1417"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（三）决定</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对于符合条件的，</w:t>
            </w:r>
            <w:proofErr w:type="gramStart"/>
            <w:r w:rsidRPr="009962A5">
              <w:rPr>
                <w:rFonts w:ascii="宋体" w:eastAsia="宋体" w:hAnsi="宋体" w:cs="宋体" w:hint="eastAsia"/>
                <w:color w:val="282828"/>
                <w:kern w:val="0"/>
                <w:sz w:val="24"/>
                <w:szCs w:val="24"/>
              </w:rPr>
              <w:t>作出给于</w:t>
            </w:r>
            <w:proofErr w:type="gramEnd"/>
            <w:r w:rsidRPr="009962A5">
              <w:rPr>
                <w:rFonts w:ascii="宋体" w:eastAsia="宋体" w:hAnsi="宋体" w:cs="宋体" w:hint="eastAsia"/>
                <w:color w:val="282828"/>
                <w:kern w:val="0"/>
                <w:sz w:val="24"/>
                <w:szCs w:val="24"/>
              </w:rPr>
              <w:t>给付的决定，明确给付标准以及后续办事事宜，并通知申请人前来领取。</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5</w:t>
            </w:r>
          </w:p>
        </w:tc>
        <w:tc>
          <w:tcPr>
            <w:tcW w:w="0" w:type="auto"/>
            <w:gridSpan w:val="3"/>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对不符合给付条件的，书面告知申请人不予给付的理由和依据。</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6</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（四）给付</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按照规定标准予以给付。</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7</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（五）事后监管</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开展检查，加强日常监管。</w:t>
            </w:r>
          </w:p>
        </w:tc>
      </w:tr>
      <w:tr w:rsidR="009962A5" w:rsidRPr="009962A5" w:rsidTr="009962A5">
        <w:trPr>
          <w:trHeight w:val="625"/>
        </w:trPr>
        <w:tc>
          <w:tcPr>
            <w:tcW w:w="8941" w:type="dxa"/>
            <w:gridSpan w:val="6"/>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方正小标宋简体" w:eastAsia="方正小标宋简体" w:hAnsi="宋体" w:cs="宋体" w:hint="eastAsia"/>
                <w:color w:val="282828"/>
                <w:kern w:val="0"/>
                <w:sz w:val="24"/>
                <w:szCs w:val="24"/>
              </w:rPr>
              <w:lastRenderedPageBreak/>
              <w:t>三、行政奖励类行政职权运行通用责任清单</w:t>
            </w:r>
          </w:p>
        </w:tc>
      </w:tr>
      <w:tr w:rsidR="009962A5" w:rsidRPr="009962A5" w:rsidTr="009962A5">
        <w:tc>
          <w:tcPr>
            <w:tcW w:w="1003" w:type="dxa"/>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序号</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运行环节</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责任事项</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w:t>
            </w:r>
          </w:p>
        </w:tc>
        <w:tc>
          <w:tcPr>
            <w:tcW w:w="1417"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（一）制定方案</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依法科学制定奖励方案，明确奖励条件、程序等内容。</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2</w:t>
            </w:r>
          </w:p>
        </w:tc>
        <w:tc>
          <w:tcPr>
            <w:tcW w:w="1417"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（二）审核公示</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对符合条件的推荐对象进行审核审定，并进行公示。</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3</w:t>
            </w:r>
          </w:p>
        </w:tc>
        <w:tc>
          <w:tcPr>
            <w:tcW w:w="0" w:type="auto"/>
            <w:gridSpan w:val="3"/>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依法、及时调查核实举报投诉涉及问题。</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4</w:t>
            </w:r>
          </w:p>
        </w:tc>
        <w:tc>
          <w:tcPr>
            <w:tcW w:w="1417"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（三）实施奖励</w:t>
            </w: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依法、及时按程序报批决定奖励的等级和金额。</w:t>
            </w:r>
          </w:p>
        </w:tc>
      </w:tr>
      <w:tr w:rsidR="009962A5" w:rsidRPr="009962A5" w:rsidTr="009962A5">
        <w:tc>
          <w:tcPr>
            <w:tcW w:w="1003" w:type="dxa"/>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5</w:t>
            </w:r>
          </w:p>
        </w:tc>
        <w:tc>
          <w:tcPr>
            <w:tcW w:w="0" w:type="auto"/>
            <w:gridSpan w:val="3"/>
            <w:vMerge/>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521" w:type="dxa"/>
            <w:gridSpan w:val="2"/>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及时通知当事人领取奖励。</w:t>
            </w:r>
          </w:p>
        </w:tc>
      </w:tr>
      <w:tr w:rsidR="009962A5" w:rsidRPr="009962A5" w:rsidTr="009962A5">
        <w:tc>
          <w:tcPr>
            <w:tcW w:w="8941" w:type="dxa"/>
            <w:gridSpan w:val="6"/>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方正小标宋简体" w:eastAsia="方正小标宋简体" w:hAnsi="宋体" w:cs="宋体" w:hint="eastAsia"/>
                <w:color w:val="282828"/>
                <w:kern w:val="0"/>
                <w:sz w:val="24"/>
                <w:szCs w:val="24"/>
              </w:rPr>
              <w:t>四、行政检查类行政职权运行通用责任清单</w:t>
            </w:r>
          </w:p>
        </w:tc>
      </w:tr>
      <w:tr w:rsidR="009962A5" w:rsidRPr="009962A5" w:rsidTr="009962A5">
        <w:tc>
          <w:tcPr>
            <w:tcW w:w="1502" w:type="dxa"/>
            <w:gridSpan w:val="2"/>
            <w:tcBorders>
              <w:top w:val="nil"/>
              <w:left w:val="inset" w:sz="8" w:space="0" w:color="auto"/>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序号</w:t>
            </w:r>
          </w:p>
        </w:tc>
        <w:tc>
          <w:tcPr>
            <w:tcW w:w="1102" w:type="dxa"/>
            <w:gridSpan w:val="3"/>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运行环节</w:t>
            </w: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黑体" w:eastAsia="黑体" w:hAnsi="黑体" w:cs="宋体" w:hint="eastAsia"/>
                <w:color w:val="282828"/>
                <w:kern w:val="0"/>
                <w:sz w:val="24"/>
                <w:szCs w:val="24"/>
              </w:rPr>
              <w:t>责任事项</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w:t>
            </w:r>
          </w:p>
        </w:tc>
        <w:tc>
          <w:tcPr>
            <w:tcW w:w="1102"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（一）制定方案</w:t>
            </w: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实施检查前应当依法制定含有正当理由、事项和内容的检查方案。</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2</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同一行政机关的多个内设机构和下属机构对同一当事人不同事项的行政检查，能够合并检查的应当合并检查。</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3</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上下级行政机关应当按照级别管辖和地域管辖相结合的原则合理划分检查范围，避免重复检查。</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4</w:t>
            </w:r>
          </w:p>
        </w:tc>
        <w:tc>
          <w:tcPr>
            <w:tcW w:w="1102" w:type="dxa"/>
            <w:gridSpan w:val="3"/>
            <w:vMerge w:val="restart"/>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（二）实施检查</w:t>
            </w: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依照检查方案规定的时限、范围开展检查。</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5</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实施检查时应当出示执法身份证件、检查方案。</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6</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依法查阅资料、查看现场、听取当事人陈述申辩并取证。</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7</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实施检查应当不影响当事人的正常生产经营活动与生活。</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8</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依法告知当事人检查中发现的违法行为及处理意见，对不服处理意见的，可以依法申请行政复议或提起行政诉讼。</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9</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对检查中发现的违法行为应当予以制止和纠正。</w:t>
            </w:r>
          </w:p>
        </w:tc>
      </w:tr>
      <w:tr w:rsidR="009962A5" w:rsidRPr="009962A5" w:rsidTr="009962A5">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lastRenderedPageBreak/>
              <w:t>10</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实施行政检查中不得乱收费、乱罚款、乱摊派，严禁吃、拿、卡、要。</w:t>
            </w:r>
          </w:p>
        </w:tc>
      </w:tr>
      <w:tr w:rsidR="009962A5" w:rsidRPr="009962A5" w:rsidTr="00970767">
        <w:tc>
          <w:tcPr>
            <w:tcW w:w="1502" w:type="dxa"/>
            <w:gridSpan w:val="2"/>
            <w:tcBorders>
              <w:top w:val="nil"/>
              <w:left w:val="inset" w:sz="8" w:space="0" w:color="auto"/>
              <w:bottom w:val="inset" w:sz="8" w:space="0" w:color="auto"/>
              <w:right w:val="inset" w:sz="8" w:space="0" w:color="auto"/>
            </w:tcBorders>
            <w:noWrap/>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11</w:t>
            </w:r>
          </w:p>
        </w:tc>
        <w:tc>
          <w:tcPr>
            <w:tcW w:w="0" w:type="auto"/>
            <w:gridSpan w:val="3"/>
            <w:vMerge/>
            <w:tcBorders>
              <w:top w:val="nil"/>
              <w:left w:val="nil"/>
              <w:bottom w:val="inset" w:sz="8" w:space="0" w:color="auto"/>
              <w:right w:val="inset" w:sz="8" w:space="0" w:color="auto"/>
            </w:tcBorders>
            <w:vAlign w:val="center"/>
            <w:hideMark/>
          </w:tcPr>
          <w:p w:rsidR="009962A5" w:rsidRPr="009962A5" w:rsidRDefault="009962A5" w:rsidP="00CB65FC">
            <w:pPr>
              <w:widowControl/>
              <w:spacing w:line="300" w:lineRule="exact"/>
              <w:jc w:val="left"/>
              <w:rPr>
                <w:rFonts w:ascii="宋体" w:eastAsia="宋体" w:hAnsi="宋体" w:cs="宋体"/>
                <w:kern w:val="0"/>
                <w:sz w:val="24"/>
                <w:szCs w:val="24"/>
              </w:rPr>
            </w:pPr>
          </w:p>
        </w:tc>
        <w:tc>
          <w:tcPr>
            <w:tcW w:w="6337" w:type="dxa"/>
            <w:tcBorders>
              <w:top w:val="nil"/>
              <w:left w:val="nil"/>
              <w:bottom w:val="inset" w:sz="8"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不得放弃、推诿、拖延、拒绝履行检查职责。</w:t>
            </w:r>
          </w:p>
        </w:tc>
      </w:tr>
      <w:tr w:rsidR="009962A5" w:rsidRPr="009962A5" w:rsidTr="00970767">
        <w:tc>
          <w:tcPr>
            <w:tcW w:w="1502" w:type="dxa"/>
            <w:gridSpan w:val="2"/>
            <w:tcBorders>
              <w:top w:val="inset" w:sz="8" w:space="0" w:color="auto"/>
              <w:left w:val="inset" w:sz="8" w:space="0" w:color="auto"/>
              <w:bottom w:val="single" w:sz="4"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color w:val="282828"/>
                <w:kern w:val="0"/>
                <w:sz w:val="24"/>
                <w:szCs w:val="24"/>
              </w:rPr>
              <w:t>12</w:t>
            </w:r>
          </w:p>
        </w:tc>
        <w:tc>
          <w:tcPr>
            <w:tcW w:w="1102" w:type="dxa"/>
            <w:gridSpan w:val="3"/>
            <w:tcBorders>
              <w:top w:val="inset" w:sz="8" w:space="0" w:color="auto"/>
              <w:left w:val="nil"/>
              <w:bottom w:val="single" w:sz="4"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b/>
                <w:bCs/>
                <w:color w:val="282828"/>
                <w:kern w:val="0"/>
                <w:sz w:val="24"/>
                <w:szCs w:val="24"/>
              </w:rPr>
              <w:t>（三）事后监管</w:t>
            </w:r>
          </w:p>
        </w:tc>
        <w:tc>
          <w:tcPr>
            <w:tcW w:w="6337" w:type="dxa"/>
            <w:tcBorders>
              <w:top w:val="inset" w:sz="8" w:space="0" w:color="auto"/>
              <w:left w:val="nil"/>
              <w:bottom w:val="single" w:sz="4" w:space="0" w:color="auto"/>
              <w:right w:val="inset" w:sz="8" w:space="0" w:color="auto"/>
            </w:tcBorders>
            <w:vAlign w:val="center"/>
            <w:hideMark/>
          </w:tcPr>
          <w:p w:rsidR="009962A5" w:rsidRPr="009962A5" w:rsidRDefault="009962A5" w:rsidP="00CB65FC">
            <w:pPr>
              <w:widowControl/>
              <w:spacing w:after="300" w:line="300" w:lineRule="exact"/>
              <w:jc w:val="center"/>
              <w:rPr>
                <w:rFonts w:ascii="宋体" w:eastAsia="宋体" w:hAnsi="宋体" w:cs="宋体"/>
                <w:kern w:val="0"/>
                <w:sz w:val="24"/>
                <w:szCs w:val="24"/>
              </w:rPr>
            </w:pPr>
            <w:r w:rsidRPr="009962A5">
              <w:rPr>
                <w:rFonts w:ascii="宋体" w:eastAsia="宋体" w:hAnsi="宋体" w:cs="宋体" w:hint="eastAsia"/>
                <w:color w:val="282828"/>
                <w:kern w:val="0"/>
                <w:sz w:val="24"/>
                <w:szCs w:val="24"/>
              </w:rPr>
              <w:t>对检查情况进行汇总、分类、归档备查，并跟踪监测。</w:t>
            </w:r>
          </w:p>
        </w:tc>
      </w:tr>
      <w:tr w:rsidR="009962A5" w:rsidRPr="009962A5" w:rsidTr="00970767">
        <w:trPr>
          <w:trHeight w:val="80"/>
        </w:trPr>
        <w:tc>
          <w:tcPr>
            <w:tcW w:w="1502" w:type="dxa"/>
            <w:gridSpan w:val="2"/>
            <w:tcBorders>
              <w:top w:val="single" w:sz="4" w:space="0" w:color="auto"/>
              <w:left w:val="inset" w:sz="8" w:space="0" w:color="auto"/>
              <w:bottom w:val="inset" w:sz="8" w:space="0" w:color="auto"/>
              <w:right w:val="inset" w:sz="8" w:space="0" w:color="auto"/>
            </w:tcBorders>
            <w:vAlign w:val="center"/>
            <w:hideMark/>
          </w:tcPr>
          <w:p w:rsidR="009962A5" w:rsidRPr="009962A5" w:rsidRDefault="009962A5" w:rsidP="009962A5">
            <w:pPr>
              <w:widowControl/>
              <w:jc w:val="left"/>
              <w:rPr>
                <w:rFonts w:ascii="Arial" w:eastAsia="宋体" w:hAnsi="Arial" w:cs="Arial"/>
                <w:kern w:val="0"/>
                <w:sz w:val="8"/>
                <w:szCs w:val="21"/>
              </w:rPr>
            </w:pPr>
          </w:p>
        </w:tc>
        <w:tc>
          <w:tcPr>
            <w:tcW w:w="1102" w:type="dxa"/>
            <w:gridSpan w:val="3"/>
            <w:tcBorders>
              <w:top w:val="single" w:sz="4" w:space="0" w:color="auto"/>
              <w:left w:val="nil"/>
              <w:bottom w:val="inset" w:sz="8" w:space="0" w:color="auto"/>
              <w:right w:val="inset" w:sz="8" w:space="0" w:color="auto"/>
            </w:tcBorders>
            <w:vAlign w:val="center"/>
            <w:hideMark/>
          </w:tcPr>
          <w:p w:rsidR="009962A5" w:rsidRPr="009962A5" w:rsidRDefault="009962A5" w:rsidP="009962A5">
            <w:pPr>
              <w:widowControl/>
              <w:jc w:val="left"/>
              <w:rPr>
                <w:rFonts w:ascii="Arial" w:eastAsia="宋体" w:hAnsi="Arial" w:cs="Arial"/>
                <w:kern w:val="0"/>
                <w:sz w:val="8"/>
                <w:szCs w:val="21"/>
              </w:rPr>
            </w:pPr>
          </w:p>
        </w:tc>
        <w:tc>
          <w:tcPr>
            <w:tcW w:w="6337" w:type="dxa"/>
            <w:tcBorders>
              <w:top w:val="single" w:sz="4" w:space="0" w:color="auto"/>
              <w:left w:val="nil"/>
              <w:bottom w:val="inset" w:sz="8" w:space="0" w:color="auto"/>
              <w:right w:val="inset" w:sz="8" w:space="0" w:color="auto"/>
            </w:tcBorders>
            <w:vAlign w:val="center"/>
            <w:hideMark/>
          </w:tcPr>
          <w:p w:rsidR="009962A5" w:rsidRPr="009962A5" w:rsidRDefault="009962A5" w:rsidP="009962A5">
            <w:pPr>
              <w:widowControl/>
              <w:jc w:val="left"/>
              <w:rPr>
                <w:rFonts w:ascii="Arial" w:eastAsia="宋体" w:hAnsi="Arial" w:cs="Arial"/>
                <w:kern w:val="0"/>
                <w:sz w:val="8"/>
                <w:szCs w:val="21"/>
              </w:rPr>
            </w:pPr>
          </w:p>
        </w:tc>
      </w:tr>
    </w:tbl>
    <w:p w:rsidR="007205AA" w:rsidRPr="009962A5" w:rsidRDefault="007205AA">
      <w:pPr>
        <w:rPr>
          <w:rFonts w:hint="eastAsia"/>
        </w:rPr>
      </w:pPr>
    </w:p>
    <w:sectPr w:rsidR="007205AA" w:rsidRPr="009962A5" w:rsidSect="00550C08">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2E"/>
    <w:rsid w:val="00001203"/>
    <w:rsid w:val="00012375"/>
    <w:rsid w:val="00017948"/>
    <w:rsid w:val="00026161"/>
    <w:rsid w:val="0004651D"/>
    <w:rsid w:val="00056A05"/>
    <w:rsid w:val="00063687"/>
    <w:rsid w:val="00064352"/>
    <w:rsid w:val="0007318C"/>
    <w:rsid w:val="00082D42"/>
    <w:rsid w:val="00090496"/>
    <w:rsid w:val="00096D05"/>
    <w:rsid w:val="000B1421"/>
    <w:rsid w:val="000F3175"/>
    <w:rsid w:val="000F4A97"/>
    <w:rsid w:val="00125D06"/>
    <w:rsid w:val="001270FC"/>
    <w:rsid w:val="00130BF2"/>
    <w:rsid w:val="001A2983"/>
    <w:rsid w:val="001F0F37"/>
    <w:rsid w:val="001F17A8"/>
    <w:rsid w:val="00202C25"/>
    <w:rsid w:val="00207EE4"/>
    <w:rsid w:val="00223D32"/>
    <w:rsid w:val="0024213B"/>
    <w:rsid w:val="00264F1F"/>
    <w:rsid w:val="00296C1F"/>
    <w:rsid w:val="002B0410"/>
    <w:rsid w:val="002F35F6"/>
    <w:rsid w:val="002F5353"/>
    <w:rsid w:val="00303905"/>
    <w:rsid w:val="00326A0B"/>
    <w:rsid w:val="0034575B"/>
    <w:rsid w:val="003667C8"/>
    <w:rsid w:val="00382B75"/>
    <w:rsid w:val="00385D10"/>
    <w:rsid w:val="003A15E1"/>
    <w:rsid w:val="003A70F2"/>
    <w:rsid w:val="003C48C1"/>
    <w:rsid w:val="003C5A8B"/>
    <w:rsid w:val="003F4523"/>
    <w:rsid w:val="004105B2"/>
    <w:rsid w:val="004A76F5"/>
    <w:rsid w:val="004B351F"/>
    <w:rsid w:val="004E61BE"/>
    <w:rsid w:val="004F0E64"/>
    <w:rsid w:val="004F3063"/>
    <w:rsid w:val="004F391D"/>
    <w:rsid w:val="00506673"/>
    <w:rsid w:val="00533CDF"/>
    <w:rsid w:val="00550C08"/>
    <w:rsid w:val="0057611C"/>
    <w:rsid w:val="005A10A4"/>
    <w:rsid w:val="005B70F4"/>
    <w:rsid w:val="005C572A"/>
    <w:rsid w:val="005D6728"/>
    <w:rsid w:val="005E005D"/>
    <w:rsid w:val="005E1F8B"/>
    <w:rsid w:val="00652AA9"/>
    <w:rsid w:val="00652EAF"/>
    <w:rsid w:val="0066110A"/>
    <w:rsid w:val="00682D51"/>
    <w:rsid w:val="006A6FA0"/>
    <w:rsid w:val="006B01F7"/>
    <w:rsid w:val="006B4752"/>
    <w:rsid w:val="006C066B"/>
    <w:rsid w:val="006D1620"/>
    <w:rsid w:val="006D2604"/>
    <w:rsid w:val="006F4B1E"/>
    <w:rsid w:val="006F580F"/>
    <w:rsid w:val="0070123F"/>
    <w:rsid w:val="00714829"/>
    <w:rsid w:val="00715F36"/>
    <w:rsid w:val="007205AA"/>
    <w:rsid w:val="00752A62"/>
    <w:rsid w:val="00762E30"/>
    <w:rsid w:val="007702B6"/>
    <w:rsid w:val="007B7D86"/>
    <w:rsid w:val="007D3CF3"/>
    <w:rsid w:val="007F7249"/>
    <w:rsid w:val="007F7B4B"/>
    <w:rsid w:val="00800E3E"/>
    <w:rsid w:val="00802C2D"/>
    <w:rsid w:val="00841F4E"/>
    <w:rsid w:val="00844C13"/>
    <w:rsid w:val="00861C84"/>
    <w:rsid w:val="0086682B"/>
    <w:rsid w:val="008816B4"/>
    <w:rsid w:val="00895C76"/>
    <w:rsid w:val="008C07B6"/>
    <w:rsid w:val="008D6695"/>
    <w:rsid w:val="00942DBB"/>
    <w:rsid w:val="00970767"/>
    <w:rsid w:val="00972A5A"/>
    <w:rsid w:val="00981288"/>
    <w:rsid w:val="00981A78"/>
    <w:rsid w:val="009962A5"/>
    <w:rsid w:val="009D77D1"/>
    <w:rsid w:val="009E38EA"/>
    <w:rsid w:val="00A4379F"/>
    <w:rsid w:val="00A47BED"/>
    <w:rsid w:val="00A63FCB"/>
    <w:rsid w:val="00A70AEA"/>
    <w:rsid w:val="00AC07E4"/>
    <w:rsid w:val="00AC1A94"/>
    <w:rsid w:val="00AD1B89"/>
    <w:rsid w:val="00AD309C"/>
    <w:rsid w:val="00AE0608"/>
    <w:rsid w:val="00B031CF"/>
    <w:rsid w:val="00B7274F"/>
    <w:rsid w:val="00B76FAC"/>
    <w:rsid w:val="00B8280C"/>
    <w:rsid w:val="00BA2F28"/>
    <w:rsid w:val="00BA4BED"/>
    <w:rsid w:val="00BA6C66"/>
    <w:rsid w:val="00BC1197"/>
    <w:rsid w:val="00BC514D"/>
    <w:rsid w:val="00C40A1E"/>
    <w:rsid w:val="00C70DD9"/>
    <w:rsid w:val="00C76642"/>
    <w:rsid w:val="00CB65FC"/>
    <w:rsid w:val="00CC1089"/>
    <w:rsid w:val="00CF01A2"/>
    <w:rsid w:val="00CF045B"/>
    <w:rsid w:val="00CF1523"/>
    <w:rsid w:val="00D11682"/>
    <w:rsid w:val="00D1535F"/>
    <w:rsid w:val="00D27504"/>
    <w:rsid w:val="00D55C2E"/>
    <w:rsid w:val="00D66BE9"/>
    <w:rsid w:val="00D7093A"/>
    <w:rsid w:val="00D9290B"/>
    <w:rsid w:val="00DA1CCF"/>
    <w:rsid w:val="00DD1B2B"/>
    <w:rsid w:val="00DE0C76"/>
    <w:rsid w:val="00DE2A6E"/>
    <w:rsid w:val="00E05ADB"/>
    <w:rsid w:val="00E65255"/>
    <w:rsid w:val="00E7713A"/>
    <w:rsid w:val="00E91343"/>
    <w:rsid w:val="00EB7BDB"/>
    <w:rsid w:val="00EE73D7"/>
    <w:rsid w:val="00F506D1"/>
    <w:rsid w:val="00F518F6"/>
    <w:rsid w:val="00F609B5"/>
    <w:rsid w:val="00F84AF2"/>
    <w:rsid w:val="00F9651C"/>
    <w:rsid w:val="00FD00B3"/>
    <w:rsid w:val="00FE3D00"/>
    <w:rsid w:val="00FE4A3F"/>
    <w:rsid w:val="00FF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2A5"/>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2A5"/>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15</cp:revision>
  <dcterms:created xsi:type="dcterms:W3CDTF">2021-10-20T09:08:00Z</dcterms:created>
  <dcterms:modified xsi:type="dcterms:W3CDTF">2021-10-20T09:10:00Z</dcterms:modified>
</cp:coreProperties>
</file>