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text" w:horzAnchor="page" w:tblpX="1043" w:tblpY="24"/>
        <w:tblOverlap w:val="never"/>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81220958"/>
            <w:bookmarkStart w:id="5" w:name="_Toc1944272260"/>
            <w:r>
              <w:rPr>
                <w:rFonts w:hint="eastAsia" w:asciiTheme="minorEastAsia" w:hAnsiTheme="minorEastAsia" w:eastAsiaTheme="minorEastAsia"/>
                <w:color w:val="auto"/>
                <w:sz w:val="21"/>
                <w:szCs w:val="21"/>
                <w:highlight w:val="none"/>
              </w:rPr>
              <w:t>《北京市市容环境卫生条例》案由</w:t>
            </w:r>
            <w:r>
              <w:rPr>
                <w:rFonts w:hint="eastAsia" w:asciiTheme="minorEastAsia" w:hAnsiTheme="minorEastAsia" w:eastAsiaTheme="minorEastAsia"/>
                <w:color w:val="auto"/>
                <w:sz w:val="21"/>
                <w:szCs w:val="21"/>
                <w:highlight w:val="none"/>
                <w:lang w:val="en-US" w:eastAsia="zh-CN"/>
              </w:rPr>
              <w:t>15</w:t>
            </w:r>
            <w:r>
              <w:rPr>
                <w:rFonts w:hint="eastAsia" w:asciiTheme="minorEastAsia" w:hAnsiTheme="minorEastAsia" w:eastAsiaTheme="minorEastAsia"/>
                <w:color w:val="auto"/>
                <w:sz w:val="21"/>
                <w:szCs w:val="21"/>
                <w:highlight w:val="none"/>
              </w:rPr>
              <w:t>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bookmarkStart w:id="65" w:name="_GoBack"/>
            <w:bookmarkEnd w:id="65"/>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 w:name="_Toc110851438"/>
            <w:bookmarkStart w:id="7" w:name="_Toc726075658"/>
            <w:bookmarkStart w:id="8" w:name="_Toc1980421881"/>
            <w:r>
              <w:rPr>
                <w:rFonts w:hint="eastAsia" w:asciiTheme="minorEastAsia" w:hAnsiTheme="minorEastAsia" w:eastAsiaTheme="minorEastAsia"/>
                <w:color w:val="auto"/>
                <w:sz w:val="20"/>
                <w:szCs w:val="20"/>
                <w:highlight w:val="none"/>
              </w:rPr>
              <w:t>《城市生活垃圾管理办法》案由</w:t>
            </w:r>
            <w:r>
              <w:rPr>
                <w:rFonts w:hint="eastAsia" w:asciiTheme="minorEastAsia" w:hAnsiTheme="minorEastAsia" w:eastAsiaTheme="minorEastAsia"/>
                <w:color w:val="auto"/>
                <w:sz w:val="20"/>
                <w:szCs w:val="20"/>
                <w:highlight w:val="none"/>
                <w:lang w:val="en-US" w:eastAsia="zh-CN"/>
              </w:rPr>
              <w:t>3</w:t>
            </w:r>
            <w:r>
              <w:rPr>
                <w:rFonts w:hint="eastAsia" w:asciiTheme="minorEastAsia" w:hAnsiTheme="minorEastAsia" w:eastAsiaTheme="minorEastAsia"/>
                <w:color w:val="auto"/>
                <w:sz w:val="20"/>
                <w:szCs w:val="20"/>
                <w:highlight w:val="none"/>
              </w:rPr>
              <w:t>项</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2</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3</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9" w:name="_Toc110851443"/>
            <w:bookmarkStart w:id="10" w:name="_Toc764526123"/>
            <w:bookmarkStart w:id="11" w:name="_Toc402666320"/>
            <w:r>
              <w:rPr>
                <w:rFonts w:hint="eastAsia" w:asciiTheme="minorEastAsia" w:hAnsiTheme="minorEastAsia" w:eastAsiaTheme="minorEastAsia"/>
                <w:color w:val="auto"/>
                <w:sz w:val="20"/>
                <w:szCs w:val="20"/>
                <w:highlight w:val="none"/>
              </w:rPr>
              <w:t>《北京市户外广告设施、牌匾标识和标语宣传品设置管理条例》案由</w:t>
            </w:r>
            <w:r>
              <w:rPr>
                <w:rFonts w:hint="eastAsia" w:asciiTheme="minorEastAsia" w:hAnsiTheme="minorEastAsia" w:eastAsiaTheme="minorEastAsia"/>
                <w:color w:val="auto"/>
                <w:sz w:val="20"/>
                <w:szCs w:val="20"/>
                <w:highlight w:val="none"/>
                <w:lang w:val="en-US" w:eastAsia="zh-CN"/>
              </w:rPr>
              <w:t>3</w:t>
            </w:r>
            <w:r>
              <w:rPr>
                <w:rFonts w:hint="eastAsia" w:asciiTheme="minorEastAsia" w:hAnsiTheme="minorEastAsia" w:eastAsiaTheme="minorEastAsia"/>
                <w:color w:val="auto"/>
                <w:sz w:val="20"/>
                <w:szCs w:val="20"/>
                <w:highlight w:val="none"/>
              </w:rPr>
              <w:t>项</w:t>
            </w:r>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12" w:name="_Toc110851447"/>
            <w:bookmarkStart w:id="13" w:name="_Toc203612924"/>
            <w:bookmarkStart w:id="14"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hint="eastAsia" w:asciiTheme="minorEastAsia" w:hAnsiTheme="minorEastAsia" w:eastAsiaTheme="minorEastAsia"/>
                <w:color w:val="auto"/>
                <w:sz w:val="21"/>
                <w:szCs w:val="21"/>
                <w:highlight w:val="none"/>
                <w:lang w:val="en-US" w:eastAsia="zh-CN"/>
              </w:rPr>
              <w:t>12</w:t>
            </w:r>
            <w:r>
              <w:rPr>
                <w:rStyle w:val="32"/>
                <w:rFonts w:hint="eastAsia" w:asciiTheme="minorEastAsia" w:hAnsiTheme="minorEastAsia" w:eastAsiaTheme="minorEastAsia"/>
                <w:color w:val="auto"/>
                <w:sz w:val="21"/>
                <w:szCs w:val="21"/>
                <w:highlight w:val="none"/>
              </w:rPr>
              <w:t>项</w:t>
            </w:r>
            <w:bookmarkEnd w:id="12"/>
          </w:p>
          <w:bookmarkEnd w:id="13"/>
          <w:bookmarkEnd w:id="14"/>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15" w:name="_Toc110851454"/>
            <w:bookmarkStart w:id="16" w:name="_Toc54194176"/>
            <w:bookmarkStart w:id="17" w:name="_Toc17037675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15"/>
            <w:bookmarkEnd w:id="16"/>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8" w:name="_Toc110851456"/>
            <w:bookmarkStart w:id="19" w:name="_Toc127354969"/>
            <w:bookmarkStart w:id="20" w:name="_Toc1693504403"/>
            <w:r>
              <w:rPr>
                <w:rFonts w:hint="eastAsia" w:ascii="黑体" w:hAnsi="黑体" w:eastAsia="黑体"/>
                <w:b w:val="0"/>
                <w:color w:val="auto"/>
                <w:sz w:val="36"/>
                <w:szCs w:val="36"/>
                <w:highlight w:val="none"/>
              </w:rPr>
              <w:t>公用事业管理方面</w:t>
            </w:r>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1" w:name="_Toc1349825120"/>
            <w:bookmarkStart w:id="22" w:name="_Toc110851457"/>
            <w:bookmarkStart w:id="23" w:name="_Toc186777701"/>
            <w:r>
              <w:rPr>
                <w:rFonts w:hint="eastAsia" w:asciiTheme="minorEastAsia" w:hAnsiTheme="minorEastAsia" w:eastAsiaTheme="minorEastAsia"/>
                <w:color w:val="auto"/>
                <w:sz w:val="21"/>
                <w:szCs w:val="21"/>
                <w:highlight w:val="none"/>
              </w:rPr>
              <w:t>《城镇燃气管理条例》案由</w:t>
            </w:r>
            <w:r>
              <w:rPr>
                <w:rFonts w:hint="eastAsia" w:asciiTheme="minorEastAsia" w:hAnsiTheme="minorEastAsia" w:eastAsiaTheme="minorEastAsia"/>
                <w:color w:val="auto"/>
                <w:sz w:val="21"/>
                <w:szCs w:val="21"/>
                <w:highlight w:val="none"/>
                <w:lang w:val="en-US" w:eastAsia="zh-CN"/>
              </w:rPr>
              <w:t>24</w:t>
            </w:r>
            <w:r>
              <w:rPr>
                <w:rFonts w:hint="eastAsia" w:asciiTheme="minorEastAsia" w:hAnsiTheme="minorEastAsia" w:eastAsiaTheme="minorEastAsia"/>
                <w:color w:val="auto"/>
                <w:sz w:val="21"/>
                <w:szCs w:val="21"/>
                <w:highlight w:val="none"/>
              </w:rPr>
              <w:t>项</w:t>
            </w:r>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18</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19</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4" w:name="_Toc110851458"/>
            <w:bookmarkStart w:id="25" w:name="_Toc1968530984"/>
            <w:bookmarkStart w:id="26" w:name="_Toc1196070723"/>
            <w:r>
              <w:rPr>
                <w:rFonts w:hint="eastAsia" w:asciiTheme="minorEastAsia" w:hAnsiTheme="minorEastAsia" w:eastAsiaTheme="minorEastAsia"/>
                <w:color w:val="auto"/>
                <w:sz w:val="21"/>
                <w:szCs w:val="21"/>
                <w:highlight w:val="none"/>
              </w:rPr>
              <w:t>《北京市燃气管理条例》案由</w:t>
            </w:r>
            <w:r>
              <w:rPr>
                <w:rFonts w:hint="eastAsia" w:asciiTheme="minorEastAsia" w:hAnsiTheme="minorEastAsia" w:eastAsiaTheme="minorEastAsia"/>
                <w:color w:val="auto"/>
                <w:sz w:val="21"/>
                <w:szCs w:val="21"/>
                <w:highlight w:val="none"/>
                <w:lang w:val="en-US" w:eastAsia="zh-CN"/>
              </w:rPr>
              <w:t>21</w:t>
            </w:r>
            <w:r>
              <w:rPr>
                <w:rFonts w:hint="eastAsia" w:asciiTheme="minorEastAsia" w:hAnsiTheme="minorEastAsia" w:eastAsiaTheme="minorEastAsia"/>
                <w:color w:val="auto"/>
                <w:sz w:val="21"/>
                <w:szCs w:val="21"/>
                <w:highlight w:val="none"/>
              </w:rPr>
              <w:t>项</w:t>
            </w:r>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vMerge w:val="restart"/>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21</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27" w:name="_Toc110851460"/>
            <w:bookmarkStart w:id="28" w:name="_Toc913761828"/>
            <w:bookmarkStart w:id="29" w:name="_Toc1826085962"/>
            <w:r>
              <w:rPr>
                <w:rFonts w:hint="eastAsia" w:asciiTheme="minorEastAsia" w:hAnsiTheme="minorEastAsia" w:eastAsiaTheme="minorEastAsia"/>
                <w:color w:val="auto"/>
                <w:sz w:val="21"/>
                <w:szCs w:val="21"/>
                <w:highlight w:val="none"/>
              </w:rPr>
              <w:t>《北京市清洁燃料车辆加气站管理规定》案由7项</w:t>
            </w:r>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30" w:name="_Toc1473999580"/>
            <w:bookmarkStart w:id="31" w:name="_Toc110851461"/>
            <w:bookmarkStart w:id="32" w:name="_Toc169990842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w:t>
            </w:r>
            <w:r>
              <w:rPr>
                <w:rFonts w:hint="eastAsia" w:asciiTheme="minorEastAsia" w:hAnsiTheme="minorEastAsia" w:eastAsia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rPr>
              <w:t>项</w:t>
            </w:r>
            <w:bookmarkEnd w:id="30"/>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33" w:name="_Toc984069521"/>
            <w:bookmarkStart w:id="34" w:name="_Toc110851462"/>
            <w:bookmarkStart w:id="35" w:name="_Toc273540101"/>
            <w:r>
              <w:rPr>
                <w:rFonts w:hint="eastAsia" w:asciiTheme="minorEastAsia" w:hAnsiTheme="minorEastAsia" w:eastAsiaTheme="minorEastAsia"/>
                <w:color w:val="auto"/>
                <w:sz w:val="21"/>
                <w:szCs w:val="21"/>
                <w:highlight w:val="none"/>
              </w:rPr>
              <w:t>《北京市民用建筑节能管理办法》案由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33"/>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trPr>
        <w:tc>
          <w:tcPr>
            <w:tcW w:w="940" w:type="dxa"/>
            <w:shd w:val="clear" w:color="auto" w:fill="auto"/>
            <w:vAlign w:val="center"/>
          </w:tcPr>
          <w:p>
            <w:pPr>
              <w:spacing w:line="232" w:lineRule="exact"/>
              <w:ind w:left="6" w:hanging="21"/>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36" w:name="_Toc636329439"/>
            <w:bookmarkStart w:id="37" w:name="_Toc1463731904"/>
            <w:bookmarkStart w:id="38" w:name="_Toc110851463"/>
            <w:bookmarkStart w:id="3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36"/>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40"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38"/>
            <w:bookmarkEnd w:id="39"/>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41" w:name="_Toc110851464"/>
            <w:bookmarkStart w:id="42" w:name="_Toc1075063771"/>
            <w:bookmarkStart w:id="43"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41"/>
            <w:bookmarkEnd w:id="4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44" w:name="_Toc110851465"/>
            <w:bookmarkStart w:id="45" w:name="_Toc1296670137"/>
            <w:bookmarkStart w:id="46" w:name="_Toc780858134"/>
            <w:r>
              <w:rPr>
                <w:rFonts w:hint="eastAsia" w:asciiTheme="minorEastAsia" w:hAnsiTheme="minorEastAsia" w:eastAsiaTheme="minorEastAsia"/>
                <w:color w:val="auto"/>
                <w:sz w:val="21"/>
                <w:szCs w:val="21"/>
                <w:highlight w:val="none"/>
              </w:rPr>
              <w:t>《北京市单用途预付卡管理条例》案由7项</w:t>
            </w:r>
            <w:bookmarkEnd w:id="44"/>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47" w:name="_Toc1495699393"/>
            <w:bookmarkStart w:id="48" w:name="_Toc234456741"/>
            <w:bookmarkStart w:id="49" w:name="_Toc110851466"/>
            <w:r>
              <w:rPr>
                <w:rFonts w:hint="eastAsia" w:ascii="黑体" w:hAnsi="黑体" w:eastAsia="黑体"/>
                <w:b w:val="0"/>
                <w:color w:val="auto"/>
                <w:sz w:val="36"/>
                <w:szCs w:val="36"/>
                <w:highlight w:val="none"/>
              </w:rPr>
              <w:t>园林绿化管理方面</w:t>
            </w:r>
            <w:bookmarkEnd w:id="47"/>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50" w:name="_Toc110851470"/>
            <w:bookmarkStart w:id="51" w:name="_Toc465734653"/>
            <w:bookmarkStart w:id="52"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50"/>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53" w:name="_Toc110851491"/>
            <w:bookmarkStart w:id="54" w:name="_Toc359183204"/>
            <w:bookmarkStart w:id="55" w:name="_Toc41635676"/>
            <w:r>
              <w:rPr>
                <w:rFonts w:hint="eastAsia" w:ascii="黑体" w:hAnsi="黑体" w:eastAsia="黑体"/>
                <w:b w:val="0"/>
                <w:color w:val="auto"/>
                <w:sz w:val="36"/>
                <w:szCs w:val="36"/>
                <w:highlight w:val="none"/>
              </w:rPr>
              <w:t>能源运行管理方面</w:t>
            </w:r>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56" w:name="_Toc110851492"/>
            <w:bookmarkStart w:id="57" w:name="_Toc1482088652"/>
            <w:bookmarkStart w:id="58" w:name="_Toc1607150865"/>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56"/>
            <w:bookmarkEnd w:id="57"/>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59" w:name="_Toc1932982768"/>
            <w:bookmarkStart w:id="60" w:name="_Toc110851493"/>
            <w:bookmarkStart w:id="61" w:name="_Toc153144911"/>
            <w:r>
              <w:rPr>
                <w:rFonts w:hint="eastAsia" w:asciiTheme="minorEastAsia" w:hAnsiTheme="minorEastAsia" w:eastAsiaTheme="minorEastAsia"/>
                <w:color w:val="auto"/>
                <w:sz w:val="21"/>
                <w:szCs w:val="21"/>
                <w:highlight w:val="none"/>
              </w:rPr>
              <w:t>《中华人民共和国可再生能源法》案由2项</w:t>
            </w:r>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62" w:name="_Toc2142516953"/>
            <w:bookmarkStart w:id="63" w:name="_Toc110851494"/>
            <w:bookmarkStart w:id="64"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bl>
    <w:p>
      <w:pPr>
        <w:pStyle w:val="2"/>
        <w:ind w:left="0" w:leftChars="0" w:firstLine="0" w:firstLineChars="0"/>
        <w:rPr>
          <w:rFonts w:hint="eastAsia"/>
          <w:color w:val="auto"/>
          <w:highlight w:val="none"/>
        </w:rPr>
      </w:pPr>
    </w:p>
    <w:p/>
    <w:p>
      <w:pPr>
        <w:pStyle w:val="10"/>
      </w:pPr>
    </w:p>
    <w:p>
      <w:pPr>
        <w:pStyle w:val="2"/>
        <w:rPr>
          <w:color w:val="auto"/>
          <w:highlight w:val="none"/>
        </w:rPr>
      </w:pPr>
    </w:p>
    <w:sectPr>
      <w:footerReference r:id="rId3"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3B2549"/>
    <w:rsid w:val="40A34EF9"/>
    <w:rsid w:val="41094798"/>
    <w:rsid w:val="42B2E90B"/>
    <w:rsid w:val="43EFAB43"/>
    <w:rsid w:val="43FE609C"/>
    <w:rsid w:val="44DC6497"/>
    <w:rsid w:val="44DE5A4E"/>
    <w:rsid w:val="454D2DE0"/>
    <w:rsid w:val="45C640A3"/>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0</TotalTime>
  <ScaleCrop>false</ScaleCrop>
  <LinksUpToDate>false</LinksUpToDate>
  <CharactersWithSpaces>134862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尹波</cp:lastModifiedBy>
  <cp:lastPrinted>2023-11-28T20:59:00Z</cp:lastPrinted>
  <dcterms:modified xsi:type="dcterms:W3CDTF">2024-04-22T02:37:23Z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21CB7F7E36F44B2887F6D29F03788F44</vt:lpwstr>
  </property>
</Properties>
</file>