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</w:rPr>
        <w:t>202</w:t>
      </w:r>
      <w:r>
        <w:rPr>
          <w:rFonts w:hint="eastAsia" w:ascii="新宋体" w:hAnsi="新宋体" w:eastAsia="新宋体" w:cs="新宋体"/>
          <w:b/>
          <w:bCs/>
          <w:sz w:val="48"/>
          <w:szCs w:val="48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sz w:val="48"/>
          <w:szCs w:val="48"/>
        </w:rPr>
        <w:t>年执法检查计划</w:t>
      </w:r>
    </w:p>
    <w:tbl>
      <w:tblPr>
        <w:tblStyle w:val="4"/>
        <w:tblpPr w:leftFromText="180" w:rightFromText="180" w:vertAnchor="text" w:horzAnchor="page" w:tblpX="1468" w:tblpY="904"/>
        <w:tblOverlap w:val="never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646"/>
        <w:gridCol w:w="2504"/>
        <w:gridCol w:w="2235"/>
        <w:gridCol w:w="267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检查项目</w:t>
            </w:r>
            <w:bookmarkStart w:id="0" w:name="_GoBack"/>
            <w:bookmarkEnd w:id="0"/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管理对象基数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检查比例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北京市东城区永定门外街道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.占道经营集中整治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.燃气安全专项执法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.生活垃圾专项执法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.环境污染防治专项执法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.施工噪声扰民专项执法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.非法小广告专项执法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.非法运营专项整治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.市容环境卫生责任制专项执法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.视觉环境专项执法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.园林绿化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.能源运行专项执法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1.接举报投诉后检查；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2.主动巡查；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3.定期随机抽查；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4.根据季节、气候、重大活动保障等，开展不特定专项执法检查；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5.联合检查；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6.其它方式。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.生活垃圾执法对象基数：28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.燃气安全执法对象基数：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.施工工地管理对象基数：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对全辖区管理对象开展全覆盖式执法检查；对特定被检查对象较多、无法做到检查全覆盖的，采取随机抽查措施。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7F9C"/>
    <w:rsid w:val="15D92FDA"/>
    <w:rsid w:val="5F263286"/>
    <w:rsid w:val="70BC0F0E"/>
    <w:rsid w:val="798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2022-04-02T02:20:00Z</dcterms:created>
  <dc:creator>1</dc:creator>
  <cp:lastModifiedBy>sfs-1</cp:lastModifiedBy>
  <dcterms:modified xsi:type="dcterms:W3CDTF">2023-10-17T07:01:36Z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