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75" w:lineRule="atLeast"/>
        <w:jc w:val="center"/>
        <w:rPr>
          <w:color w:val="282828"/>
          <w:sz w:val="32"/>
          <w:szCs w:val="32"/>
        </w:rPr>
      </w:pPr>
      <w:r>
        <w:rPr>
          <w:rFonts w:hint="eastAsia"/>
          <w:color w:val="282828"/>
          <w:sz w:val="32"/>
          <w:szCs w:val="32"/>
        </w:rPr>
        <w:t>北京市东城区人民政府</w:t>
      </w:r>
      <w:r>
        <w:rPr>
          <w:rFonts w:hint="eastAsia"/>
          <w:color w:val="282828"/>
          <w:sz w:val="32"/>
          <w:szCs w:val="32"/>
          <w:lang w:eastAsia="zh-CN"/>
        </w:rPr>
        <w:t>天坛</w:t>
      </w:r>
      <w:r>
        <w:rPr>
          <w:rFonts w:hint="eastAsia"/>
          <w:color w:val="282828"/>
          <w:sz w:val="32"/>
          <w:szCs w:val="32"/>
        </w:rPr>
        <w:t>街道办事处责任清单</w:t>
      </w:r>
    </w:p>
    <w:p>
      <w:pPr>
        <w:pStyle w:val="4"/>
        <w:widowControl/>
        <w:spacing w:beforeAutospacing="0" w:afterAutospacing="0" w:line="375" w:lineRule="atLeast"/>
        <w:jc w:val="center"/>
        <w:rPr>
          <w:color w:val="282828"/>
          <w:sz w:val="32"/>
          <w:szCs w:val="32"/>
        </w:rPr>
      </w:pPr>
      <w:r>
        <w:rPr>
          <w:rFonts w:hint="eastAsia"/>
          <w:color w:val="282828"/>
          <w:sz w:val="32"/>
          <w:szCs w:val="32"/>
        </w:rPr>
        <w:t>第一部分、通用责任清单</w:t>
      </w:r>
    </w:p>
    <w:tbl>
      <w:tblPr>
        <w:tblStyle w:val="7"/>
        <w:tblW w:w="9381"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0"/>
        <w:gridCol w:w="24"/>
        <w:gridCol w:w="1341"/>
        <w:gridCol w:w="45"/>
        <w:gridCol w:w="77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rPr>
              <w:t>一</w:t>
            </w:r>
            <w:r>
              <w:rPr>
                <w:b/>
                <w:color w:val="282828"/>
              </w:rPr>
              <w:t>、行政处罚类行政职权运行通用责任清单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both"/>
              <w:rPr>
                <w:color w:val="282828"/>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（一）立案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对符合立案条件的案件及时立案。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（二）调查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出示执法身份证件，表明执法身份。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应当有2名以上（含2名）行政执法人员共同参加调查取证。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依法调查和保存证据。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适用简易程序的，当场制作行政处罚决定书并当场交付，在事后难以执行及特殊情况下应当当场收缴罚款。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适用简易程序的，执法人员当场作出的行政处罚决定应当报所属行政机关备案。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（三）审查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构成犯罪的，移送司法机关依法追究刑事责任。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（四）告知</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在作出行政处罚前，应告知当事人作出行政处罚决定的事实、理由及依据，并告知当事人依法享有的权利。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10</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依法告知当事人有举行听证的权利，当事人要求听证的，应当依法组织听证。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（五）决定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充分听取当事人的意见，对当事人提出的事实、理由和证据，应当进行复核；当事人提出的事实、理由或者证据成立的，应当采纳，不得因当事人申辩而加重处罚。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对情节复杂或者重大违法行为给予较重的行政处罚，应当集体讨论决定。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依法决定给予行政处罚，制作行政处罚决定书，并在处罚决定书中告知对处罚决定不服的可以依法申请行政复议或者提起行政诉讼。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14</w:t>
            </w:r>
          </w:p>
        </w:tc>
        <w:tc>
          <w:tcPr>
            <w:tcW w:w="1365" w:type="dxa"/>
            <w:gridSpan w:val="2"/>
            <w:vMerge w:val="restart"/>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对当事人的同一个违法行为，不得给予两次以上罚款的行政处罚。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实施行政处罚时，应当责令当事人改正或者限期改正违法行为。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16</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（六）送达</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行政处罚决定书应当在宣告后当场交付当事人；当事人不在场的，行政机关应当在7日内依照民事诉讼法的有关规定，将行政处罚决定书送达当事人。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17</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（七）执行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使用法定部门制发的罚款、没收财物单据进行罚款、没收财物等处罚。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对当事人的同一个违法行为，不得给予两次以上罚款的行政处罚。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19</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实施行政处罚时，应当责令当事人改正或者限期改正违法行为。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lang w:eastAsia="zh-CN"/>
              </w:rPr>
              <w:t>二</w:t>
            </w:r>
            <w:r>
              <w:rPr>
                <w:b/>
                <w:color w:val="282828"/>
              </w:rPr>
              <w:t>、行政强制类（行政强制措施）行政职权运行</w:t>
            </w:r>
            <w:r>
              <w:rPr>
                <w:b/>
                <w:color w:val="282828"/>
              </w:rPr>
              <w:br w:type="textWrapping"/>
            </w:r>
            <w:r>
              <w:rPr>
                <w:b/>
                <w:color w:val="282828"/>
              </w:rPr>
              <w:t>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实施前应当先报告，经批准后作出实施行政强制措施的决定。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批准实施行政强制措施应当符合法定条件。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由2名以上具备资格的行政执法人员实施，其他人员不得实施。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行政执法人员应当现场出示执法身份证件。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实施行政强制措施时应当通知当事人到场，并告知当事人采取行政强制措施的理由、依据以及当事人依法享有的权利、救济途径。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充分听取当事人的意见，对当事人提出的事实、理由和证据，应当进行复核，当事人提出的事实、理由或者证据成立的，应当采纳。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实施限制公民人身自由的行政强制措施，应当场告知或者实施行政强制措施后立即通知当事人家属实施行政强制措施的行政机关、地点和期限。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对依法应当没收或法律、行政法规规定应当销毁的，应当依法予以没收或销毁。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10</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left="210" w:hanging="210" w:hangingChars="100"/>
              <w:rPr>
                <w:sz w:val="21"/>
                <w:szCs w:val="21"/>
              </w:rPr>
            </w:pPr>
            <w:r>
              <w:rPr>
                <w:color w:val="282828"/>
                <w:sz w:val="21"/>
                <w:szCs w:val="21"/>
              </w:rPr>
              <w:t>    情况紧急，需要当场实施行政强制措施的，行政执法人员应当在24小时内向行政机关负责人报告，并补办批准手续。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（三）解除</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对符合解除行政强制措施条件的，应当依法解除行政强制措施。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对构成犯罪的，依法、及时移送司法机关。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13</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rStyle w:val="6"/>
                <w:rFonts w:hint="eastAsia"/>
                <w:color w:val="282828"/>
                <w:sz w:val="21"/>
                <w:szCs w:val="21"/>
              </w:rPr>
            </w:pPr>
            <w:r>
              <w:rPr>
                <w:rStyle w:val="6"/>
                <w:color w:val="282828"/>
                <w:sz w:val="21"/>
                <w:szCs w:val="21"/>
              </w:rPr>
              <w:t>（四）事后</w:t>
            </w:r>
          </w:p>
          <w:p>
            <w:pPr>
              <w:pStyle w:val="4"/>
              <w:widowControl/>
              <w:spacing w:beforeAutospacing="0" w:afterAutospacing="0" w:line="375" w:lineRule="atLeast"/>
              <w:jc w:val="center"/>
              <w:rPr>
                <w:sz w:val="21"/>
                <w:szCs w:val="21"/>
              </w:rPr>
            </w:pPr>
            <w:r>
              <w:rPr>
                <w:rStyle w:val="6"/>
                <w:rFonts w:hint="eastAsia"/>
                <w:color w:val="282828"/>
                <w:sz w:val="21"/>
                <w:szCs w:val="21"/>
              </w:rPr>
              <w:t xml:space="preserve">      </w:t>
            </w:r>
            <w:r>
              <w:rPr>
                <w:rStyle w:val="6"/>
                <w:color w:val="282828"/>
                <w:sz w:val="21"/>
                <w:szCs w:val="21"/>
              </w:rPr>
              <w:t>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建立健全事后监管制度，依法履行监督责任。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lang w:eastAsia="zh-CN"/>
              </w:rPr>
              <w:t>三</w:t>
            </w:r>
            <w:r>
              <w:rPr>
                <w:b/>
                <w:color w:val="282828"/>
              </w:rPr>
              <w:t>、行政强制类（行政强制执行）行政职权运行</w:t>
            </w:r>
            <w:r>
              <w:rPr>
                <w:b/>
                <w:color w:val="282828"/>
              </w:rPr>
              <w:br w:type="textWrapping"/>
            </w:r>
            <w:r>
              <w:rPr>
                <w:b/>
                <w:color w:val="282828"/>
              </w:rPr>
              <w:t>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（一）催告</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行政机关作出强制执行决定前，应当事先书面催告当事人履行义务。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催告书应当直接送达当事人。当事人拒绝接收或者无法直接送达当事人的，依照民事诉讼法的有关规定送达。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催告期间，对有证据证明有转移或者隐匿财物迹象的，可以作出立即强制执行决定。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4</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（二）决定</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充分听取当事人的意见，对当事人提出的事实、理由和证据，应当进行记录、复核。当事人提出的事实、理由或者证据成立的，应当采纳。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5</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经催告，当事人逾期仍不履行行政决定，且无正当理由的，应当作出书面强制执行决定。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6</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行政强制执行决定书催告书应当直接送达当事人。当事人拒绝接收或者无法直接送达当事人的，依照民事诉讼法的有关规定送达。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7</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（三）执行</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依法实施行政强制执行。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8</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不得在夜间或者法定节假日实施行政强制执行，情况紧急的除外；不得对居民生活采取停止供水、供电、供热、供燃气等方式迫使当事人履行相关行政决定。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9</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对违法的建筑物、构筑物、设施等需要强制拆除的，应当予以公告，限期当事人自行拆除。当事人在法定期限内不申请行政复议或者提起行政诉讼，又不拆除的，可依法强制拆除。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10</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划拨的存款、汇款以及拍卖和依法处理所得的款项应当上缴国库或者划入财政专户，不得以任何形式截留、私分或者变相私分。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11</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（四）事后监管</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ind w:firstLine="240"/>
              <w:rPr>
                <w:rFonts w:hint="eastAsia"/>
                <w:color w:val="282828"/>
                <w:sz w:val="21"/>
                <w:szCs w:val="21"/>
              </w:rPr>
            </w:pPr>
            <w:r>
              <w:rPr>
                <w:color w:val="282828"/>
                <w:sz w:val="21"/>
                <w:szCs w:val="21"/>
              </w:rPr>
              <w:t>建立健全事后监管制度，依法履行监督责任。</w:t>
            </w:r>
          </w:p>
          <w:p>
            <w:pPr>
              <w:pStyle w:val="4"/>
              <w:widowControl/>
              <w:spacing w:beforeAutospacing="0" w:afterAutospacing="0" w:line="375" w:lineRule="atLeast"/>
              <w:ind w:firstLine="240"/>
              <w:rPr>
                <w:rFonts w:hint="eastAsia"/>
                <w:color w:val="282828"/>
                <w:sz w:val="21"/>
                <w:szCs w:val="21"/>
              </w:rPr>
            </w:pPr>
          </w:p>
          <w:p>
            <w:pPr>
              <w:pStyle w:val="4"/>
              <w:widowControl/>
              <w:spacing w:beforeAutospacing="0" w:afterAutospacing="0" w:line="375" w:lineRule="atLeast"/>
              <w:ind w:firstLine="240"/>
              <w:rPr>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9381" w:type="dxa"/>
            <w:gridSpan w:val="5"/>
            <w:tcBorders>
              <w:top w:val="nil"/>
              <w:left w:val="nil"/>
              <w:bottom w:val="nil"/>
              <w:right w:val="nil"/>
            </w:tcBorders>
            <w:shd w:val="clear" w:color="auto" w:fill="auto"/>
            <w:vAlign w:val="center"/>
          </w:tcPr>
          <w:p>
            <w:pPr>
              <w:pStyle w:val="4"/>
              <w:widowControl/>
              <w:spacing w:beforeAutospacing="0" w:afterAutospacing="0" w:line="375" w:lineRule="atLeast"/>
              <w:jc w:val="center"/>
              <w:rPr>
                <w:b/>
              </w:rPr>
            </w:pPr>
            <w:r>
              <w:rPr>
                <w:rFonts w:hint="eastAsia"/>
                <w:b/>
                <w:color w:val="282828"/>
                <w:lang w:eastAsia="zh-CN"/>
              </w:rPr>
              <w:t>四</w:t>
            </w:r>
            <w:r>
              <w:rPr>
                <w:b/>
                <w:color w:val="282828"/>
              </w:rPr>
              <w:t>、行政检查类行政职权运行通用责任清单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序号</w:t>
            </w:r>
          </w:p>
        </w:tc>
        <w:tc>
          <w:tcPr>
            <w:tcW w:w="1365"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运行环节</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color w:val="282828"/>
                <w:sz w:val="21"/>
                <w:szCs w:val="21"/>
              </w:rPr>
              <w:t>责任事项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1</w:t>
            </w:r>
          </w:p>
        </w:tc>
        <w:tc>
          <w:tcPr>
            <w:tcW w:w="1365"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（一）制定方案</w:t>
            </w: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实施检查前应当依法制定含有正当理由、事项和内容的检查方案。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2</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同一行政机关的多个内设机构和下属机构对同一当事人不同事项的行政检查，能够合并检查的应当合并检查。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240" w:type="dxa"/>
            <w:tcBorders>
              <w:top w:val="nil"/>
              <w:left w:val="nil"/>
              <w:bottom w:val="nil"/>
              <w:right w:val="nil"/>
            </w:tcBorders>
            <w:shd w:val="clear" w:color="auto" w:fill="auto"/>
            <w:vAlign w:val="center"/>
          </w:tcPr>
          <w:p>
            <w:pPr>
              <w:pStyle w:val="4"/>
              <w:widowControl/>
              <w:spacing w:beforeAutospacing="0" w:afterAutospacing="0" w:line="375" w:lineRule="atLeast"/>
              <w:jc w:val="center"/>
            </w:pPr>
            <w:r>
              <w:rPr>
                <w:color w:val="282828"/>
                <w:sz w:val="18"/>
                <w:szCs w:val="18"/>
              </w:rPr>
              <w:t>3</w:t>
            </w:r>
          </w:p>
        </w:tc>
        <w:tc>
          <w:tcPr>
            <w:tcW w:w="1365"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76" w:type="dxa"/>
            <w:gridSpan w:val="2"/>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上下级行政机关</w:t>
            </w:r>
            <w:bookmarkStart w:id="0" w:name="_GoBack"/>
            <w:bookmarkEnd w:id="0"/>
            <w:r>
              <w:rPr>
                <w:color w:val="282828"/>
                <w:sz w:val="21"/>
                <w:szCs w:val="21"/>
              </w:rPr>
              <w:t>应当按照级别管辖和地域管辖相结合的原则合理划分检查范围，避免重复检查。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restart"/>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（二）实施检查</w:t>
            </w: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依照检查方案规定的时限、范围开展检查。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实施检查时应当出示执法身份证件、检查方案。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依法查阅资料、查看现场、听取当事人陈述申辩并取证。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实施检查应当不影响当事人的正常生产经营活动与生活。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依法告知当事人检查中发现的违法行为及处理意见，对不服处理意见的，可以依法申请行政复议或提起行政诉讼。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对检查中发现的违法行为应当予以制止和纠正。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rHeight w:val="345" w:hRule="atLeast"/>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实施行政检查中不得乱收费、乱罚款、乱摊派，严禁吃、拿、卡、要。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vMerge w:val="continue"/>
            <w:tcBorders>
              <w:top w:val="nil"/>
              <w:left w:val="nil"/>
              <w:bottom w:val="nil"/>
              <w:right w:val="nil"/>
            </w:tcBorders>
            <w:shd w:val="clear" w:color="auto" w:fill="auto"/>
            <w:vAlign w:val="center"/>
          </w:tcPr>
          <w:p>
            <w:pPr>
              <w:rPr>
                <w:rFonts w:ascii="宋体"/>
                <w:color w:val="282828"/>
                <w:szCs w:val="21"/>
              </w:rPr>
            </w:pP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不得放弃、推诿、拖延、拒绝履行检查职责。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2"/>
          <w:wBefore w:w="264" w:type="dxa"/>
          <w:tblCellSpacing w:w="0" w:type="dxa"/>
          <w:jc w:val="center"/>
        </w:trPr>
        <w:tc>
          <w:tcPr>
            <w:tcW w:w="1386" w:type="dxa"/>
            <w:gridSpan w:val="2"/>
            <w:tcBorders>
              <w:top w:val="nil"/>
              <w:left w:val="nil"/>
              <w:bottom w:val="nil"/>
              <w:right w:val="nil"/>
            </w:tcBorders>
            <w:shd w:val="clear" w:color="auto" w:fill="auto"/>
            <w:vAlign w:val="center"/>
          </w:tcPr>
          <w:p>
            <w:pPr>
              <w:pStyle w:val="4"/>
              <w:widowControl/>
              <w:spacing w:beforeAutospacing="0" w:afterAutospacing="0" w:line="375" w:lineRule="atLeast"/>
              <w:jc w:val="center"/>
              <w:rPr>
                <w:sz w:val="21"/>
                <w:szCs w:val="21"/>
              </w:rPr>
            </w:pPr>
            <w:r>
              <w:rPr>
                <w:rStyle w:val="6"/>
                <w:color w:val="282828"/>
                <w:sz w:val="21"/>
                <w:szCs w:val="21"/>
              </w:rPr>
              <w:t>（三）事后监管</w:t>
            </w:r>
          </w:p>
        </w:tc>
        <w:tc>
          <w:tcPr>
            <w:tcW w:w="7731" w:type="dxa"/>
            <w:tcBorders>
              <w:top w:val="nil"/>
              <w:left w:val="nil"/>
              <w:bottom w:val="nil"/>
              <w:right w:val="nil"/>
            </w:tcBorders>
            <w:shd w:val="clear" w:color="auto" w:fill="auto"/>
            <w:vAlign w:val="center"/>
          </w:tcPr>
          <w:p>
            <w:pPr>
              <w:pStyle w:val="4"/>
              <w:widowControl/>
              <w:spacing w:beforeAutospacing="0" w:afterAutospacing="0" w:line="375" w:lineRule="atLeast"/>
              <w:rPr>
                <w:sz w:val="21"/>
                <w:szCs w:val="21"/>
              </w:rPr>
            </w:pPr>
            <w:r>
              <w:rPr>
                <w:color w:val="282828"/>
                <w:sz w:val="21"/>
                <w:szCs w:val="21"/>
              </w:rPr>
              <w:t>    对检查情况进行汇总、分类、归档备查，并跟踪监测。</w:t>
            </w:r>
          </w:p>
        </w:tc>
      </w:tr>
    </w:tbl>
    <w:p>
      <w:pPr>
        <w:jc w:val="center"/>
        <w:rPr>
          <w:color w:val="282828"/>
          <w:kern w:val="0"/>
          <w:sz w:val="32"/>
          <w:szCs w:val="32"/>
        </w:rPr>
      </w:pPr>
    </w:p>
    <w:p>
      <w:pPr>
        <w:rPr>
          <w:rFonts w:asciiTheme="minorEastAsia" w:hAnsiTheme="minorEastAsia"/>
          <w:color w:val="282828"/>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67A1A"/>
    <w:rsid w:val="004E166D"/>
    <w:rsid w:val="00825502"/>
    <w:rsid w:val="00825F38"/>
    <w:rsid w:val="00967A1A"/>
    <w:rsid w:val="00A10F0E"/>
    <w:rsid w:val="022E75CC"/>
    <w:rsid w:val="158D0640"/>
    <w:rsid w:val="1E34721E"/>
    <w:rsid w:val="21F7021B"/>
    <w:rsid w:val="23A478AB"/>
    <w:rsid w:val="2F5A0440"/>
    <w:rsid w:val="33212B74"/>
    <w:rsid w:val="3DA52918"/>
    <w:rsid w:val="483A4729"/>
    <w:rsid w:val="4DB27911"/>
    <w:rsid w:val="78B82223"/>
    <w:rsid w:val="7A6F3C7E"/>
    <w:rsid w:val="7C837F11"/>
    <w:rsid w:val="7DE37161"/>
    <w:rsid w:val="7E534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901</Words>
  <Characters>5141</Characters>
  <Lines>42</Lines>
  <Paragraphs>12</Paragraphs>
  <ScaleCrop>false</ScaleCrop>
  <LinksUpToDate>false</LinksUpToDate>
  <CharactersWithSpaces>6030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2021-08-26T02:12:00Z</dcterms:created>
  <dc:creator>chengguan</dc:creator>
  <cp:lastModifiedBy>lenovo</cp:lastModifiedBy>
  <dcterms:modified xsi:type="dcterms:W3CDTF">2021-09-10T07:02:33Z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9BE5B12872B744C8AE36FA8F89077B4C</vt:lpwstr>
  </property>
</Properties>
</file>