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北京锦泰宏图建筑工程有限公司</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91110106MAD6T5948T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val="en-US" w:eastAsia="zh-CN"/>
              </w:rPr>
              <w:t>王XX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031</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2"/>
                <w:szCs w:val="16"/>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jc w:val="left"/>
              <w:textAlignment w:val="auto"/>
              <w:outlineLvl w:val="9"/>
              <w:rPr>
                <w:rFonts w:ascii="仿宋" w:hAnsi="仿宋" w:eastAsia="仿宋"/>
                <w:sz w:val="28"/>
                <w:szCs w:val="28"/>
              </w:rPr>
            </w:pPr>
            <w:r>
              <w:rPr>
                <w:rFonts w:hint="eastAsia" w:ascii="仿宋" w:hAnsi="仿宋" w:eastAsia="仿宋"/>
                <w:sz w:val="21"/>
                <w:szCs w:val="21"/>
              </w:rPr>
              <w:t>经查，2025年7月10日13时30分，北京市东城区人民政府前门街道办事处综合执法人员接大气污染综合治理和应对气候变化工作小组移送，在北京市东城区西兴隆街和施兴胡同交叉口施工现场，有施工现场裸土苫盖不严的行为。我执法人员于2025年7月10日14时30分在北京市东城区西兴隆街和施兴胡同交叉口现场检查时，现场已经不存在上述行为。经调查，当事人在北京市东城区西兴隆街和施兴胡同交叉口施工现场，有未苫盖工程渣土的行为，未苫盖工程渣土南北长4米，东西宽2米，面积8平方米，且现场未造成扬尘，属于施工单位未采用密闭式防尘网遮盖工程渣土行为。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15</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3F860A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581F2A"/>
    <w:rsid w:val="0CDC787A"/>
    <w:rsid w:val="0D1407FC"/>
    <w:rsid w:val="0D2B64A6"/>
    <w:rsid w:val="0E9A18DE"/>
    <w:rsid w:val="0EDD2C73"/>
    <w:rsid w:val="0FCF32CC"/>
    <w:rsid w:val="10135891"/>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36B42F8"/>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8C9050E"/>
    <w:rsid w:val="79E451F8"/>
    <w:rsid w:val="7B3F7CBA"/>
    <w:rsid w:val="7B78565B"/>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2025-07-17T02:03:20Z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