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28"/>
                <w:szCs w:val="28"/>
              </w:rPr>
              <w:t xml:space="preserve">北京邻家柴米油盐餐饮有限公司第一分公司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91110101MA01ENKK8B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王</w:t>
            </w:r>
            <w:r>
              <w:rPr>
                <w:rFonts w:hint="eastAsia" w:ascii="仿宋" w:hAnsi="仿宋" w:eastAsia="仿宋"/>
                <w:position w:val="4"/>
                <w:sz w:val="28"/>
                <w:szCs w:val="28"/>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006</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2"/>
                <w:szCs w:val="24"/>
                <w:lang w:val="en-US"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2025年3月31日10时36分，北京市东城区人民政府前门街道办事处执法人员在日常检查中发现，当事人在北京市东城区前门大街21号、23号、25号一层门前（营业执照核准的住所外），以一个手推车为经营工具售卖糖葫芦，属于店外经营行为，现场已责令当事人当场改正违法行为，当事人无违法所得。当事人在一年内未曾因同类上述行为而接受过综合执法机关的行政处罚或书面告诫。上述事实有现场检查笔录、询问笔录、现场照片等证据佐证。</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3A911EA"/>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4BB7656"/>
    <w:rsid w:val="459B564C"/>
    <w:rsid w:val="46AE1C56"/>
    <w:rsid w:val="47AF40A4"/>
    <w:rsid w:val="47E84429"/>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2025-04-02T07:44:51Z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