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北京鑫惠嘉业建筑劳务分包有限责任公司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91110109MA00HDR74U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王雷超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05</w:t>
            </w:r>
            <w:bookmarkStart w:id="0" w:name="_GoBack"/>
            <w:bookmarkEnd w:id="0"/>
            <w:r>
              <w:rPr>
                <w:rFonts w:hint="eastAsia" w:ascii="仿宋" w:hAnsi="仿宋" w:eastAsia="仿宋"/>
                <w:sz w:val="28"/>
                <w:szCs w:val="28"/>
                <w:lang w:val="en-US" w:eastAsia="zh-CN"/>
              </w:rPr>
              <w:t>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《北京市建设工程施工现场管理办法》第三十六条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2024年6月21日15时15分，北京市东城区人民政府前门街道办事处综合执法人员接北京市东城区住房和城市建设委员会移送，北京鑫惠嘉业建筑劳务分包有限责任公司在北京市东城区西兴隆街施工现场，有施工单位未采用密闭式防尘网遮盖工程渣土的行为，未苫盖工程渣土东西长4米，南北宽2米，面积8平方米，且现场未造成扬尘。被执法人员当场查获。现场已责令北京鑫惠嘉业建筑劳务分包有限责任公司停止上述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7890614"/>
    <w:rsid w:val="57CE31AA"/>
    <w:rsid w:val="59B77249"/>
    <w:rsid w:val="59EF4338"/>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2024-06-27T01:24:53Z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