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北京尚诺鼎典建筑工程有限公司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91110119MABX6T9D28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闫强磊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045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0"/>
                <w:szCs w:val="24"/>
              </w:rPr>
              <w:t>《北京市建设工程施工现场管理办法》第三十六条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5月15日10时05分，北京市东城区人民政府前门街道办事处综合行政执法队队员在检查中发现，当事人在北京市东城区草厂三条12号对面施工现场施工现场，有可能产生扬尘污染的建筑材料（工程渣土）未严密遮盖的行为，未苫盖工程渣土东西长4.5米，南北宽2米，面积9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57A6070"/>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2024-05-17T08:32:51Z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