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北京鑫源恒达搬家运输有限公司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91110116MA01YU6629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李银生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《北京市建筑垃圾处置管理规定》第四十条第二款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经查，2024年5月8日17时20分，北京市东城区人民政府前门街道办事处的综合执法人员接东城区城市管理委员会移送，北京地铁8号线三期工程土建施工03合同段道路恢复改造工程，4月4日</w:t>
            </w:r>
            <w:r>
              <w:rPr>
                <w:rFonts w:hint="eastAsia" w:ascii="仿宋" w:hAnsi="仿宋" w:eastAsia="仿宋"/>
                <w:sz w:val="21"/>
                <w:szCs w:val="21"/>
                <w:lang w:eastAsia="zh-CN"/>
              </w:rPr>
              <w:t>，</w:t>
            </w:r>
            <w:r>
              <w:rPr>
                <w:rFonts w:hint="eastAsia" w:ascii="仿宋" w:hAnsi="仿宋" w:eastAsia="仿宋"/>
                <w:sz w:val="21"/>
                <w:szCs w:val="21"/>
              </w:rPr>
              <w:t>建筑垃圾清运过程中，因建筑垃圾运输车辆未运输至备案消纳场所，</w:t>
            </w:r>
            <w:r>
              <w:rPr>
                <w:rFonts w:hint="eastAsia" w:ascii="仿宋" w:hAnsi="仿宋" w:eastAsia="仿宋"/>
                <w:sz w:val="21"/>
                <w:szCs w:val="21"/>
                <w:lang w:eastAsia="zh-CN"/>
              </w:rPr>
              <w:t>有</w:t>
            </w:r>
            <w:bookmarkStart w:id="0" w:name="_GoBack"/>
            <w:bookmarkEnd w:id="0"/>
            <w:r>
              <w:rPr>
                <w:rFonts w:hint="eastAsia" w:ascii="仿宋" w:hAnsi="仿宋" w:eastAsia="仿宋"/>
                <w:sz w:val="21"/>
                <w:szCs w:val="21"/>
              </w:rPr>
              <w:t>产生违规电子运单行为。经核实，当事人为该工程的建筑垃圾运输服务单位，有电子运单，但</w:t>
            </w:r>
            <w:r>
              <w:rPr>
                <w:rFonts w:hint="eastAsia" w:ascii="仿宋" w:hAnsi="仿宋" w:eastAsia="仿宋"/>
                <w:sz w:val="21"/>
                <w:szCs w:val="21"/>
                <w:lang w:eastAsia="zh-CN"/>
              </w:rPr>
              <w:t>在</w:t>
            </w:r>
            <w:r>
              <w:rPr>
                <w:rFonts w:hint="eastAsia" w:ascii="仿宋" w:hAnsi="仿宋" w:eastAsia="仿宋"/>
                <w:sz w:val="21"/>
                <w:szCs w:val="21"/>
              </w:rPr>
              <w:t>4月4日建筑垃圾清运过程中，因建筑垃圾运输车辆未运输至备案消纳场所，</w:t>
            </w:r>
            <w:r>
              <w:rPr>
                <w:rFonts w:hint="eastAsia" w:ascii="仿宋" w:hAnsi="仿宋" w:eastAsia="仿宋"/>
                <w:sz w:val="21"/>
                <w:szCs w:val="21"/>
                <w:lang w:eastAsia="zh-CN"/>
              </w:rPr>
              <w:t>有</w:t>
            </w:r>
            <w:r>
              <w:rPr>
                <w:rFonts w:hint="eastAsia" w:ascii="仿宋" w:hAnsi="仿宋" w:eastAsia="仿宋"/>
                <w:sz w:val="21"/>
                <w:szCs w:val="21"/>
              </w:rPr>
              <w:t>产生违规电子运单情况。2024年5月11日已责令当事人改正违法行为。当事人在一年内未曾因同类违法行为而接受过综合行政执法机关的行政处罚或书面告诫。上述事实有北京市东城区城市管理委员会移送函、询问笔录、证据照片（图片）登记表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A8704C1"/>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D97152A"/>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B46900"/>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2024-05-11T09:30:43Z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