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836"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cs="仿宋"/>
                <w:sz w:val="28"/>
                <w:szCs w:val="28"/>
                <w:lang w:eastAsia="zh-CN"/>
              </w:rPr>
              <w:t>北京龙之泰土石方工程有限公司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836"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91110118MA04D5PR5Q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836"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836"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027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836" w:type="dxa"/>
          </w:tcPr>
          <w:p>
            <w:pPr>
              <w:widowControl/>
              <w:spacing w:after="240"/>
              <w:rPr>
                <w:rFonts w:ascii="仿宋" w:hAnsi="仿宋" w:eastAsia="仿宋"/>
                <w:sz w:val="28"/>
                <w:szCs w:val="28"/>
              </w:rPr>
            </w:pPr>
            <w:r>
              <w:rPr>
                <w:rFonts w:hint="eastAsia" w:ascii="仿宋" w:hAnsi="仿宋" w:eastAsia="仿宋"/>
                <w:position w:val="4"/>
                <w:sz w:val="28"/>
                <w:szCs w:val="28"/>
                <w:lang w:eastAsia="zh-CN"/>
              </w:rPr>
              <w:t>《北京市大气污染防治条例》第一百二十条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836"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836"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6月24日14时30分，北京市东城区人民政府前门街道办事处前门执法队队员接环保件移送，并于2023年6月24日16时00分现场检查时发现，当事人于2023年6月24日09时59分在北京市东城区草厂二条31号院内有未按规定覆盖工程渣土的行为，未覆盖渣土面积4平方米，东西长4米，南北宽1米，且现场未造成扬尘，属未按规定处置或覆盖建筑土方、工程渣土、建筑垃圾行为，执法人员到达现场时当事人已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836"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836"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86"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836"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2FE6"/>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BCC4BE8"/>
    <w:rsid w:val="4BD26764"/>
    <w:rsid w:val="4DB17ADE"/>
    <w:rsid w:val="4F7C09DC"/>
    <w:rsid w:val="51662EFF"/>
    <w:rsid w:val="53147D2E"/>
    <w:rsid w:val="545D3A41"/>
    <w:rsid w:val="57890614"/>
    <w:rsid w:val="5B450B37"/>
    <w:rsid w:val="61C01600"/>
    <w:rsid w:val="66F1165B"/>
    <w:rsid w:val="66F30B65"/>
    <w:rsid w:val="67350F67"/>
    <w:rsid w:val="675C3C8D"/>
    <w:rsid w:val="69694871"/>
    <w:rsid w:val="6FEC4630"/>
    <w:rsid w:val="70DE3CE0"/>
    <w:rsid w:val="732967D1"/>
    <w:rsid w:val="75016369"/>
    <w:rsid w:val="76226C56"/>
    <w:rsid w:val="77564D89"/>
    <w:rsid w:val="79E451F8"/>
    <w:rsid w:val="7B3F7CBA"/>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2023-06-29T08:16:45Z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