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720" w:firstLineChars="200"/>
        <w:jc w:val="both"/>
        <w:rPr>
          <w:rFonts w:hint="eastAsia" w:eastAsia="方正小标宋简体"/>
          <w:snapToGrid w:val="0"/>
          <w:color w:val="auto"/>
          <w:kern w:val="0"/>
          <w:sz w:val="36"/>
          <w:szCs w:val="36"/>
          <w:lang w:eastAsia="zh-CN"/>
        </w:rPr>
      </w:pPr>
      <w:r>
        <w:rPr>
          <w:rFonts w:hint="eastAsia" w:eastAsia="方正小标宋简体"/>
          <w:snapToGrid w:val="0"/>
          <w:color w:val="auto"/>
          <w:kern w:val="0"/>
          <w:sz w:val="36"/>
          <w:szCs w:val="36"/>
          <w:lang w:eastAsia="zh-CN"/>
        </w:rPr>
        <w:t>北京市东城区前门街道办事处202</w:t>
      </w:r>
      <w:r>
        <w:rPr>
          <w:rFonts w:hint="eastAsia" w:eastAsia="方正小标宋简体"/>
          <w:snapToGrid w:val="0"/>
          <w:color w:val="auto"/>
          <w:kern w:val="0"/>
          <w:sz w:val="36"/>
          <w:szCs w:val="36"/>
          <w:lang w:val="en-US" w:eastAsia="zh-CN"/>
        </w:rPr>
        <w:t>3</w:t>
      </w:r>
      <w:r>
        <w:rPr>
          <w:rFonts w:hint="eastAsia" w:eastAsia="方正小标宋简体"/>
          <w:snapToGrid w:val="0"/>
          <w:color w:val="auto"/>
          <w:kern w:val="0"/>
          <w:sz w:val="36"/>
          <w:szCs w:val="36"/>
          <w:lang w:eastAsia="zh-CN"/>
        </w:rPr>
        <w:t>年度</w:t>
      </w:r>
    </w:p>
    <w:p>
      <w:pPr>
        <w:snapToGrid w:val="0"/>
        <w:spacing w:line="560" w:lineRule="exact"/>
        <w:ind w:firstLine="2520" w:firstLineChars="700"/>
        <w:jc w:val="both"/>
        <w:rPr>
          <w:rFonts w:hint="eastAsia" w:eastAsia="方正小标宋简体"/>
          <w:snapToGrid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snapToGrid w:val="0"/>
          <w:color w:val="auto"/>
          <w:kern w:val="0"/>
          <w:sz w:val="36"/>
          <w:szCs w:val="36"/>
          <w:lang w:eastAsia="zh-CN"/>
        </w:rPr>
        <w:t>执法检查计划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  <w:t>一、执法检查主体——东城区前门街道办事处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检查事项：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1.“蓝天保卫战”执法工作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2.占道经营集中整治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3.燃气安全专项执法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4.停车管理专项执法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5.非法小广告专项执法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6.生活垃圾专项执法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7.违规户外广告牌匾整治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8.旅游市场专项执法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9.“门前三包”专项执法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10.违法建设治理工作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11.非法运营专项执法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  <w:t>二、检查方式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1.接举报投诉后检查；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2.主动巡查；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3.根据季节、气候、重大活动保障等，开展不特定专项执法检查；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4.联合检查；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5.双随机抽查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6.其它方式。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  <w:t>三、检查项目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1.燃气用户；</w:t>
      </w:r>
      <w:bookmarkStart w:id="0" w:name="_GoBack"/>
      <w:bookmarkEnd w:id="0"/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2.电力用户；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3.第三方外力危害电力电力安全；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4.园林绿化；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5.古树名木；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6.公园；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7.街面环境秩序；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8.城市道路；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9.架空线；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10.户外广告设施、牌匾标识和标语宣传品；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11.机动停车场；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12.施工现场；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13.生活垃圾。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检查项目见行政检查单。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 w:bidi="ar-SA"/>
        </w:rPr>
        <w:t>四、管理对象基数及对应检查比例</w:t>
      </w:r>
    </w:p>
    <w:p>
      <w:pPr>
        <w:pStyle w:val="4"/>
        <w:spacing w:line="560" w:lineRule="exact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（一）管理对象基数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1.生活垃圾执法对象基数：122家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2.燃气安全执法对象基数：26家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3.“门前三包”管理对象基数：115家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4.施工工地管理对象基数：3个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（二）检查对象比例 </w:t>
      </w:r>
    </w:p>
    <w:p>
      <w:pPr>
        <w:pStyle w:val="4"/>
        <w:spacing w:line="560" w:lineRule="exact"/>
        <w:ind w:firstLine="594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对辖区管理对象开展全覆盖式执法检查；对特定被检查对象较多、无法做到检查全覆盖的，采取随机抽查措施。对于“双随机”抽查，原则上，至少每月开展一次“双随机”抽查工作。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6E1F"/>
    <w:rsid w:val="00742401"/>
    <w:rsid w:val="008308CB"/>
    <w:rsid w:val="00B97D33"/>
    <w:rsid w:val="00E156E9"/>
    <w:rsid w:val="00EB6E1F"/>
    <w:rsid w:val="06F34C67"/>
    <w:rsid w:val="0FDA4A23"/>
    <w:rsid w:val="12E95288"/>
    <w:rsid w:val="1BF07365"/>
    <w:rsid w:val="21FD3737"/>
    <w:rsid w:val="23A06F78"/>
    <w:rsid w:val="2CC708AC"/>
    <w:rsid w:val="3AE30E7B"/>
    <w:rsid w:val="55585670"/>
    <w:rsid w:val="56C212D7"/>
    <w:rsid w:val="595525D1"/>
    <w:rsid w:val="5BE94380"/>
    <w:rsid w:val="6AE8115A"/>
    <w:rsid w:val="6E3B3659"/>
    <w:rsid w:val="7545607C"/>
    <w:rsid w:val="75B65307"/>
    <w:rsid w:val="7D966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374</Characters>
  <Lines>3</Lines>
  <Paragraphs>1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2021-03-16T06:37:00Z</dcterms:created>
  <dc:creator>QMDJ-YWC</dc:creator>
  <cp:lastModifiedBy>QMCG-LiLing</cp:lastModifiedBy>
  <dcterms:modified xsi:type="dcterms:W3CDTF">2023-10-18T01:41:24Z</dcterms:modified>
  <dc:title>一、执法检查主体——东城区前门街道办事处综合行政执法队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