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城管执法部门轻微违法行为不予行政处罚清单（试行）</w:t>
      </w:r>
    </w:p>
    <w:p>
      <w:pPr>
        <w:widowControl/>
        <w:spacing w:line="400" w:lineRule="exact"/>
        <w:textAlignment w:val="center"/>
        <w:rPr>
          <w:rFonts w:ascii="黑体" w:hAnsi="黑体" w:eastAsia="黑体" w:cs="黑体"/>
          <w:kern w:val="0"/>
          <w:sz w:val="32"/>
          <w:szCs w:val="32"/>
          <w:lang w:bidi="ar"/>
        </w:rPr>
      </w:pPr>
    </w:p>
    <w:tbl>
      <w:tblPr>
        <w:tblStyle w:val="8"/>
        <w:tblpPr w:leftFromText="180" w:rightFromText="180" w:vertAnchor="text" w:horzAnchor="page" w:tblpX="2191" w:tblpY="134"/>
        <w:tblOverlap w:val="never"/>
        <w:tblW w:w="126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8171"/>
        <w:gridCol w:w="1700"/>
        <w:gridCol w:w="12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案由名称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处罚依据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法律法规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行使层级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1.未按要求履行维护市容环境卫生责任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【城镇地区】违反条款：第二十一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lang w:bidi="ar"/>
              </w:rPr>
              <w:t>条第一款，第二十三条第一款第（一）项、第（二）项、第（三）项，及第二十四款第二款；处罚条款：第二十四条第二款，责令改正，并处200元以上1000元以下罚款。【农村地区】违反条款：第二十一条第一款，第二十三条第二款，及《关于印发北京市农村地区环境卫生责任区责任标准（试行）的通知》（京政管发〔2008〕49号）（根据具体情形，引用到相关条款）；处罚条款：第二十四条第二款，责令改正，并处200元以上1000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2.未落实"门前三包"责任制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违反条款：第三条第（一）项、第（二）项、第（三）项；处罚条款：第八条，对违反本办法的单位应当责令改正，并视情节轻重，处200元以上1000元以下的罚款，并对单位负责人处20元以上50元以下的罚款。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《北京市"门前三包"责任制管理办法》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3.未按规定扫雪铲冰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违反条款：第三条第一款、第二款；处罚条款：第六条，责令改正，并处200元以上1000元以下罚款。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《北京市人民政府关于扫雪铲冰管理的规定》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4.店外经营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违反条款：第三十五条第三款；处罚条款：第三十五条第五款：责令改正，并可处300元以上3000元以下的罚款.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5.未按规定设置牌匾标识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违反、处罚条款：第三十九第一款 责令限期改正，逾期不改正的，予以强制拆除，并可处500元以上5000元以下罚款。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（注:已经改正的，不得实施行政处罚）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6.未按规定管护牌匾标识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违反、处罚条款：第三十九第二款 责令停止使用，限期修复，并可处500元以上5000元以下罚款。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7.电子显示装置不符合设置规范（或者运行时间要求）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违反条款：第二十三条；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处罚条款：第五十条，由街道办事处或者乡镇人民政府责令限期改正；逾期不改正的，处一千元以上一万元以下罚款。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（注:已经改正的，不得实施行政处罚）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《北京市户外广告设施、牌匾标识和标语宣传品设置管理条例》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8.未按规定管护显亮式户外广告设施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违反条款：第十四条第二款；处罚条款：第二十八条第二款，责令限期改正，并可处500元以上5000元以下罚款；霓虹灯、电子显示装置、灯箱等断亮、残损的，责令在修复前停止使用。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《北京市户外广告设置管理办法》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9.未按规定管护宣传设施或者标语宣传品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违反条款：第十五条第一款；处罚条款：第二十条第一款 责令限期改正，可处100元以上1000元以下罚款。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《北京市标语宣传品设置管理规定》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10.未及时撤除标语宣传品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违反条款：第十五条第二款；处罚条款：第二十条第一款 责令限期改正，可处100元以上1000元以下罚款。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《北京市标语宣传品设置管理规定》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11.未按规定设置生活垃圾分类收集容器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违反条款：第三十六条第一款第（三）项；处罚条款：第六十九条第一款 责令立即改正，处三千元以上三万元以下罚款。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《北京市生活垃圾管理条例》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12.未按规定管护生活垃圾分类收集容器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违反条款：第三十六条第一款第（三）项；处罚条款：第六十九条第一款 责令立即改正，处三千元以上三万元以下罚款。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《北京市生活垃圾管理条例》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13.未明确生活垃圾投放的时间、地点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违反条款：第三十六条第一款第（四）项；处罚条款：第六十九条第一款 责令立即改正，处三千元以上三万元以下罚款。　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《北京市生活垃圾管理条例》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14.主动向消费者提供一次性用品的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违反条款：第二十六条第二款；处罚条款：第六十六条第二款 责令立即改正，处五千元以上一万元以下罚款；再次违反规定的，处一万元以上五万元以下罚款。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《北京市生活垃圾管理条例》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15.擅自摆摊设点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违反条款：第三十五条第一款；处罚条款：第三十五条第五款，责令改正，没收违法所得和非法财物，并可处500元以上5000元以下的罚款。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16.无照经营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违反条款：第二条；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处罚条款：第十三条，责令停止违法行为，没收违法所得，并处1万元以下的罚款。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《无证无照经营查处办法》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17.乱堆物料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违反条款：第三十五条第一款；处罚条款：第三十五条第五款，责令改正，没收违法所得和非法财物，并可处500元以上5000元以下的罚款。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18.在城市道路及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lang w:bidi="ar"/>
              </w:rPr>
              <w:t>其他公共场所晾晒衣物、吊挂物品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违反条款：第三十六条第一款；处罚条款：第三十六条第二款：责令改正，并可处20元以上50元以下罚款。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19.随地吐痰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违反条款：第五十二条第一款第（一）项；处罚条款：第五十二条第二款 责令改正，并可处50元罚款；情节严重的，处200元罚款。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20.随地便溺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违反条款：第五十二条第一款第（一）项；处罚条款：第五十二条第二款 责令改正，并可处50元罚款；情节严重的，处200元罚款。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21.随地丢弃废弃物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违反条款：第五十二条第一款第（二）项；处罚条款：第五十二条第二款 责令改正，并可处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lang w:bidi="ar"/>
              </w:rPr>
              <w:t>50元罚款；情节严重的，处200元罚款。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22.乱倒污水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lang w:bidi="ar"/>
              </w:rPr>
              <w:t>（垃圾）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违反条款：第五十二条第一款第（三）项；处罚条款：第五十二条第二款责令改正，并可处50元罚款；情节严重的，处200元罚款。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23.在城镇地区饲养家禽家畜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违反、处罚条款：第五十三条第一款责令限期改正，并可按照每只（头）处20元以上50元以下罚款。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24.携犬人未清除户外犬粪便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违反条款：第十七条第（六）项；处罚条款：第三十条：责令改正，并可处50元罚款。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《北京市养犬管理规定》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25.损毁树木、花草及绿化设施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违反条款：第五十条第（二）项；处罚条款：第六十七条责令停止违法行为。处罚内容：情节较轻的，处20元以上50元以下罚款；情节严重的，处50元以上500元以下罚款。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《北京市绿化条例》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26.在树木或者绿化设施上悬挂广告牌或者</w:t>
            </w: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lang w:bidi="ar"/>
              </w:rPr>
              <w:t>其他物品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违反条款：第五十条第（三）项；处罚条款：第六十七条责令停止违法行为。处罚内容：情节较轻的，处20元以上50元以下罚款；情节严重的，处50元以上500元以下罚款。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《北京市绿化条例》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</w:pPr>
    </w:p>
    <w:p>
      <w:pPr>
        <w:spacing w:line="560" w:lineRule="exact"/>
        <w:ind w:left="640" w:hanging="640" w:hangingChars="200"/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</w:pPr>
    </w:p>
    <w:p>
      <w:pPr>
        <w:spacing w:line="560" w:lineRule="exact"/>
        <w:ind w:left="640" w:hanging="640" w:hangingChars="200"/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</w:pPr>
    </w:p>
    <w:p>
      <w:pPr>
        <w:spacing w:line="560" w:lineRule="exact"/>
        <w:ind w:left="640" w:hanging="640" w:hangingChars="200"/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</w:pPr>
    </w:p>
    <w:p>
      <w:pPr>
        <w:spacing w:line="560" w:lineRule="exact"/>
        <w:ind w:left="640" w:hanging="640" w:hangingChars="200"/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</w:pPr>
    </w:p>
    <w:p>
      <w:pPr>
        <w:spacing w:line="560" w:lineRule="exact"/>
        <w:ind w:left="640" w:hanging="640" w:hangingChars="200"/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</w:pPr>
    </w:p>
    <w:p>
      <w:pPr>
        <w:spacing w:line="560" w:lineRule="exact"/>
        <w:ind w:left="640" w:hanging="640" w:hangingChars="200"/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</w:pP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注：</w:t>
      </w:r>
      <w:r>
        <w:rPr>
          <w:rFonts w:hint="eastAsia" w:ascii="楷体_GB2312" w:hAnsi="楷体_GB2312" w:eastAsia="楷体_GB2312" w:cs="楷体_GB2312"/>
          <w:sz w:val="32"/>
          <w:szCs w:val="32"/>
        </w:rPr>
        <w:t>清单中未列明的其他执法事项，符合《行政处罚法》规定法定不予行政处罚或者酌定不予行政处罚情形的，按照《行政处罚法》的规定依法执行。</w:t>
      </w:r>
    </w:p>
    <w:p>
      <w:pPr>
        <w:spacing w:line="560" w:lineRule="exact"/>
        <w:ind w:left="640" w:hanging="640" w:hangingChars="200"/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</w:pPr>
    </w:p>
    <w:p>
      <w:pPr>
        <w:spacing w:line="560" w:lineRule="exact"/>
        <w:ind w:left="640" w:hanging="640" w:hangingChars="200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60" w:lineRule="exact"/>
        <w:ind w:left="640" w:hanging="640" w:hangingChars="200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560" w:lineRule="exact"/>
        <w:rPr>
          <w:rFonts w:hint="eastAsia" w:ascii="楷体_GB2312" w:hAnsi="楷体_GB2312" w:eastAsia="楷体_GB2312" w:cs="楷体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C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uiPriority w:val="0"/>
    <w:pPr>
      <w:jc w:val="center"/>
    </w:pPr>
    <w:rPr>
      <w:rFonts w:ascii="方正小标宋_GBK" w:hAnsi="Times New Roman" w:eastAsia="方正小标宋_GBK"/>
      <w:b/>
      <w:bCs/>
      <w:sz w:val="36"/>
      <w:szCs w:val="24"/>
    </w:rPr>
  </w:style>
  <w:style w:type="paragraph" w:customStyle="1" w:styleId="5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QMCG-LiLing</dc:creator>
  <cp:lastModifiedBy>QMCG-LiLing</cp:lastModifiedBy>
  <dcterms:modified xsi:type="dcterms:W3CDTF">2024-06-19T08:28:34Z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