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75" w:lineRule="atLeast"/>
        <w:jc w:val="center"/>
        <w:rPr>
          <w:color w:val="282828"/>
          <w:sz w:val="32"/>
          <w:szCs w:val="32"/>
        </w:rPr>
      </w:pPr>
      <w:r>
        <w:rPr>
          <w:rFonts w:hint="eastAsia"/>
          <w:color w:val="282828"/>
          <w:sz w:val="32"/>
          <w:szCs w:val="32"/>
        </w:rPr>
        <w:t>北京市东城区人民政府</w:t>
      </w:r>
      <w:r>
        <w:rPr>
          <w:rFonts w:hint="eastAsia"/>
          <w:color w:val="282828"/>
          <w:sz w:val="32"/>
          <w:szCs w:val="32"/>
          <w:lang w:eastAsia="zh-CN"/>
        </w:rPr>
        <w:t>前</w:t>
      </w:r>
      <w:bookmarkStart w:id="0" w:name="_GoBack"/>
      <w:bookmarkEnd w:id="0"/>
      <w:r>
        <w:rPr>
          <w:rFonts w:hint="eastAsia"/>
          <w:color w:val="282828"/>
          <w:sz w:val="32"/>
          <w:szCs w:val="32"/>
        </w:rPr>
        <w:t>门街道办事处责任清单</w:t>
      </w:r>
    </w:p>
    <w:p>
      <w:pPr>
        <w:pStyle w:val="4"/>
        <w:widowControl/>
        <w:spacing w:beforeAutospacing="0" w:afterAutospacing="0" w:line="375" w:lineRule="atLeast"/>
        <w:jc w:val="center"/>
        <w:rPr>
          <w:color w:val="282828"/>
          <w:sz w:val="32"/>
          <w:szCs w:val="32"/>
        </w:rPr>
      </w:pPr>
      <w:r>
        <w:rPr>
          <w:rFonts w:hint="eastAsia"/>
          <w:color w:val="282828"/>
          <w:sz w:val="32"/>
          <w:szCs w:val="32"/>
        </w:rPr>
        <w:t>第一部分、通用责任清单</w:t>
      </w:r>
    </w:p>
    <w:tbl>
      <w:tblPr>
        <w:tblStyle w:val="7"/>
        <w:tblW w:w="9381"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
        <w:gridCol w:w="24"/>
        <w:gridCol w:w="1341"/>
        <w:gridCol w:w="45"/>
        <w:gridCol w:w="77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一</w:t>
            </w:r>
            <w:r>
              <w:rPr>
                <w:b/>
                <w:color w:val="282828"/>
              </w:rPr>
              <w:t>、行政处罚类行政职权运行通用责任清单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both"/>
              <w:rPr>
                <w:color w:val="282828"/>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（一）立案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（二）调查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（四）告知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14</w:t>
            </w:r>
          </w:p>
        </w:tc>
        <w:tc>
          <w:tcPr>
            <w:tcW w:w="1365" w:type="dxa"/>
            <w:gridSpan w:val="2"/>
            <w:vMerge w:val="restart"/>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（六）送达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（七）执行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rFonts w:hint="eastAsia"/>
                <w:color w:val="282828"/>
                <w:sz w:val="21"/>
                <w:szCs w:val="21"/>
              </w:rPr>
            </w:pPr>
          </w:p>
          <w:p>
            <w:pPr>
              <w:pStyle w:val="4"/>
              <w:widowControl/>
              <w:spacing w:beforeAutospacing="0" w:afterAutospacing="0" w:line="375" w:lineRule="atLeast"/>
              <w:jc w:val="center"/>
              <w:rPr>
                <w:b/>
              </w:rPr>
            </w:pPr>
            <w:r>
              <w:rPr>
                <w:rFonts w:hint="eastAsia"/>
                <w:b/>
                <w:color w:val="282828"/>
              </w:rPr>
              <w:t>二</w:t>
            </w:r>
            <w:r>
              <w:rPr>
                <w:b/>
                <w:color w:val="282828"/>
              </w:rPr>
              <w:t>、行政确认类行政职权运行通用责任清单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对符合确认条件的，当场受理。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对不符合受理条件的，应当书面告知办理人不予办理行政确认的理由和依据。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（二）确认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严格按照流程图规定进行研究确认，不得提高确认标准、扩大确认范围等。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按照一定的技术规范要求以书面形式作出决定，并发放确认文书。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不符合确认要求的不予确认，并说明理由。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送达程序参照民事诉讼法有关规定执行。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三</w:t>
            </w:r>
            <w:r>
              <w:rPr>
                <w:b/>
                <w:color w:val="282828"/>
              </w:rPr>
              <w:t>、行政强制类（行政强制措施）行政职权运行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（三）解除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四</w:t>
            </w:r>
            <w:r>
              <w:rPr>
                <w:b/>
                <w:color w:val="282828"/>
              </w:rPr>
              <w:t>、行政强制类（行政强制执行）行政职权运行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（一）催告</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五</w:t>
            </w:r>
            <w:r>
              <w:rPr>
                <w:b/>
                <w:color w:val="282828"/>
              </w:rPr>
              <w:t>、行政征收类（税费类）行政职权运行通用责任清单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一次性告知申报人需提交的申报材料及办理流程。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（二）</w:t>
            </w:r>
            <w:r>
              <w:rPr>
                <w:rStyle w:val="6"/>
                <w:color w:val="282828"/>
                <w:sz w:val="21"/>
                <w:szCs w:val="21"/>
              </w:rPr>
              <w:t>审核</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对申报材料依法及时进行审核。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依法出具纳税或缴费凭证。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当事人缴纳超过应缴纳的税费，应当退还。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不得截留、私分或擅自开支征收款。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开展检查，及时稽查，加强日常监管。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六</w:t>
            </w:r>
            <w:r>
              <w:rPr>
                <w:b/>
                <w:color w:val="282828"/>
              </w:rPr>
              <w:t>、行政征收类（实物类）行政职权运行通用责任清单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拟定征收补偿方案。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应当在社会稳定风险评估基础上作出征收决定。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应当及时公告征收决定。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依据征收决定进行征收。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根据补偿安置方案进行补偿、安置。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应当依法建立征收补偿档案。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对征收补偿费用管理和使用情况进行监督。</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七</w:t>
            </w:r>
            <w:r>
              <w:rPr>
                <w:b/>
                <w:color w:val="282828"/>
              </w:rPr>
              <w:t>、行政裁决类行政职权运行通用责任清单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对符合受理条件的，应当制作受理通知书，并送达申请人。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在法定期限内进行审理。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通知争议申请人及对方当事人，并要求对方当事人在规定的期限内提交相关材料。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对争议的事实、证据材料进行审查，针对疑问情况或经当事人请求，举行公开听证，由当事人双方当面陈述案情，进行辩论、举证、质证，以查明案情。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审理时对确有必要的应当进行实地调查。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（三）裁决</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根据事实和法律、法规作出裁决，制作并向双方当事人送达裁决书。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裁决生效后，争议当事人应当自觉履行。</w:t>
            </w:r>
          </w:p>
          <w:p>
            <w:pPr>
              <w:pStyle w:val="4"/>
              <w:widowControl/>
              <w:spacing w:beforeAutospacing="0" w:afterAutospacing="0" w:line="375" w:lineRule="atLeast"/>
              <w:ind w:firstLine="240"/>
              <w:rPr>
                <w:rFonts w:hint="eastAsia"/>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八</w:t>
            </w:r>
            <w:r>
              <w:rPr>
                <w:b/>
                <w:color w:val="282828"/>
              </w:rPr>
              <w:t>、行政给付行政职权运行通用责任清单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对符合受理条件的，应当受理，并制作受理通知书；对不符合受理条件的不予受理，并书面告知申请人不予受理的理由和依据。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对于符合条件的，作出给于给付的决定，明确给付标准以及后续办事事宜，并通知申请人前来领取。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对不符合给付条件的，书面告知申请人不予给付的理由和依据。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（四）给付</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按照规定标准予以给付。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九</w:t>
            </w:r>
            <w:r>
              <w:rPr>
                <w:b/>
                <w:color w:val="282828"/>
              </w:rPr>
              <w:t>、行政奖励类行政职权运行通用责任清单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依法科学制定奖励方案，明确奖励条件、程序等内容。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（二）审核公示</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对符合条件的推荐对象进行审核审定，并进行公示。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依法、及时调查核实举报投诉涉及问题。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（三）实施奖励</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依法、及时按程序报批决定奖励的等级和金额。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及时通知当事人领取奖励。</w:t>
            </w: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b/>
                <w:color w:val="282828"/>
              </w:rPr>
              <w:t>十、行政检查类行政职权运行通用责任清单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上下级行政机关应当按照级别管辖和地域管辖相结合的原则合理划分检查范围，避免重复检查。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（二）实施检查</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（三）事后监管</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对检查情况进行汇总、分类、归档备查，并跟踪监测。</w:t>
            </w:r>
          </w:p>
        </w:tc>
      </w:tr>
    </w:tbl>
    <w:p>
      <w:pPr>
        <w:jc w:val="center"/>
        <w:rPr>
          <w:color w:val="282828"/>
          <w:kern w:val="0"/>
          <w:sz w:val="32"/>
          <w:szCs w:val="32"/>
        </w:rPr>
      </w:pPr>
    </w:p>
    <w:p>
      <w:pPr>
        <w:numPr>
          <w:ilvl w:val="0"/>
          <w:numId w:val="1"/>
        </w:numPr>
        <w:jc w:val="center"/>
        <w:rPr>
          <w:color w:val="282828"/>
          <w:kern w:val="0"/>
          <w:sz w:val="32"/>
          <w:szCs w:val="32"/>
        </w:rPr>
      </w:pPr>
      <w:r>
        <w:rPr>
          <w:rFonts w:hint="eastAsia"/>
          <w:color w:val="282828"/>
          <w:kern w:val="0"/>
          <w:sz w:val="32"/>
          <w:szCs w:val="32"/>
        </w:rPr>
        <w:t>专项责任清单</w:t>
      </w:r>
    </w:p>
    <w:p>
      <w:pPr>
        <w:spacing w:line="520" w:lineRule="exact"/>
        <w:rPr>
          <w:rFonts w:asciiTheme="minorEastAsia" w:hAnsiTheme="minorEastAsia"/>
          <w:b/>
          <w:bCs/>
          <w:color w:val="282828"/>
          <w:kern w:val="0"/>
          <w:sz w:val="24"/>
        </w:rPr>
      </w:pPr>
      <w:r>
        <w:rPr>
          <w:rFonts w:hint="eastAsia" w:asciiTheme="minorEastAsia" w:hAnsiTheme="minorEastAsia"/>
          <w:b/>
          <w:bCs/>
          <w:color w:val="282828"/>
          <w:kern w:val="0"/>
          <w:sz w:val="24"/>
        </w:rPr>
        <w:t>一、东城区突发事件应急救助专项责任清单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（一）负责建立街道、地区级突发事件应急救助综合协调机构和工作体系。</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（二）组织、协调本行政区域的应急救助工作。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（三）组织受灾群众开展自救互救。</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（四）负责落实本行政区域的应急救助资金、物资保障工作。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（五）负责本行政区域的自然灾害等突发事件风险调查情况，制定相应的应急救助预案。</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（六）协助区民防局建设、管理本行政区域内的室内（外）应急避难场所。</w:t>
      </w:r>
    </w:p>
    <w:p>
      <w:pPr>
        <w:pStyle w:val="4"/>
        <w:widowControl/>
        <w:spacing w:beforeAutospacing="0" w:afterAutospacing="0" w:line="520" w:lineRule="exact"/>
        <w:ind w:firstLine="616"/>
        <w:rPr>
          <w:rFonts w:cs="Arial" w:asciiTheme="minorEastAsia" w:hAnsiTheme="minorEastAsia"/>
          <w:color w:val="282828"/>
        </w:rPr>
      </w:pPr>
      <w:r>
        <w:rPr>
          <w:rFonts w:cs="仿宋_GB2312" w:asciiTheme="minorEastAsia" w:hAnsiTheme="minorEastAsia"/>
          <w:color w:val="282828"/>
          <w:spacing w:val="-6"/>
        </w:rPr>
        <w:t>（七）负责本行政区域灾害救助人员的队伍建设和业务培训。</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（八）负责本行政区域内灾情统计上报工作。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（九）负责检查和落实救助款物的发放。</w:t>
      </w:r>
    </w:p>
    <w:p>
      <w:pPr>
        <w:pStyle w:val="4"/>
        <w:widowControl/>
        <w:spacing w:beforeAutospacing="0" w:afterAutospacing="0" w:line="520" w:lineRule="exact"/>
        <w:rPr>
          <w:rFonts w:cs="仿宋_GB2312" w:asciiTheme="minorEastAsia" w:hAnsiTheme="minorEastAsia"/>
          <w:color w:val="282828"/>
        </w:rPr>
      </w:pPr>
      <w:r>
        <w:rPr>
          <w:rFonts w:hint="eastAsia" w:cs="仿宋_GB2312" w:asciiTheme="minorEastAsia" w:hAnsiTheme="minorEastAsia"/>
          <w:b/>
          <w:bCs/>
          <w:color w:val="282828"/>
        </w:rPr>
        <w:t>二、东城区雪天道路交通应急保障专项责任清单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（一）负责本辖区雪天应急工作的协调和指挥，组织社区、社会单位及群众参与铲冰除雪工作，并及时向区雪天交通保障临时应急指挥部反馈情况。</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（二）负责因降雪造成本辖区内的道路上大面积拥堵车辆和滞留人员所需的食品、饮用水、药品、医疗救助等生活必需品和应急物资保障工作。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（三）负责统筹做好本辖区内滞留人员临时安置等后勤保障；负责动员社会组织、应急志愿者开展相关服务保障工作。</w:t>
      </w:r>
    </w:p>
    <w:p>
      <w:pPr>
        <w:pStyle w:val="4"/>
        <w:widowControl/>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三、东城区城市轨道交通突发事件应急处置专项责任清单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负责参与本辖区内运营突发事件救援工作；配合做好运营突发事件中受灾人员安置，提供后勤保障，并做好相关工作。</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东城区突发公共卫生事件应急处置专项责任清单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本行政区域内突发公共卫生事件的应急报告工作；建立区突发公共卫生事件应急指挥部；按照属地为主、分级负责的原则，统一组织本行政区域内突发公共卫生事件应急处置的指挥协调，以及突发公共卫生事件预防与应急准备、监测与预警、应急处置与救援、灾区恢复重建等应对工作；组织制定本机关突发公共卫生事件应急预案；及时组织排查本区域内容易引发公共卫生事件的传染源及传播载体，加强安全管控；做好应急物资、技术储备、相关人员的培训演练、经费保障等工作；按照平战结合的原则，指定后备医疗救治机构。</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东城区缓解交通拥堵专项责任清单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承担区域交通综合治理属地责任，负责推动辖区内各单位落实“门前三包”责任，组织有关部门加强对门前环境卫生、绿化、社会秩序的监督指导。特别是学校、医院、商业、旅游景点门前，重点做好综合整治，规范交通秩序。</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（二）对既有居住区配建的停车场不能满足业主停车需求的，按照物业管理的规定经业主同意，配合相关部门利用业主共有场地设置临时停车场。</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（三）负责落实属地责任，协助、配合辖区驻车换乘停车场征地拆迁工作，及其他类型停车场征地相关工作，做好建设过程中的维稳等工作。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（四）负责指</w:t>
      </w:r>
      <w:r>
        <w:rPr>
          <w:rFonts w:cs="仿宋_GB2312" w:asciiTheme="minorEastAsia" w:hAnsiTheme="minorEastAsia"/>
          <w:color w:val="000000"/>
        </w:rPr>
        <w:t>导居民委员会在辖</w:t>
      </w:r>
      <w:r>
        <w:rPr>
          <w:rFonts w:cs="仿宋_GB2312" w:asciiTheme="minorEastAsia" w:hAnsiTheme="minorEastAsia"/>
          <w:color w:val="282828"/>
        </w:rPr>
        <w:t>区内通过建立停车管理委员会等形式，依法进行机动车停车的自我管理；对辖区内单位和居住区在满足本单位、本居住区居民停车需求的情况下，将配建停车场向社会开放的，有条件的单位将配建停车场在非工作时间向社会开放的，单位和个人实行错时停车的予以宣传；负责对辖区内擅自在道路上和其他公共区域内设置地桩、地锁等障碍物阻碍机动车停放和通行的行为进行巡查，予以制止并举报；承担停车秩序管理属地责任，做好停车管理工作的宣传、文明引导，对违规停车行为进行监督举报，及时调解因违规停车引发的纠纷。</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（五）配合相关部门做好公共自行车站点布局规划工作，组织居民委员会提出站点新增建设需求和布局优化建议；协助落实站点和管理用房用地接电；配合做好辖区公共自行车站点车辆停放秩序管理。</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（六）做好居民的宣传动员工作。</w:t>
      </w:r>
    </w:p>
    <w:p>
      <w:pPr>
        <w:pStyle w:val="4"/>
        <w:widowControl/>
        <w:spacing w:beforeAutospacing="0" w:afterAutospacing="0" w:line="520" w:lineRule="exact"/>
        <w:rPr>
          <w:rFonts w:cs="仿宋_GB2312" w:asciiTheme="minorEastAsia" w:hAnsiTheme="minorEastAsia"/>
          <w:color w:val="282828"/>
        </w:rPr>
      </w:pPr>
    </w:p>
    <w:p>
      <w:pPr>
        <w:rPr>
          <w:rFonts w:asciiTheme="minorEastAsia" w:hAnsiTheme="minorEastAsia"/>
          <w:color w:val="28282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2E77A"/>
    <w:multiLevelType w:val="singleLevel"/>
    <w:tmpl w:val="BB92E77A"/>
    <w:lvl w:ilvl="0" w:tentative="0">
      <w:start w:val="4"/>
      <w:numFmt w:val="chineseCounting"/>
      <w:suff w:val="nothing"/>
      <w:lvlText w:val="%1、"/>
      <w:lvlJc w:val="left"/>
      <w:rPr>
        <w:rFonts w:hint="eastAsia"/>
      </w:rPr>
    </w:lvl>
  </w:abstractNum>
  <w:abstractNum w:abstractNumId="1">
    <w:nsid w:val="08851540"/>
    <w:multiLevelType w:val="singleLevel"/>
    <w:tmpl w:val="08851540"/>
    <w:lvl w:ilvl="0" w:tentative="0">
      <w:start w:val="2"/>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7A1A"/>
    <w:rsid w:val="004E166D"/>
    <w:rsid w:val="00825502"/>
    <w:rsid w:val="00825F38"/>
    <w:rsid w:val="00967A1A"/>
    <w:rsid w:val="00A10F0E"/>
    <w:rsid w:val="10A34F06"/>
    <w:rsid w:val="158D0640"/>
    <w:rsid w:val="21F7021B"/>
    <w:rsid w:val="23A478AB"/>
    <w:rsid w:val="33212B74"/>
    <w:rsid w:val="3DA52918"/>
    <w:rsid w:val="483A4729"/>
    <w:rsid w:val="78B82223"/>
    <w:rsid w:val="7A6F3C7E"/>
    <w:rsid w:val="7C837F11"/>
    <w:rsid w:val="7DE37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901</Words>
  <Characters>5141</Characters>
  <Lines>42</Lines>
  <Paragraphs>12</Paragraphs>
  <TotalTime>0</TotalTime>
  <ScaleCrop>false</ScaleCrop>
  <LinksUpToDate>false</LinksUpToDate>
  <CharactersWithSpaces>6030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2021-08-26T02:12:00Z</dcterms:created>
  <dc:creator>chengguan</dc:creator>
  <cp:lastModifiedBy>Administrator</cp:lastModifiedBy>
  <dcterms:modified xsi:type="dcterms:W3CDTF">2005-12-31T23:52:48Z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9BE5B12872B744C8AE36FA8F89077B4C</vt:lpwstr>
  </property>
</Properties>
</file>