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88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5245"/>
        <w:gridCol w:w="1134"/>
        <w:gridCol w:w="850"/>
        <w:gridCol w:w="993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3887" w:type="dxa"/>
            <w:gridSpan w:val="8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附件2</w:t>
            </w:r>
          </w:p>
          <w:p>
            <w:pPr>
              <w:widowControl/>
              <w:spacing w:line="0" w:lineRule="atLeas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4"/>
                <w:szCs w:val="44"/>
              </w:rPr>
              <w:t>《北京市户外广告设施、牌匾标识和标语宣传品</w:t>
            </w:r>
          </w:p>
          <w:p>
            <w:pPr>
              <w:widowControl/>
              <w:spacing w:line="0" w:lineRule="atLeas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4"/>
                <w:szCs w:val="44"/>
              </w:rPr>
              <w:t>设置管理条例》处罚案由及裁量基准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案由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处罚依据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罚款</w:t>
            </w:r>
          </w:p>
          <w:p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基准</w:t>
            </w:r>
          </w:p>
          <w:p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系数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变量系数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计算公式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hAnsi="宋体" w:eastAsia="仿宋_GB2312"/>
                <w:snapToGrid w:val="0"/>
                <w:kern w:val="3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napToGrid w:val="0"/>
                <w:kern w:val="32"/>
                <w:sz w:val="32"/>
                <w:szCs w:val="32"/>
              </w:rPr>
              <w:t>违法设置户外广告设施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80" w:lineRule="exact"/>
              <w:rPr>
                <w:rFonts w:ascii="仿宋_GB2312" w:hAnsi="宋体" w:eastAsia="仿宋_GB2312"/>
                <w:snapToGrid w:val="0"/>
                <w:kern w:val="3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违反条款：第十五条；第十六条第一款；第十七条；第十八条第三款；第二十四条；第二十五条；</w:t>
            </w:r>
            <w:r>
              <w:rPr>
                <w:rFonts w:hint="eastAsia" w:ascii="仿宋_GB2312" w:hAnsi="宋体" w:eastAsia="仿宋_GB2312"/>
                <w:snapToGrid w:val="0"/>
                <w:kern w:val="32"/>
                <w:sz w:val="32"/>
                <w:szCs w:val="32"/>
              </w:rPr>
              <w:t>（根据发生违法行为选择适用）</w:t>
            </w:r>
          </w:p>
          <w:p>
            <w:pPr>
              <w:spacing w:line="58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处罚条款：第四十九条第一款，以及《北京市市容环境卫生条例》第三十八条第二款，责令限期拆除，逾期未拆除的，强制拆除，并可处1万元以上10万元以下罚款。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10000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罚款数额＝10000×（1＋区域系数＋情节系数）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为违法设置的户外广告设施提供载体</w:t>
            </w:r>
          </w:p>
          <w:p>
            <w:pPr>
              <w:spacing w:line="560" w:lineRule="exact"/>
              <w:rPr>
                <w:rFonts w:ascii="仿宋_GB2312" w:hAnsi="宋体" w:eastAsia="仿宋_GB2312"/>
                <w:snapToGrid w:val="0"/>
                <w:kern w:val="32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</w:t>
            </w:r>
            <w:r>
              <w:rPr>
                <w:rFonts w:ascii="仿宋_GB2312" w:eastAsia="仿宋_GB2312"/>
                <w:sz w:val="32"/>
                <w:szCs w:val="32"/>
              </w:rPr>
              <w:t>十八条第二款</w:t>
            </w:r>
            <w:r>
              <w:rPr>
                <w:rFonts w:hint="eastAsia" w:ascii="仿宋_GB2312" w:eastAsia="仿宋_GB2312"/>
                <w:sz w:val="32"/>
                <w:szCs w:val="32"/>
              </w:rPr>
              <w:t>；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</w:t>
            </w:r>
            <w:r>
              <w:rPr>
                <w:rFonts w:ascii="仿宋_GB2312" w:eastAsia="仿宋_GB2312"/>
                <w:sz w:val="32"/>
                <w:szCs w:val="32"/>
              </w:rPr>
              <w:t>第四十九条第二款，</w:t>
            </w:r>
            <w:r>
              <w:rPr>
                <w:rFonts w:hint="eastAsia" w:ascii="仿宋_GB2312" w:eastAsia="仿宋_GB2312"/>
                <w:sz w:val="32"/>
                <w:szCs w:val="32"/>
              </w:rPr>
              <w:t>责令限期改正；逾期不改正的，处一万元以上十万元以下罚款。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罚款数额＝10000×（1＋区域系数＋情节系数）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违法设置固定式牌匾标识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600" w:lineRule="exact"/>
              <w:rPr>
                <w:rFonts w:ascii="仿宋_GB2312" w:hAnsi="宋体" w:eastAsia="仿宋_GB2312"/>
                <w:snapToGrid w:val="0"/>
                <w:kern w:val="3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违反条款：第三十条；第三十一条；第三十五条第二款；</w:t>
            </w:r>
            <w:r>
              <w:rPr>
                <w:rFonts w:hint="eastAsia" w:ascii="仿宋_GB2312" w:hAnsi="宋体" w:eastAsia="仿宋_GB2312"/>
                <w:snapToGrid w:val="0"/>
                <w:kern w:val="32"/>
                <w:sz w:val="32"/>
                <w:szCs w:val="32"/>
              </w:rPr>
              <w:t>（根据发生违法行为选择适用）</w:t>
            </w:r>
          </w:p>
          <w:p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处罚条款：第四十九条第三款，以及《北京市市容环境卫生条例》第四十条第一款，责令限期改正，逾期不改正的，予以强制拆除，并可处500元以上5000元以下罚款。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罚款数额＝500×（1＋区域系数＋情节系数）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电子显示装置不符合设置规范（或者运行时间要求）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违反条款：第二十三条；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处罚条款：第五十条，责令限期改正；逾期不改正的，处一千元以上一万元以下罚款。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罚款数额＝1000×（1＋区域系数＋情节系数）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未按照公共汽电车车身户外广告设置方案设置户外广告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违反条款：第二十六条第一款；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处罚条款：第五十一条，责令限期改正；逾期不改正的，按照每辆车五千元处以罚款。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在非公共汽电车车身上设置广告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违反条款：第二十六条第二款。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处罚条款：第五十一条，责令限期改正；逾期不改正的，按照每辆车五千元处以罚款。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公交候车亭户外广告设施不符合设置方案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违反条款：第二十七条第二款。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处罚条款：第五十二条，责令限期改正；逾期不改正的，按照每个公交候车亭五千元处以罚款。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5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设置的车身标识不符合要求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违反条款：第三十四条。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处罚条款：第五十三条，责令限期改正；逾期不改正的，按照每辆车二千元处以罚款。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9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未经许可设置标语宣传品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违反条款：第三十六条第一款。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处罚条款：第五十四条第一款，责令立即改正；造成恶劣影响或者拒不改正的，处五百元以上五千元以下罚款。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罚款数额＝500×（1＋区域系数＋情节系数＋变量</w:t>
            </w:r>
            <w:r>
              <w:rPr>
                <w:rFonts w:ascii="仿宋_GB2312" w:eastAsia="仿宋_GB2312"/>
                <w:sz w:val="32"/>
                <w:szCs w:val="32"/>
              </w:rPr>
              <w:t>系数</w:t>
            </w:r>
            <w:r>
              <w:rPr>
                <w:rFonts w:hint="eastAsia" w:ascii="仿宋_GB2312" w:eastAsia="仿宋_GB2312"/>
                <w:sz w:val="32"/>
                <w:szCs w:val="32"/>
              </w:rPr>
              <w:t>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设置标语宣传品不符合相关要求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8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违反条款：第三十七条、第三十八条、三十九条；（根据不同情形选择适用）</w:t>
            </w:r>
          </w:p>
          <w:p>
            <w:pPr>
              <w:spacing w:line="58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处罚条款：第五十四条第一款，责令立即改正；造成恶劣影响或者拒不改正的，处五百元以上五千元以下罚款。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罚款数额＝500×（1＋区域系数＋情节系数＋变量</w:t>
            </w:r>
            <w:r>
              <w:rPr>
                <w:rFonts w:ascii="仿宋_GB2312" w:eastAsia="仿宋_GB2312"/>
                <w:sz w:val="32"/>
                <w:szCs w:val="32"/>
              </w:rPr>
              <w:t>系数</w:t>
            </w:r>
            <w:r>
              <w:rPr>
                <w:rFonts w:hint="eastAsia" w:ascii="仿宋_GB2312" w:eastAsia="仿宋_GB2312"/>
                <w:sz w:val="32"/>
                <w:szCs w:val="32"/>
              </w:rPr>
              <w:t>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11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所有人未履行安全管理责任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违反条款：第四十条第一款第(一)项、第(三)项、第(四)项、第(五)项；（根据不同情形选择适用）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处罚条款：第五十五条第一款，责令其履行相关责任，恢复相关设施正常功能，处一千元以上一万元以下罚款。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罚款数额＝1000×（1＋区域系数＋情节系数）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4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未定期对大型（或者距地十米以上的）户外广告设施进行安全鉴定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违反条款：第四十条第一款第(二)项；</w:t>
            </w:r>
          </w:p>
          <w:p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五条第二款，责令限期改正；逾期不改正的，按照违法设置户外广告设施的行为处理，并依据《北京市市容环境卫生条例》第三十八条第二款，责令限期拆除，逾期未拆除的，强制拆除，并可处1万元以上10万元以下罚款。</w:t>
            </w:r>
          </w:p>
          <w:p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10000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罚款数额＝10000×（1＋区域系数＋情节系数）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60" w:lineRule="exact"/>
              <w:rPr>
                <w:rFonts w:hint="eastAsia" w:ascii="楷体_GB2312" w:hAnsi="Calibri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实施</w:t>
            </w:r>
            <w:r>
              <w:rPr>
                <w:rFonts w:ascii="楷体_GB2312" w:eastAsia="楷体_GB2312"/>
                <w:sz w:val="30"/>
                <w:szCs w:val="30"/>
              </w:rPr>
              <w:t>处罚援引法律依据时</w:t>
            </w:r>
            <w:r>
              <w:rPr>
                <w:rFonts w:hint="eastAsia" w:ascii="楷体_GB2312" w:eastAsia="楷体_GB2312"/>
                <w:sz w:val="30"/>
                <w:szCs w:val="30"/>
              </w:rPr>
              <w:t>，应当</w:t>
            </w:r>
            <w:r>
              <w:rPr>
                <w:rFonts w:ascii="楷体_GB2312" w:eastAsia="楷体_GB2312"/>
                <w:sz w:val="30"/>
                <w:szCs w:val="30"/>
              </w:rPr>
              <w:t>同时援引</w:t>
            </w:r>
            <w:r>
              <w:rPr>
                <w:rFonts w:hint="eastAsia" w:ascii="楷体_GB2312" w:eastAsia="楷体_GB2312"/>
                <w:sz w:val="30"/>
                <w:szCs w:val="30"/>
              </w:rPr>
              <w:t>《条例》第五十五条第二款，以及</w:t>
            </w:r>
            <w:r>
              <w:rPr>
                <w:rFonts w:ascii="楷体_GB2312" w:eastAsia="楷体_GB2312"/>
                <w:sz w:val="30"/>
                <w:szCs w:val="30"/>
              </w:rPr>
              <w:t>《</w:t>
            </w:r>
            <w:r>
              <w:rPr>
                <w:rFonts w:hint="eastAsia" w:ascii="楷体_GB2312" w:eastAsia="楷体_GB2312"/>
                <w:sz w:val="30"/>
                <w:szCs w:val="30"/>
              </w:rPr>
              <w:t>北京市</w:t>
            </w:r>
            <w:r>
              <w:rPr>
                <w:rFonts w:ascii="楷体_GB2312" w:eastAsia="楷体_GB2312"/>
                <w:sz w:val="30"/>
                <w:szCs w:val="30"/>
              </w:rPr>
              <w:t>市容环境卫生条例》</w:t>
            </w:r>
            <w:r>
              <w:rPr>
                <w:rFonts w:hint="eastAsia" w:ascii="楷体_GB2312" w:eastAsia="楷体_GB2312"/>
                <w:sz w:val="30"/>
                <w:szCs w:val="30"/>
              </w:rPr>
              <w:t>第三十</w:t>
            </w:r>
            <w:r>
              <w:rPr>
                <w:rFonts w:ascii="楷体_GB2312" w:eastAsia="楷体_GB2312"/>
                <w:sz w:val="30"/>
                <w:szCs w:val="30"/>
              </w:rPr>
              <w:t>八</w:t>
            </w:r>
            <w:r>
              <w:rPr>
                <w:rFonts w:hint="eastAsia" w:ascii="楷体_GB2312" w:eastAsia="楷体_GB2312"/>
                <w:sz w:val="30"/>
                <w:szCs w:val="30"/>
              </w:rPr>
              <w:t>条第二款规定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未定期对大型（或者距地十米以上的）固定式牌匾标识进行安全鉴定</w:t>
            </w: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违反条款：第四十条第一款第(二)项；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处罚条款：第五十五条第二款，责令限期改正；逾期不改正的，按照违法设置固定式牌匾标识的行为处理，并</w:t>
            </w:r>
            <w:r>
              <w:rPr>
                <w:rFonts w:ascii="仿宋_GB2312" w:eastAsia="仿宋_GB2312"/>
                <w:sz w:val="32"/>
                <w:szCs w:val="32"/>
              </w:rPr>
              <w:t>依据</w:t>
            </w:r>
            <w:r>
              <w:rPr>
                <w:rFonts w:hint="eastAsia" w:ascii="仿宋_GB2312" w:eastAsia="仿宋_GB2312"/>
                <w:sz w:val="32"/>
                <w:szCs w:val="32"/>
              </w:rPr>
              <w:t>《北京市市容环境卫生条例》第四十条第一款，责令限期改正，逾期不改正的，予以强制拆除，并可处500元以上5000元以下罚款。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罚款数额＝500×（1＋区域系数＋情节系数）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20" w:lineRule="exac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实施</w:t>
            </w:r>
            <w:r>
              <w:rPr>
                <w:rFonts w:ascii="楷体_GB2312" w:eastAsia="楷体_GB2312"/>
                <w:sz w:val="32"/>
                <w:szCs w:val="32"/>
              </w:rPr>
              <w:t>处罚援引法律依据时</w:t>
            </w:r>
            <w:r>
              <w:rPr>
                <w:rFonts w:hint="eastAsia" w:ascii="楷体_GB2312" w:eastAsia="楷体_GB2312"/>
                <w:sz w:val="32"/>
                <w:szCs w:val="32"/>
              </w:rPr>
              <w:t>，应当</w:t>
            </w:r>
            <w:r>
              <w:rPr>
                <w:rFonts w:ascii="楷体_GB2312" w:eastAsia="楷体_GB2312"/>
                <w:sz w:val="32"/>
                <w:szCs w:val="32"/>
              </w:rPr>
              <w:t>同时援引</w:t>
            </w:r>
            <w:r>
              <w:rPr>
                <w:rFonts w:hint="eastAsia" w:ascii="楷体_GB2312" w:eastAsia="楷体_GB2312"/>
                <w:sz w:val="32"/>
                <w:szCs w:val="32"/>
              </w:rPr>
              <w:t>《条例》第五十</w:t>
            </w:r>
            <w:r>
              <w:rPr>
                <w:rFonts w:ascii="楷体_GB2312" w:eastAsia="楷体_GB2312"/>
                <w:sz w:val="32"/>
                <w:szCs w:val="32"/>
              </w:rPr>
              <w:t>五</w:t>
            </w:r>
            <w:r>
              <w:rPr>
                <w:rFonts w:hint="eastAsia" w:ascii="楷体_GB2312" w:eastAsia="楷体_GB2312"/>
                <w:sz w:val="32"/>
                <w:szCs w:val="32"/>
              </w:rPr>
              <w:t>条第二款，以及</w:t>
            </w:r>
            <w:r>
              <w:rPr>
                <w:rFonts w:ascii="楷体_GB2312" w:eastAsia="楷体_GB2312"/>
                <w:sz w:val="32"/>
                <w:szCs w:val="32"/>
              </w:rPr>
              <w:t>《</w:t>
            </w:r>
            <w:r>
              <w:rPr>
                <w:rFonts w:hint="eastAsia" w:ascii="楷体_GB2312" w:eastAsia="楷体_GB2312"/>
                <w:sz w:val="32"/>
                <w:szCs w:val="32"/>
              </w:rPr>
              <w:t>北京市</w:t>
            </w:r>
            <w:r>
              <w:rPr>
                <w:rFonts w:ascii="楷体_GB2312" w:eastAsia="楷体_GB2312"/>
                <w:sz w:val="32"/>
                <w:szCs w:val="32"/>
              </w:rPr>
              <w:t>市容环境卫生条例》</w:t>
            </w:r>
            <w:r>
              <w:rPr>
                <w:rFonts w:hint="eastAsia" w:ascii="楷体_GB2312" w:eastAsia="楷体_GB2312"/>
                <w:sz w:val="32"/>
                <w:szCs w:val="32"/>
              </w:rPr>
              <w:t>第四十条第一款规定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所有人未履行日常维护责任</w:t>
            </w:r>
          </w:p>
          <w:p>
            <w:pPr>
              <w:spacing w:line="42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违反条款：第四十一条第(一)项、第（二）项、第(三)项、第(四)项；（根据不同情形选择适用）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处罚条款：第五十五条第一款，责令其履行相关责任，恢复相关设施正常功能，处一千元以上一万元以下罚款。</w:t>
            </w:r>
          </w:p>
          <w:p>
            <w:pPr>
              <w:spacing w:line="52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1000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罚款数额＝1000×（1＋区域系数＋情节系数）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3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2021-08-30T04:21:30Z</dcterms:created>
  <dc:creator>KFC</dc:creator>
  <cp:lastModifiedBy>KFC</cp:lastModifiedBy>
  <dcterms:modified xsi:type="dcterms:W3CDTF">2021-08-30T04:21:47Z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8F9D3CEC85384FEEAC5C9C24289CE5E1</vt:lpwstr>
  </property>
</Properties>
</file>