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北京鑫海盛劳务服务有限公司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91110106MA00BMQ61U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潘**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京东崇文门外街道罚字﹝2026﹞0008号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  <w:t>《北京市绿化条例》第七十条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  <w:t>处以罚款人民币叁拾伍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  <w:t>2026/4/3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CJK TC">
    <w:altName w:val="PMingLiU-ExtB"/>
    <w:panose1 w:val="00000000000000000000"/>
    <w:charset w:val="88"/>
    <w:family w:val="auto"/>
    <w:pitch w:val="default"/>
    <w:sig w:usb0="00000000" w:usb1="00000000" w:usb2="00000016" w:usb3="00000000" w:csb0="603A0107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Unifont">
    <w:altName w:val="宋体"/>
    <w:panose1 w:val="02000604000000000000"/>
    <w:charset w:val="86"/>
    <w:family w:val="auto"/>
    <w:pitch w:val="default"/>
    <w:sig w:usb0="00000000" w:usb1="00000000" w:usb2="E817FFFF" w:usb3="007F001F" w:csb0="603F01FF" w:csb1="FFFF0000"/>
  </w:font>
  <w:font w:name="Unifont CSUR">
    <w:altName w:val="Vijaya"/>
    <w:panose1 w:val="02000604000000000000"/>
    <w:charset w:val="00"/>
    <w:family w:val="auto"/>
    <w:pitch w:val="default"/>
    <w:sig w:usb0="00000000" w:usb1="00000000" w:usb2="04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A2AEE"/>
    <w:rsid w:val="051477EE"/>
    <w:rsid w:val="0F4176E2"/>
    <w:rsid w:val="127B5300"/>
    <w:rsid w:val="1A6A2AEE"/>
    <w:rsid w:val="28990025"/>
    <w:rsid w:val="290267C3"/>
    <w:rsid w:val="2C0F7183"/>
    <w:rsid w:val="2D675562"/>
    <w:rsid w:val="2DD9292C"/>
    <w:rsid w:val="30923519"/>
    <w:rsid w:val="31C37C85"/>
    <w:rsid w:val="3463261A"/>
    <w:rsid w:val="347C26ED"/>
    <w:rsid w:val="35C45FDF"/>
    <w:rsid w:val="3AEB5D4B"/>
    <w:rsid w:val="3B0D676C"/>
    <w:rsid w:val="3C186EF3"/>
    <w:rsid w:val="3F55726B"/>
    <w:rsid w:val="42C27773"/>
    <w:rsid w:val="42FA601F"/>
    <w:rsid w:val="4B8869EF"/>
    <w:rsid w:val="501F0945"/>
    <w:rsid w:val="54DE26A6"/>
    <w:rsid w:val="5A2F56AE"/>
    <w:rsid w:val="5DB70D66"/>
    <w:rsid w:val="688B35DD"/>
    <w:rsid w:val="6A1478E2"/>
    <w:rsid w:val="70B74742"/>
    <w:rsid w:val="74686DAB"/>
    <w:rsid w:val="74BE73FC"/>
    <w:rsid w:val="7669095F"/>
    <w:rsid w:val="774B34D5"/>
    <w:rsid w:val="7A6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2024-12-09T01:35:00Z</dcterms:created>
  <dc:creator>TIANYIBO</dc:creator>
  <cp:lastModifiedBy>zhzfd210715</cp:lastModifiedBy>
  <dcterms:modified xsi:type="dcterms:W3CDTF">2026-04-07T02:50:16Z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