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375" w:lineRule="atLeast"/>
        <w:jc w:val="center"/>
        <w:rPr>
          <w:color w:val="282828"/>
          <w:sz w:val="32"/>
          <w:szCs w:val="32"/>
        </w:rPr>
      </w:pPr>
      <w:r>
        <w:rPr>
          <w:rFonts w:hint="eastAsia"/>
          <w:color w:val="282828"/>
          <w:sz w:val="32"/>
          <w:szCs w:val="32"/>
        </w:rPr>
        <w:t>北京市东城区人民政府</w:t>
      </w:r>
      <w:r>
        <w:rPr>
          <w:rFonts w:hint="eastAsia"/>
          <w:color w:val="282828"/>
          <w:sz w:val="32"/>
          <w:szCs w:val="32"/>
          <w:lang w:eastAsia="zh-CN"/>
        </w:rPr>
        <w:t>崇文门外</w:t>
      </w:r>
      <w:bookmarkStart w:id="0" w:name="_GoBack"/>
      <w:bookmarkEnd w:id="0"/>
      <w:r>
        <w:rPr>
          <w:rFonts w:hint="eastAsia"/>
          <w:color w:val="282828"/>
          <w:sz w:val="32"/>
          <w:szCs w:val="32"/>
        </w:rPr>
        <w:t>街道办事处责任清单</w:t>
      </w:r>
    </w:p>
    <w:p>
      <w:pPr>
        <w:pStyle w:val="4"/>
        <w:widowControl/>
        <w:spacing w:beforeAutospacing="0" w:afterAutospacing="0" w:line="375" w:lineRule="atLeast"/>
        <w:jc w:val="center"/>
        <w:rPr>
          <w:color w:val="282828"/>
          <w:sz w:val="32"/>
          <w:szCs w:val="32"/>
        </w:rPr>
      </w:pPr>
      <w:r>
        <w:rPr>
          <w:rFonts w:hint="eastAsia"/>
          <w:color w:val="282828"/>
          <w:sz w:val="32"/>
          <w:szCs w:val="32"/>
        </w:rPr>
        <w:t>第一部分、通用责任清单</w:t>
      </w:r>
    </w:p>
    <w:tbl>
      <w:tblPr>
        <w:tblStyle w:val="7"/>
        <w:tblW w:w="9381" w:type="dxa"/>
        <w:jc w:val="center"/>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40"/>
        <w:gridCol w:w="24"/>
        <w:gridCol w:w="1341"/>
        <w:gridCol w:w="45"/>
        <w:gridCol w:w="77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0" w:type="dxa"/>
          <w:jc w:val="center"/>
        </w:trPr>
        <w:tc>
          <w:tcPr>
            <w:tcW w:w="9381" w:type="dxa"/>
            <w:gridSpan w:val="5"/>
            <w:tcBorders>
              <w:top w:val="nil"/>
              <w:left w:val="nil"/>
              <w:bottom w:val="nil"/>
              <w:right w:val="nil"/>
            </w:tcBorders>
            <w:shd w:val="clear" w:color="auto" w:fill="auto"/>
            <w:vAlign w:val="center"/>
          </w:tcPr>
          <w:p>
            <w:pPr>
              <w:pStyle w:val="4"/>
              <w:widowControl/>
              <w:spacing w:beforeAutospacing="0" w:afterAutospacing="0" w:line="375" w:lineRule="atLeast"/>
              <w:jc w:val="center"/>
              <w:rPr>
                <w:b/>
              </w:rPr>
            </w:pPr>
            <w:r>
              <w:rPr>
                <w:rFonts w:hint="eastAsia"/>
                <w:b/>
                <w:color w:val="282828"/>
              </w:rPr>
              <w:t>一</w:t>
            </w:r>
            <w:r>
              <w:rPr>
                <w:b/>
                <w:color w:val="282828"/>
              </w:rPr>
              <w:t>、行政处罚类行政职权运行通用责任清单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0" w:type="dxa"/>
          <w:jc w:val="center"/>
        </w:trPr>
        <w:tc>
          <w:tcPr>
            <w:tcW w:w="9381" w:type="dxa"/>
            <w:gridSpan w:val="5"/>
            <w:tcBorders>
              <w:top w:val="nil"/>
              <w:left w:val="nil"/>
              <w:bottom w:val="nil"/>
              <w:right w:val="nil"/>
            </w:tcBorders>
            <w:shd w:val="clear" w:color="auto" w:fill="auto"/>
            <w:vAlign w:val="center"/>
          </w:tcPr>
          <w:p>
            <w:pPr>
              <w:pStyle w:val="4"/>
              <w:widowControl/>
              <w:spacing w:beforeAutospacing="0" w:afterAutospacing="0" w:line="375" w:lineRule="atLeast"/>
              <w:jc w:val="both"/>
              <w:rPr>
                <w:color w:val="282828"/>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序号</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运行环节</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（一）立案</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对符合立案条件的案件及时立案。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2</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（二）调查</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出示执法身份证件，表明执法身份。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3</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应当有2名以上（含2名）行政执法人员共同参加调查取证。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4</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依法调查和保存证据。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5</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left="210" w:hanging="210" w:hangingChars="100"/>
              <w:rPr>
                <w:sz w:val="21"/>
                <w:szCs w:val="21"/>
              </w:rPr>
            </w:pPr>
            <w:r>
              <w:rPr>
                <w:color w:val="282828"/>
                <w:sz w:val="21"/>
                <w:szCs w:val="21"/>
              </w:rPr>
              <w:t>    适用简易程序的，当场制作行政处罚决定书并当场交付，在事后难以执行及特殊情况下应当当场收缴罚款。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6</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适用简易程序的，执法人员当场作出的行政处罚决定应当报所属行政机关备案。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7</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（三）审查</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left="210" w:hanging="210" w:hangingChars="100"/>
              <w:rPr>
                <w:sz w:val="21"/>
                <w:szCs w:val="21"/>
              </w:rPr>
            </w:pPr>
            <w:r>
              <w:rPr>
                <w:color w:val="282828"/>
                <w:sz w:val="21"/>
                <w:szCs w:val="21"/>
              </w:rPr>
              <w:t>    审理案件调查报告，对案件违法事实、证据、调查取证程序、法律适用、处罚种类和幅度、当事人陈述和申辩理由等方面进行审查，提出处理意见（主要证据不足时，以适当的方式补充调查）。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8</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构成犯罪的，移送司法机关依法追究刑事责任。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9</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（四）告知</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left="210" w:hanging="210" w:hangingChars="100"/>
              <w:rPr>
                <w:sz w:val="21"/>
                <w:szCs w:val="21"/>
              </w:rPr>
            </w:pPr>
            <w:r>
              <w:rPr>
                <w:color w:val="282828"/>
                <w:sz w:val="21"/>
                <w:szCs w:val="21"/>
              </w:rPr>
              <w:t>    在作出行政处罚前，应告知当事人作出行政处罚决定的事实、理由及依据，并告知当事人依法享有的权利。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10</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依法告知当事人有举行听证的权利，当事人要求听证的，应当依法组织听证。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11</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（五）决定</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left="210" w:hanging="210" w:hangingChars="100"/>
              <w:rPr>
                <w:sz w:val="21"/>
                <w:szCs w:val="21"/>
              </w:rPr>
            </w:pPr>
            <w:r>
              <w:rPr>
                <w:color w:val="282828"/>
                <w:sz w:val="21"/>
                <w:szCs w:val="21"/>
              </w:rPr>
              <w:t>    充分听取当事人的意见，对当事人提出的事实、理由和证据，应当进行复核；当事人提出的事实、理由或者证据成立的，应当采纳，不得因当事人申辩而加重处罚。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12</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对情节复杂或者重大违法行为给予较重的行政处罚，应当集体讨论决定。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13</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left="210" w:hanging="210" w:hangingChars="100"/>
              <w:rPr>
                <w:sz w:val="21"/>
                <w:szCs w:val="21"/>
              </w:rPr>
            </w:pPr>
            <w:r>
              <w:rPr>
                <w:color w:val="282828"/>
                <w:sz w:val="21"/>
                <w:szCs w:val="21"/>
              </w:rPr>
              <w:t>    依法决定给予行政处罚，制作行政处罚决定书，并在处罚决定书中告知对处罚决定不服的可以依法申请行政复议或者提起行政诉讼。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14</w:t>
            </w:r>
          </w:p>
        </w:tc>
        <w:tc>
          <w:tcPr>
            <w:tcW w:w="1365" w:type="dxa"/>
            <w:gridSpan w:val="2"/>
            <w:vMerge w:val="restart"/>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对当事人的同一个违法行为，不得给予两次以上罚款的行政处罚。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15</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实施行政处罚时，应当责令当事人改正或者限期改正违法行为。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16</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（六）送达</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left="210" w:hanging="210" w:hangingChars="100"/>
              <w:rPr>
                <w:sz w:val="21"/>
                <w:szCs w:val="21"/>
              </w:rPr>
            </w:pPr>
            <w:r>
              <w:rPr>
                <w:color w:val="282828"/>
                <w:sz w:val="21"/>
                <w:szCs w:val="21"/>
              </w:rPr>
              <w:t>    行政处罚决定书应当在宣告后当场交付当事人；当事人不在场的，行政机关应当在7日内依照民事诉讼法的有关规定，将行政处罚决定书送达当事人。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17</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（七）执行</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使用法定部门制发的罚款、没收财物单据进行罚款、没收财物等处罚。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18</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对当事人的同一个违法行为，不得给予两次以上罚款的行政处罚。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19</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实施行政处罚时，应当责令当事人改正或者限期改正违法行为。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81" w:type="dxa"/>
            <w:gridSpan w:val="5"/>
            <w:tcBorders>
              <w:top w:val="nil"/>
              <w:left w:val="nil"/>
              <w:bottom w:val="nil"/>
              <w:right w:val="nil"/>
            </w:tcBorders>
            <w:shd w:val="clear" w:color="auto" w:fill="auto"/>
            <w:vAlign w:val="center"/>
          </w:tcPr>
          <w:p>
            <w:pPr>
              <w:pStyle w:val="4"/>
              <w:widowControl/>
              <w:spacing w:beforeAutospacing="0" w:afterAutospacing="0" w:line="375" w:lineRule="atLeast"/>
              <w:jc w:val="center"/>
              <w:rPr>
                <w:rFonts w:hint="eastAsia"/>
                <w:color w:val="282828"/>
                <w:sz w:val="21"/>
                <w:szCs w:val="21"/>
              </w:rPr>
            </w:pPr>
          </w:p>
          <w:p>
            <w:pPr>
              <w:pStyle w:val="4"/>
              <w:widowControl/>
              <w:spacing w:beforeAutospacing="0" w:afterAutospacing="0" w:line="375" w:lineRule="atLeast"/>
              <w:jc w:val="center"/>
              <w:rPr>
                <w:b/>
              </w:rPr>
            </w:pPr>
            <w:r>
              <w:rPr>
                <w:rFonts w:hint="eastAsia"/>
                <w:b/>
                <w:color w:val="282828"/>
              </w:rPr>
              <w:t>二</w:t>
            </w:r>
            <w:r>
              <w:rPr>
                <w:b/>
                <w:color w:val="282828"/>
              </w:rPr>
              <w:t>、行政确认类行政职权运行通用责任清单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序号</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运行环节</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（一）受理</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对符合确认条件的，当场受理。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2</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left="210" w:hanging="210" w:hangingChars="100"/>
              <w:rPr>
                <w:sz w:val="21"/>
                <w:szCs w:val="21"/>
              </w:rPr>
            </w:pPr>
            <w:r>
              <w:rPr>
                <w:color w:val="282828"/>
                <w:sz w:val="21"/>
                <w:szCs w:val="21"/>
              </w:rPr>
              <w:t>    申请材料不齐全或者不符合法定形式的，应当一次性告知申请人需要补正的全部内容和合理的补正期限。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3</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对不符合受理条件的，应当书面告知办理人不予办理行政确认的理由和依据。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4</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（二）确认</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在法定期限（承诺期限）内完成确认。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5</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严格按照流程图规定进行研究确认，不得提高确认标准、扩大确认范围等。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6</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按照一定的技术规范要求以书面形式作出决定，并发放确认文书。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7</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不符合确认要求的不予确认，并说明理由。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8</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（三）送达</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送达程序参照民事诉讼法有关规定执行。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9</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rStyle w:val="6"/>
                <w:rFonts w:hint="eastAsia"/>
                <w:color w:val="282828"/>
                <w:sz w:val="21"/>
                <w:szCs w:val="21"/>
              </w:rPr>
            </w:pPr>
            <w:r>
              <w:rPr>
                <w:rStyle w:val="6"/>
                <w:color w:val="282828"/>
                <w:sz w:val="21"/>
                <w:szCs w:val="21"/>
              </w:rPr>
              <w:t>（四）事后</w:t>
            </w:r>
          </w:p>
          <w:p>
            <w:pPr>
              <w:pStyle w:val="4"/>
              <w:widowControl/>
              <w:spacing w:beforeAutospacing="0" w:afterAutospacing="0" w:line="375" w:lineRule="atLeast"/>
              <w:jc w:val="center"/>
              <w:rPr>
                <w:sz w:val="21"/>
                <w:szCs w:val="21"/>
              </w:rPr>
            </w:pPr>
            <w:r>
              <w:rPr>
                <w:rStyle w:val="6"/>
                <w:rFonts w:hint="eastAsia"/>
                <w:color w:val="282828"/>
                <w:sz w:val="21"/>
                <w:szCs w:val="21"/>
              </w:rPr>
              <w:t xml:space="preserve">      </w:t>
            </w:r>
            <w:r>
              <w:rPr>
                <w:rStyle w:val="6"/>
                <w:color w:val="282828"/>
                <w:sz w:val="21"/>
                <w:szCs w:val="21"/>
              </w:rPr>
              <w:t>监管</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firstLine="240"/>
              <w:rPr>
                <w:rFonts w:hint="eastAsia"/>
                <w:color w:val="282828"/>
                <w:sz w:val="21"/>
                <w:szCs w:val="21"/>
              </w:rPr>
            </w:pPr>
            <w:r>
              <w:rPr>
                <w:color w:val="282828"/>
                <w:sz w:val="21"/>
                <w:szCs w:val="21"/>
              </w:rPr>
              <w:t>建立健全事后监管制度，依法履行监督责任。</w:t>
            </w:r>
          </w:p>
          <w:p>
            <w:pPr>
              <w:pStyle w:val="4"/>
              <w:widowControl/>
              <w:spacing w:beforeAutospacing="0" w:afterAutospacing="0" w:line="375" w:lineRule="atLeast"/>
              <w:ind w:firstLine="240"/>
              <w:rPr>
                <w:rFonts w:hint="eastAsia"/>
                <w:color w:val="282828"/>
                <w:sz w:val="21"/>
                <w:szCs w:val="21"/>
              </w:rPr>
            </w:pPr>
          </w:p>
          <w:p>
            <w:pPr>
              <w:pStyle w:val="4"/>
              <w:widowControl/>
              <w:spacing w:beforeAutospacing="0" w:afterAutospacing="0" w:line="375" w:lineRule="atLeast"/>
              <w:ind w:firstLine="240"/>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81" w:type="dxa"/>
            <w:gridSpan w:val="5"/>
            <w:tcBorders>
              <w:top w:val="nil"/>
              <w:left w:val="nil"/>
              <w:bottom w:val="nil"/>
              <w:right w:val="nil"/>
            </w:tcBorders>
            <w:shd w:val="clear" w:color="auto" w:fill="auto"/>
            <w:vAlign w:val="center"/>
          </w:tcPr>
          <w:p>
            <w:pPr>
              <w:pStyle w:val="4"/>
              <w:widowControl/>
              <w:spacing w:beforeAutospacing="0" w:afterAutospacing="0" w:line="375" w:lineRule="atLeast"/>
              <w:jc w:val="center"/>
              <w:rPr>
                <w:b/>
              </w:rPr>
            </w:pPr>
            <w:r>
              <w:rPr>
                <w:rFonts w:hint="eastAsia"/>
                <w:b/>
                <w:color w:val="282828"/>
              </w:rPr>
              <w:t>三</w:t>
            </w:r>
            <w:r>
              <w:rPr>
                <w:b/>
                <w:color w:val="282828"/>
              </w:rPr>
              <w:t>、行政强制类（行政强制措施）行政职权运行</w:t>
            </w:r>
            <w:r>
              <w:rPr>
                <w:b/>
                <w:color w:val="282828"/>
              </w:rPr>
              <w:br w:type="textWrapping"/>
            </w:r>
            <w:r>
              <w:rPr>
                <w:b/>
                <w:color w:val="282828"/>
              </w:rPr>
              <w:t>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序号</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运行环节</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（一）决定</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实施前应当先报告，经批准后作出实施行政强制措施的决定。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2</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批准实施行政强制措施应当符合法定条件。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3</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（二）执行</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由2名以上具备资格的行政执法人员实施，其他人员不得实施。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4</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行政执法人员应当现场出示执法身份证件。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5</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left="210" w:hanging="210" w:hangingChars="100"/>
              <w:rPr>
                <w:sz w:val="21"/>
                <w:szCs w:val="21"/>
              </w:rPr>
            </w:pPr>
            <w:r>
              <w:rPr>
                <w:color w:val="282828"/>
                <w:sz w:val="21"/>
                <w:szCs w:val="21"/>
              </w:rPr>
              <w:t>    实施行政强制措施时应当通知当事人到场，并告知当事人采取行政强制措施的理由、依据以及当事人依法享有的权利、救济途径。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6</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left="210" w:hanging="210" w:hangingChars="100"/>
              <w:rPr>
                <w:sz w:val="21"/>
                <w:szCs w:val="21"/>
              </w:rPr>
            </w:pPr>
            <w:r>
              <w:rPr>
                <w:color w:val="282828"/>
                <w:sz w:val="21"/>
                <w:szCs w:val="21"/>
              </w:rPr>
              <w:t>    充分听取当事人的意见，对当事人提出的事实、理由和证据，应当进行复核，当事人提出的事实、理由或者证据成立的，应当采纳。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7</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left="210" w:hanging="210" w:hangingChars="100"/>
              <w:rPr>
                <w:sz w:val="21"/>
                <w:szCs w:val="21"/>
              </w:rPr>
            </w:pPr>
            <w:r>
              <w:rPr>
                <w:color w:val="282828"/>
                <w:sz w:val="21"/>
                <w:szCs w:val="21"/>
              </w:rPr>
              <w:t>    制作现场笔录，现场笔录由当事人和行政执法人员签名或者盖章，当事人拒绝的，在笔录中予以注明。当事人不到场的，邀请见证人到场，由见证人和行政执法人员在现场笔录上签名或者盖章。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8</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left="210" w:hanging="210" w:hangingChars="100"/>
              <w:rPr>
                <w:sz w:val="21"/>
                <w:szCs w:val="21"/>
              </w:rPr>
            </w:pPr>
            <w:r>
              <w:rPr>
                <w:color w:val="282828"/>
                <w:sz w:val="21"/>
                <w:szCs w:val="21"/>
              </w:rPr>
              <w:t>    实施限制公民人身自由的行政强制措施，应当场告知或者实施行政强制措施后立即通知当事人家属实施行政强制措施的行政机关、地点和期限。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9</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对依法应当没收或法律、行政法规规定应当销毁的，应当依法予以没收或销毁。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10</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left="210" w:hanging="210" w:hangingChars="100"/>
              <w:rPr>
                <w:sz w:val="21"/>
                <w:szCs w:val="21"/>
              </w:rPr>
            </w:pPr>
            <w:r>
              <w:rPr>
                <w:color w:val="282828"/>
                <w:sz w:val="21"/>
                <w:szCs w:val="21"/>
              </w:rPr>
              <w:t>    情况紧急，需要当场实施行政强制措施的，行政执法人员应当在24小时内向行政机关负责人报告，并补办批准手续。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11</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（三）解除</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对符合解除行政强制措施条件的，应当依法解除行政强制措施。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12</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对构成犯罪的，依法、及时移送司法机关。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13</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rStyle w:val="6"/>
                <w:rFonts w:hint="eastAsia"/>
                <w:color w:val="282828"/>
                <w:sz w:val="21"/>
                <w:szCs w:val="21"/>
              </w:rPr>
            </w:pPr>
            <w:r>
              <w:rPr>
                <w:rStyle w:val="6"/>
                <w:color w:val="282828"/>
                <w:sz w:val="21"/>
                <w:szCs w:val="21"/>
              </w:rPr>
              <w:t>（四）事后</w:t>
            </w:r>
          </w:p>
          <w:p>
            <w:pPr>
              <w:pStyle w:val="4"/>
              <w:widowControl/>
              <w:spacing w:beforeAutospacing="0" w:afterAutospacing="0" w:line="375" w:lineRule="atLeast"/>
              <w:jc w:val="center"/>
              <w:rPr>
                <w:sz w:val="21"/>
                <w:szCs w:val="21"/>
              </w:rPr>
            </w:pPr>
            <w:r>
              <w:rPr>
                <w:rStyle w:val="6"/>
                <w:rFonts w:hint="eastAsia"/>
                <w:color w:val="282828"/>
                <w:sz w:val="21"/>
                <w:szCs w:val="21"/>
              </w:rPr>
              <w:t xml:space="preserve">      </w:t>
            </w:r>
            <w:r>
              <w:rPr>
                <w:rStyle w:val="6"/>
                <w:color w:val="282828"/>
                <w:sz w:val="21"/>
                <w:szCs w:val="21"/>
              </w:rPr>
              <w:t>监管</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建立健全事后监管制度，依法履行监督责任。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81" w:type="dxa"/>
            <w:gridSpan w:val="5"/>
            <w:tcBorders>
              <w:top w:val="nil"/>
              <w:left w:val="nil"/>
              <w:bottom w:val="nil"/>
              <w:right w:val="nil"/>
            </w:tcBorders>
            <w:shd w:val="clear" w:color="auto" w:fill="auto"/>
            <w:vAlign w:val="center"/>
          </w:tcPr>
          <w:p>
            <w:pPr>
              <w:pStyle w:val="4"/>
              <w:widowControl/>
              <w:spacing w:beforeAutospacing="0" w:afterAutospacing="0" w:line="375" w:lineRule="atLeast"/>
              <w:jc w:val="center"/>
              <w:rPr>
                <w:b/>
              </w:rPr>
            </w:pPr>
            <w:r>
              <w:rPr>
                <w:rFonts w:hint="eastAsia"/>
                <w:b/>
                <w:color w:val="282828"/>
              </w:rPr>
              <w:t>四</w:t>
            </w:r>
            <w:r>
              <w:rPr>
                <w:b/>
                <w:color w:val="282828"/>
              </w:rPr>
              <w:t>、行政强制类（行政强制执行）行政职权运行</w:t>
            </w:r>
            <w:r>
              <w:rPr>
                <w:b/>
                <w:color w:val="282828"/>
              </w:rPr>
              <w:br w:type="textWrapping"/>
            </w:r>
            <w:r>
              <w:rPr>
                <w:b/>
                <w:color w:val="282828"/>
              </w:rPr>
              <w:t>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序号</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运行环节</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（一）催告</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行政机关作出强制执行决定前，应当事先书面催告当事人履行义务。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2</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催告书应当直接送达当事人。当事人拒绝接收或者无法直接送达当事人的，依照民事诉讼法的有关规定送达。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3</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催告期间，对有证据证明有转移或者隐匿财物迹象的，可以作出立即强制执行决定。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4</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（二）决定</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充分听取当事人的意见，对当事人提出的事实、理由和证据，应当进行记录、复核。当事人提出的事实、理由或者证据成立的，应当采纳。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5</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经催告，当事人逾期仍不履行行政决定，且无正当理由的，应当作出书面强制执行决定。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6</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行政强制执行决定书催告书应当直接送达当事人。当事人拒绝接收或者无法直接送达当事人的，依照民事诉讼法的有关规定送达。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7</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（三）执行</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依法实施行政强制执行。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8</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不得在夜间或者法定节假日实施行政强制执行，情况紧急的除外；不得对居民生活采取停止供水、供电、供热、供燃气等方式迫使当事人履行相关行政决定。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9</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对违法的建筑物、构筑物、设施等需要强制拆除的，应当予以公告，限期当事人自行拆除。当事人在法定期限内不申请行政复议或者提起行政诉讼，又不拆除的，可依法强制拆除。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10</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划拨的存款、汇款以及拍卖和依法处理所得的款项应当上缴国库或者划入财政专户，不得以任何形式截留、私分或者变相私分。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11</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（四）事后监管</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firstLine="240"/>
              <w:rPr>
                <w:rFonts w:hint="eastAsia"/>
                <w:color w:val="282828"/>
                <w:sz w:val="21"/>
                <w:szCs w:val="21"/>
              </w:rPr>
            </w:pPr>
            <w:r>
              <w:rPr>
                <w:color w:val="282828"/>
                <w:sz w:val="21"/>
                <w:szCs w:val="21"/>
              </w:rPr>
              <w:t>建立健全事后监管制度，依法履行监督责任。</w:t>
            </w:r>
          </w:p>
          <w:p>
            <w:pPr>
              <w:pStyle w:val="4"/>
              <w:widowControl/>
              <w:spacing w:beforeAutospacing="0" w:afterAutospacing="0" w:line="375" w:lineRule="atLeast"/>
              <w:ind w:firstLine="240"/>
              <w:rPr>
                <w:rFonts w:hint="eastAsia"/>
                <w:color w:val="282828"/>
                <w:sz w:val="21"/>
                <w:szCs w:val="21"/>
              </w:rPr>
            </w:pPr>
          </w:p>
          <w:p>
            <w:pPr>
              <w:pStyle w:val="4"/>
              <w:widowControl/>
              <w:spacing w:beforeAutospacing="0" w:afterAutospacing="0" w:line="375" w:lineRule="atLeast"/>
              <w:ind w:firstLine="240"/>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81" w:type="dxa"/>
            <w:gridSpan w:val="5"/>
            <w:tcBorders>
              <w:top w:val="nil"/>
              <w:left w:val="nil"/>
              <w:bottom w:val="nil"/>
              <w:right w:val="nil"/>
            </w:tcBorders>
            <w:shd w:val="clear" w:color="auto" w:fill="auto"/>
            <w:vAlign w:val="center"/>
          </w:tcPr>
          <w:p>
            <w:pPr>
              <w:pStyle w:val="4"/>
              <w:widowControl/>
              <w:spacing w:beforeAutospacing="0" w:afterAutospacing="0" w:line="375" w:lineRule="atLeast"/>
              <w:jc w:val="center"/>
              <w:rPr>
                <w:b/>
              </w:rPr>
            </w:pPr>
            <w:r>
              <w:rPr>
                <w:rFonts w:hint="eastAsia"/>
                <w:b/>
                <w:color w:val="282828"/>
              </w:rPr>
              <w:t>五</w:t>
            </w:r>
            <w:r>
              <w:rPr>
                <w:b/>
                <w:color w:val="282828"/>
              </w:rPr>
              <w:t>、行政征收类（税费类）行政职权运行通用责任清单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序号</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运行环节</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（一）受理</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一次性告知申报人需提交的申报材料及办理流程。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2</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（二）</w:t>
            </w:r>
            <w:r>
              <w:rPr>
                <w:rStyle w:val="6"/>
                <w:color w:val="282828"/>
                <w:sz w:val="21"/>
                <w:szCs w:val="21"/>
              </w:rPr>
              <w:t>审核</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对申报材料依法及时进行审核。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3</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（三）决定</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依法出具纳税或缴费凭证。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4</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当事人缴纳超过应缴纳的税费，应当退还。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5</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不得截留、私分或擅自开支征收款。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6</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（四）事后监管</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firstLine="240"/>
              <w:rPr>
                <w:rFonts w:hint="eastAsia"/>
                <w:color w:val="282828"/>
                <w:sz w:val="21"/>
                <w:szCs w:val="21"/>
              </w:rPr>
            </w:pPr>
            <w:r>
              <w:rPr>
                <w:color w:val="282828"/>
                <w:sz w:val="21"/>
                <w:szCs w:val="21"/>
              </w:rPr>
              <w:t>开展检查，及时稽查，加强日常监管。</w:t>
            </w:r>
          </w:p>
          <w:p>
            <w:pPr>
              <w:pStyle w:val="4"/>
              <w:widowControl/>
              <w:spacing w:beforeAutospacing="0" w:afterAutospacing="0" w:line="375" w:lineRule="atLeast"/>
              <w:ind w:firstLine="240"/>
              <w:rPr>
                <w:rFonts w:hint="eastAsia"/>
                <w:color w:val="282828"/>
                <w:sz w:val="21"/>
                <w:szCs w:val="21"/>
              </w:rPr>
            </w:pPr>
          </w:p>
          <w:p>
            <w:pPr>
              <w:pStyle w:val="4"/>
              <w:widowControl/>
              <w:spacing w:beforeAutospacing="0" w:afterAutospacing="0" w:line="375" w:lineRule="atLeast"/>
              <w:ind w:firstLine="240"/>
              <w:rPr>
                <w:rFonts w:hint="eastAsia"/>
                <w:color w:val="282828"/>
                <w:sz w:val="21"/>
                <w:szCs w:val="21"/>
              </w:rPr>
            </w:pPr>
          </w:p>
          <w:p>
            <w:pPr>
              <w:pStyle w:val="4"/>
              <w:widowControl/>
              <w:spacing w:beforeAutospacing="0" w:afterAutospacing="0" w:line="375" w:lineRule="atLeast"/>
              <w:ind w:firstLine="240"/>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81" w:type="dxa"/>
            <w:gridSpan w:val="5"/>
            <w:tcBorders>
              <w:top w:val="nil"/>
              <w:left w:val="nil"/>
              <w:bottom w:val="nil"/>
              <w:right w:val="nil"/>
            </w:tcBorders>
            <w:shd w:val="clear" w:color="auto" w:fill="auto"/>
            <w:vAlign w:val="center"/>
          </w:tcPr>
          <w:p>
            <w:pPr>
              <w:pStyle w:val="4"/>
              <w:widowControl/>
              <w:spacing w:beforeAutospacing="0" w:afterAutospacing="0" w:line="375" w:lineRule="atLeast"/>
              <w:jc w:val="center"/>
              <w:rPr>
                <w:b/>
              </w:rPr>
            </w:pPr>
            <w:r>
              <w:rPr>
                <w:rFonts w:hint="eastAsia"/>
                <w:b/>
                <w:color w:val="282828"/>
              </w:rPr>
              <w:t>六</w:t>
            </w:r>
            <w:r>
              <w:rPr>
                <w:b/>
                <w:color w:val="282828"/>
              </w:rPr>
              <w:t>、行政征收类（实物类）行政职权运行通用责任清单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序号</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运行环节</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（一）制定方案</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拟定征收补偿方案。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2</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（二）决定</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应当在社会稳定风险评估基础上作出征收决定。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3</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应当及时公告征收决定。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4</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（三）实施</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依据征收决定进行征收。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5</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根据补偿安置方案进行补偿、安置。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6</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（四）事后监管</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应当依法建立征收补偿档案。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7</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firstLine="240"/>
              <w:rPr>
                <w:rFonts w:hint="eastAsia"/>
                <w:color w:val="282828"/>
                <w:sz w:val="21"/>
                <w:szCs w:val="21"/>
              </w:rPr>
            </w:pPr>
            <w:r>
              <w:rPr>
                <w:color w:val="282828"/>
                <w:sz w:val="21"/>
                <w:szCs w:val="21"/>
              </w:rPr>
              <w:t>对征收补偿费用管理和使用情况进行监督。</w:t>
            </w:r>
          </w:p>
          <w:p>
            <w:pPr>
              <w:pStyle w:val="4"/>
              <w:widowControl/>
              <w:spacing w:beforeAutospacing="0" w:afterAutospacing="0" w:line="375" w:lineRule="atLeast"/>
              <w:ind w:firstLine="240"/>
              <w:rPr>
                <w:rFonts w:hint="eastAsia"/>
                <w:color w:val="282828"/>
                <w:sz w:val="21"/>
                <w:szCs w:val="21"/>
              </w:rPr>
            </w:pPr>
          </w:p>
          <w:p>
            <w:pPr>
              <w:pStyle w:val="4"/>
              <w:widowControl/>
              <w:spacing w:beforeAutospacing="0" w:afterAutospacing="0" w:line="375" w:lineRule="atLeast"/>
              <w:ind w:firstLine="240"/>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81" w:type="dxa"/>
            <w:gridSpan w:val="5"/>
            <w:tcBorders>
              <w:top w:val="nil"/>
              <w:left w:val="nil"/>
              <w:bottom w:val="nil"/>
              <w:right w:val="nil"/>
            </w:tcBorders>
            <w:shd w:val="clear" w:color="auto" w:fill="auto"/>
            <w:vAlign w:val="center"/>
          </w:tcPr>
          <w:p>
            <w:pPr>
              <w:pStyle w:val="4"/>
              <w:widowControl/>
              <w:spacing w:beforeAutospacing="0" w:afterAutospacing="0" w:line="375" w:lineRule="atLeast"/>
              <w:jc w:val="center"/>
              <w:rPr>
                <w:b/>
              </w:rPr>
            </w:pPr>
            <w:r>
              <w:rPr>
                <w:rFonts w:hint="eastAsia"/>
                <w:b/>
                <w:color w:val="282828"/>
              </w:rPr>
              <w:t>七</w:t>
            </w:r>
            <w:r>
              <w:rPr>
                <w:b/>
                <w:color w:val="282828"/>
              </w:rPr>
              <w:t>、行政裁决类行政职权运行通用责任清单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序号</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运行环节</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（一）受理</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对符合受理条件的，应当制作受理通知书，并送达申请人。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2</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申请材料不齐全或者不符合法定形式的，应当一次性告知申请人需要补正的全部内容和合理的补正期限。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3</w:t>
            </w:r>
          </w:p>
        </w:tc>
        <w:tc>
          <w:tcPr>
            <w:tcW w:w="1365" w:type="dxa"/>
            <w:gridSpan w:val="2"/>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对不符合受理条件的，应当书面告知申请人不予受理的理由和依据。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4</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（二）审理</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在法定期限内进行审理。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5</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通知争议申请人及对方当事人，并要求对方当事人在规定的期限内提交相关材料。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6</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对争议的事实、证据材料进行审查，针对疑问情况或经当事人请求，举行公开听证，由当事人双方当面陈述案情，进行辩论、举证、质证，以查明案情。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7</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审理时对确有必要的应当进行实地调查。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8</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（三）裁决</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根据事实和法律、法规作出裁决，制作并向双方当事人送达裁决书。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9</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（四）执行</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firstLine="240"/>
              <w:rPr>
                <w:rFonts w:hint="eastAsia"/>
                <w:color w:val="282828"/>
                <w:sz w:val="21"/>
                <w:szCs w:val="21"/>
              </w:rPr>
            </w:pPr>
            <w:r>
              <w:rPr>
                <w:color w:val="282828"/>
                <w:sz w:val="21"/>
                <w:szCs w:val="21"/>
              </w:rPr>
              <w:t>裁决生效后，争议当事人应当自觉履行。</w:t>
            </w:r>
          </w:p>
          <w:p>
            <w:pPr>
              <w:pStyle w:val="4"/>
              <w:widowControl/>
              <w:spacing w:beforeAutospacing="0" w:afterAutospacing="0" w:line="375" w:lineRule="atLeast"/>
              <w:ind w:firstLine="240"/>
              <w:rPr>
                <w:rFonts w:hint="eastAsia"/>
                <w:sz w:val="21"/>
                <w:szCs w:val="21"/>
              </w:rPr>
            </w:pPr>
          </w:p>
          <w:p>
            <w:pPr>
              <w:pStyle w:val="4"/>
              <w:widowControl/>
              <w:spacing w:beforeAutospacing="0" w:afterAutospacing="0" w:line="375" w:lineRule="atLeast"/>
              <w:ind w:firstLine="240"/>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81" w:type="dxa"/>
            <w:gridSpan w:val="5"/>
            <w:tcBorders>
              <w:top w:val="nil"/>
              <w:left w:val="nil"/>
              <w:bottom w:val="nil"/>
              <w:right w:val="nil"/>
            </w:tcBorders>
            <w:shd w:val="clear" w:color="auto" w:fill="auto"/>
            <w:vAlign w:val="center"/>
          </w:tcPr>
          <w:p>
            <w:pPr>
              <w:pStyle w:val="4"/>
              <w:widowControl/>
              <w:spacing w:beforeAutospacing="0" w:afterAutospacing="0" w:line="375" w:lineRule="atLeast"/>
              <w:jc w:val="center"/>
              <w:rPr>
                <w:b/>
              </w:rPr>
            </w:pPr>
            <w:r>
              <w:rPr>
                <w:rFonts w:hint="eastAsia"/>
                <w:b/>
                <w:color w:val="282828"/>
              </w:rPr>
              <w:t>八</w:t>
            </w:r>
            <w:r>
              <w:rPr>
                <w:b/>
                <w:color w:val="282828"/>
              </w:rPr>
              <w:t>、行政给付行政职权运行通用责任清单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序号</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运行环节</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（一）受理</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对符合受理条件的，应当受理，并制作受理通知书；对不符合受理条件的不予受理，并书面告知申请人不予受理的理由和依据。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2</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申请材料不齐全或者不符合法定形式的，应当一次性告知申请人需要补正的全部内容和合理的补正期限。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3</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（二）审查</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在法定期限（承诺期限）内完成审查。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4</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（三）决定</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对于符合条件的，作出给于给付的决定，明确给付标准以及后续办事事宜，并通知申请人前来领取。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5</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对不符合给付条件的，书面告知申请人不予给付的理由和依据。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6</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（四）给付</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按照规定标准予以给付。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7</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（五）事后监管</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firstLine="240"/>
              <w:rPr>
                <w:rFonts w:hint="eastAsia"/>
                <w:color w:val="282828"/>
                <w:sz w:val="21"/>
                <w:szCs w:val="21"/>
              </w:rPr>
            </w:pPr>
            <w:r>
              <w:rPr>
                <w:color w:val="282828"/>
                <w:sz w:val="21"/>
                <w:szCs w:val="21"/>
              </w:rPr>
              <w:t>开展检查，加强日常监管。</w:t>
            </w:r>
          </w:p>
          <w:p>
            <w:pPr>
              <w:pStyle w:val="4"/>
              <w:widowControl/>
              <w:spacing w:beforeAutospacing="0" w:afterAutospacing="0" w:line="375" w:lineRule="atLeast"/>
              <w:ind w:firstLine="240"/>
              <w:rPr>
                <w:rFonts w:hint="eastAsia"/>
                <w:color w:val="282828"/>
                <w:sz w:val="21"/>
                <w:szCs w:val="21"/>
              </w:rPr>
            </w:pPr>
          </w:p>
          <w:p>
            <w:pPr>
              <w:pStyle w:val="4"/>
              <w:widowControl/>
              <w:spacing w:beforeAutospacing="0" w:afterAutospacing="0" w:line="375" w:lineRule="atLeast"/>
              <w:ind w:firstLine="240"/>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81" w:type="dxa"/>
            <w:gridSpan w:val="5"/>
            <w:tcBorders>
              <w:top w:val="nil"/>
              <w:left w:val="nil"/>
              <w:bottom w:val="nil"/>
              <w:right w:val="nil"/>
            </w:tcBorders>
            <w:shd w:val="clear" w:color="auto" w:fill="auto"/>
            <w:vAlign w:val="center"/>
          </w:tcPr>
          <w:p>
            <w:pPr>
              <w:pStyle w:val="4"/>
              <w:widowControl/>
              <w:spacing w:beforeAutospacing="0" w:afterAutospacing="0" w:line="375" w:lineRule="atLeast"/>
              <w:jc w:val="center"/>
              <w:rPr>
                <w:b/>
              </w:rPr>
            </w:pPr>
            <w:r>
              <w:rPr>
                <w:rFonts w:hint="eastAsia"/>
                <w:b/>
                <w:color w:val="282828"/>
              </w:rPr>
              <w:t>九</w:t>
            </w:r>
            <w:r>
              <w:rPr>
                <w:b/>
                <w:color w:val="282828"/>
              </w:rPr>
              <w:t>、行政奖励类行政职权运行通用责任清单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序号</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运行环节</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（一）制定方案</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依法科学制定奖励方案，明确奖励条件、程序等内容。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2</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（二）审核公示</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对符合条件的推荐对象进行审核审定，并进行公示。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3</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依法、及时调查核实举报投诉涉及问题。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4</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（三）实施奖励</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依法、及时按程序报批决定奖励的等级和金额。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5</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firstLine="240"/>
              <w:rPr>
                <w:rFonts w:hint="eastAsia"/>
                <w:color w:val="282828"/>
                <w:sz w:val="21"/>
                <w:szCs w:val="21"/>
              </w:rPr>
            </w:pPr>
            <w:r>
              <w:rPr>
                <w:color w:val="282828"/>
                <w:sz w:val="21"/>
                <w:szCs w:val="21"/>
              </w:rPr>
              <w:t>及时通知当事人领取奖励。</w:t>
            </w:r>
          </w:p>
          <w:p>
            <w:pPr>
              <w:pStyle w:val="4"/>
              <w:widowControl/>
              <w:spacing w:beforeAutospacing="0" w:afterAutospacing="0" w:line="375" w:lineRule="atLeast"/>
              <w:ind w:firstLine="240"/>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81" w:type="dxa"/>
            <w:gridSpan w:val="5"/>
            <w:tcBorders>
              <w:top w:val="nil"/>
              <w:left w:val="nil"/>
              <w:bottom w:val="nil"/>
              <w:right w:val="nil"/>
            </w:tcBorders>
            <w:shd w:val="clear" w:color="auto" w:fill="auto"/>
            <w:vAlign w:val="center"/>
          </w:tcPr>
          <w:p>
            <w:pPr>
              <w:pStyle w:val="4"/>
              <w:widowControl/>
              <w:spacing w:beforeAutospacing="0" w:afterAutospacing="0" w:line="375" w:lineRule="atLeast"/>
              <w:jc w:val="center"/>
              <w:rPr>
                <w:b/>
              </w:rPr>
            </w:pPr>
            <w:r>
              <w:rPr>
                <w:b/>
                <w:color w:val="282828"/>
              </w:rPr>
              <w:t>十、行政检查类行政职权运行通用责任清单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序号</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运行环节</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（一）制定方案</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实施检查前应当依法制定含有正当理由、事项和内容的检查方案。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2</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同一行政机关的多个内设机构和下属机构对同一当事人不同事项的行政检查，能够合并检查的应当合并检查。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3</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上下级行政机关应当按照级别管辖和地域管辖相结合的原则合理划分检查范围，避免重复检查。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gridBefore w:val="2"/>
          <w:wBefore w:w="264" w:type="dxa"/>
          <w:tblCellSpacing w:w="0" w:type="dxa"/>
          <w:jc w:val="center"/>
        </w:trPr>
        <w:tc>
          <w:tcPr>
            <w:tcW w:w="1386"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（二）实施检查</w:t>
            </w:r>
          </w:p>
        </w:tc>
        <w:tc>
          <w:tcPr>
            <w:tcW w:w="7731" w:type="dxa"/>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依照检查方案规定的时限、范围开展检查。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gridBefore w:val="2"/>
          <w:wBefore w:w="264" w:type="dxa"/>
          <w:tblCellSpacing w:w="0" w:type="dxa"/>
          <w:jc w:val="center"/>
        </w:trPr>
        <w:tc>
          <w:tcPr>
            <w:tcW w:w="1386"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31" w:type="dxa"/>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实施检查时应当出示执法身份证件、检查方案。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gridBefore w:val="2"/>
          <w:wBefore w:w="264" w:type="dxa"/>
          <w:tblCellSpacing w:w="0" w:type="dxa"/>
          <w:jc w:val="center"/>
        </w:trPr>
        <w:tc>
          <w:tcPr>
            <w:tcW w:w="1386"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31" w:type="dxa"/>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依法查阅资料、查看现场、听取当事人陈述申辩并取证。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gridBefore w:val="2"/>
          <w:wBefore w:w="264" w:type="dxa"/>
          <w:tblCellSpacing w:w="0" w:type="dxa"/>
          <w:jc w:val="center"/>
        </w:trPr>
        <w:tc>
          <w:tcPr>
            <w:tcW w:w="1386"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31" w:type="dxa"/>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实施检查应当不影响当事人的正常生产经营活动与生活。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gridBefore w:val="2"/>
          <w:wBefore w:w="264" w:type="dxa"/>
          <w:tblCellSpacing w:w="0" w:type="dxa"/>
          <w:jc w:val="center"/>
        </w:trPr>
        <w:tc>
          <w:tcPr>
            <w:tcW w:w="1386"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31" w:type="dxa"/>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依法告知当事人检查中发现的违法行为及处理意见，对不服处理意见的，可以依法申请行政复议或提起行政诉讼。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gridBefore w:val="2"/>
          <w:wBefore w:w="264" w:type="dxa"/>
          <w:tblCellSpacing w:w="0" w:type="dxa"/>
          <w:jc w:val="center"/>
        </w:trPr>
        <w:tc>
          <w:tcPr>
            <w:tcW w:w="1386"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31" w:type="dxa"/>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对检查中发现的违法行为应当予以制止和纠正。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gridBefore w:val="2"/>
          <w:wBefore w:w="264" w:type="dxa"/>
          <w:tblCellSpacing w:w="0" w:type="dxa"/>
          <w:jc w:val="center"/>
        </w:trPr>
        <w:tc>
          <w:tcPr>
            <w:tcW w:w="1386"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31" w:type="dxa"/>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实施行政检查中不得乱收费、乱罚款、乱摊派，严禁吃、拿、卡、要。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gridBefore w:val="2"/>
          <w:wBefore w:w="264" w:type="dxa"/>
          <w:tblCellSpacing w:w="0" w:type="dxa"/>
          <w:jc w:val="center"/>
        </w:trPr>
        <w:tc>
          <w:tcPr>
            <w:tcW w:w="1386"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31" w:type="dxa"/>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不得放弃、推诿、拖延、拒绝履行检查职责。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gridBefore w:val="2"/>
          <w:wBefore w:w="264" w:type="dxa"/>
          <w:tblCellSpacing w:w="0" w:type="dxa"/>
          <w:jc w:val="center"/>
        </w:trPr>
        <w:tc>
          <w:tcPr>
            <w:tcW w:w="1386"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（三）事后监管</w:t>
            </w:r>
          </w:p>
        </w:tc>
        <w:tc>
          <w:tcPr>
            <w:tcW w:w="7731" w:type="dxa"/>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对检查情况进行汇总、分类、归档备查，并跟踪监测。</w:t>
            </w:r>
          </w:p>
        </w:tc>
      </w:tr>
    </w:tbl>
    <w:p>
      <w:pPr>
        <w:jc w:val="center"/>
        <w:rPr>
          <w:color w:val="282828"/>
          <w:kern w:val="0"/>
          <w:sz w:val="32"/>
          <w:szCs w:val="32"/>
        </w:rPr>
      </w:pPr>
    </w:p>
    <w:p>
      <w:pPr>
        <w:numPr>
          <w:ilvl w:val="0"/>
          <w:numId w:val="1"/>
        </w:numPr>
        <w:jc w:val="center"/>
        <w:rPr>
          <w:color w:val="282828"/>
          <w:kern w:val="0"/>
          <w:sz w:val="32"/>
          <w:szCs w:val="32"/>
        </w:rPr>
      </w:pPr>
      <w:r>
        <w:rPr>
          <w:rFonts w:hint="eastAsia"/>
          <w:color w:val="282828"/>
          <w:kern w:val="0"/>
          <w:sz w:val="32"/>
          <w:szCs w:val="32"/>
        </w:rPr>
        <w:t>专项责任清单</w:t>
      </w:r>
    </w:p>
    <w:p>
      <w:pPr>
        <w:spacing w:line="520" w:lineRule="exact"/>
        <w:rPr>
          <w:rFonts w:asciiTheme="minorEastAsia" w:hAnsiTheme="minorEastAsia"/>
          <w:b/>
          <w:bCs/>
          <w:color w:val="282828"/>
          <w:kern w:val="0"/>
          <w:sz w:val="24"/>
        </w:rPr>
      </w:pPr>
      <w:r>
        <w:rPr>
          <w:rFonts w:hint="eastAsia" w:asciiTheme="minorEastAsia" w:hAnsiTheme="minorEastAsia"/>
          <w:b/>
          <w:bCs/>
          <w:color w:val="282828"/>
          <w:kern w:val="0"/>
          <w:sz w:val="24"/>
        </w:rPr>
        <w:t>一、东城区突发事件应急救助专项责任清单</w:t>
      </w:r>
    </w:p>
    <w:p>
      <w:pPr>
        <w:pStyle w:val="4"/>
        <w:widowControl/>
        <w:spacing w:beforeAutospacing="0" w:afterAutospacing="0" w:line="520" w:lineRule="exact"/>
        <w:ind w:firstLine="640"/>
        <w:rPr>
          <w:rFonts w:cs="Arial" w:asciiTheme="minorEastAsia" w:hAnsiTheme="minorEastAsia"/>
          <w:color w:val="282828"/>
        </w:rPr>
      </w:pPr>
      <w:r>
        <w:rPr>
          <w:rFonts w:cs="仿宋_GB2312" w:asciiTheme="minorEastAsia" w:hAnsiTheme="minorEastAsia"/>
          <w:color w:val="282828"/>
        </w:rPr>
        <w:t>（一）负责建立街道、地区级突发事件应急救助综合协调机构和工作体系。</w:t>
      </w:r>
    </w:p>
    <w:p>
      <w:pPr>
        <w:pStyle w:val="4"/>
        <w:widowControl/>
        <w:spacing w:beforeAutospacing="0" w:afterAutospacing="0" w:line="520" w:lineRule="exact"/>
        <w:ind w:firstLine="640"/>
        <w:rPr>
          <w:rFonts w:cs="Arial" w:asciiTheme="minorEastAsia" w:hAnsiTheme="minorEastAsia"/>
          <w:color w:val="282828"/>
        </w:rPr>
      </w:pPr>
      <w:r>
        <w:rPr>
          <w:rFonts w:cs="仿宋_GB2312" w:asciiTheme="minorEastAsia" w:hAnsiTheme="minorEastAsia"/>
          <w:color w:val="282828"/>
        </w:rPr>
        <w:t>（二）组织、协调本行政区域的应急救助工作。</w:t>
      </w:r>
    </w:p>
    <w:p>
      <w:pPr>
        <w:pStyle w:val="4"/>
        <w:widowControl/>
        <w:spacing w:beforeAutospacing="0" w:afterAutospacing="0" w:line="520" w:lineRule="exact"/>
        <w:ind w:firstLine="640"/>
        <w:rPr>
          <w:rFonts w:cs="Arial" w:asciiTheme="minorEastAsia" w:hAnsiTheme="minorEastAsia"/>
          <w:color w:val="282828"/>
        </w:rPr>
      </w:pPr>
      <w:r>
        <w:rPr>
          <w:rFonts w:cs="仿宋_GB2312" w:asciiTheme="minorEastAsia" w:hAnsiTheme="minorEastAsia"/>
          <w:color w:val="282828"/>
        </w:rPr>
        <w:t>（三）组织受灾群众开展自救互救。</w:t>
      </w:r>
    </w:p>
    <w:p>
      <w:pPr>
        <w:pStyle w:val="4"/>
        <w:widowControl/>
        <w:spacing w:beforeAutospacing="0" w:afterAutospacing="0" w:line="520" w:lineRule="exact"/>
        <w:ind w:firstLine="640"/>
        <w:rPr>
          <w:rFonts w:cs="Arial" w:asciiTheme="minorEastAsia" w:hAnsiTheme="minorEastAsia"/>
          <w:color w:val="282828"/>
        </w:rPr>
      </w:pPr>
      <w:r>
        <w:rPr>
          <w:rFonts w:cs="仿宋_GB2312" w:asciiTheme="minorEastAsia" w:hAnsiTheme="minorEastAsia"/>
          <w:color w:val="282828"/>
        </w:rPr>
        <w:t>（四）负责落实本行政区域的应急救助资金、物资保障工作。</w:t>
      </w:r>
    </w:p>
    <w:p>
      <w:pPr>
        <w:pStyle w:val="4"/>
        <w:widowControl/>
        <w:spacing w:beforeAutospacing="0" w:afterAutospacing="0" w:line="520" w:lineRule="exact"/>
        <w:ind w:firstLine="640"/>
        <w:rPr>
          <w:rFonts w:cs="Arial" w:asciiTheme="minorEastAsia" w:hAnsiTheme="minorEastAsia"/>
          <w:color w:val="282828"/>
        </w:rPr>
      </w:pPr>
      <w:r>
        <w:rPr>
          <w:rFonts w:cs="仿宋_GB2312" w:asciiTheme="minorEastAsia" w:hAnsiTheme="minorEastAsia"/>
          <w:color w:val="282828"/>
        </w:rPr>
        <w:t>（五）负责本行政区域的自然灾害等突发事件风险调查情况，制定相应的应急救助预案。</w:t>
      </w:r>
    </w:p>
    <w:p>
      <w:pPr>
        <w:pStyle w:val="4"/>
        <w:widowControl/>
        <w:spacing w:beforeAutospacing="0" w:afterAutospacing="0" w:line="520" w:lineRule="exact"/>
        <w:ind w:firstLine="640"/>
        <w:rPr>
          <w:rFonts w:cs="Arial" w:asciiTheme="minorEastAsia" w:hAnsiTheme="minorEastAsia"/>
          <w:color w:val="282828"/>
        </w:rPr>
      </w:pPr>
      <w:r>
        <w:rPr>
          <w:rFonts w:cs="仿宋_GB2312" w:asciiTheme="minorEastAsia" w:hAnsiTheme="minorEastAsia"/>
          <w:color w:val="282828"/>
        </w:rPr>
        <w:t>（六）协助区民防局建设、管理本行政区域内的室内（外）应急避难场所。</w:t>
      </w:r>
    </w:p>
    <w:p>
      <w:pPr>
        <w:pStyle w:val="4"/>
        <w:widowControl/>
        <w:spacing w:beforeAutospacing="0" w:afterAutospacing="0" w:line="520" w:lineRule="exact"/>
        <w:ind w:firstLine="616"/>
        <w:rPr>
          <w:rFonts w:cs="Arial" w:asciiTheme="minorEastAsia" w:hAnsiTheme="minorEastAsia"/>
          <w:color w:val="282828"/>
        </w:rPr>
      </w:pPr>
      <w:r>
        <w:rPr>
          <w:rFonts w:cs="仿宋_GB2312" w:asciiTheme="minorEastAsia" w:hAnsiTheme="minorEastAsia"/>
          <w:color w:val="282828"/>
          <w:spacing w:val="-6"/>
        </w:rPr>
        <w:t>（七）负责本行政区域灾害救助人员的队伍建设和业务培训。</w:t>
      </w:r>
    </w:p>
    <w:p>
      <w:pPr>
        <w:pStyle w:val="4"/>
        <w:widowControl/>
        <w:spacing w:beforeAutospacing="0" w:afterAutospacing="0" w:line="520" w:lineRule="exact"/>
        <w:ind w:firstLine="640"/>
        <w:rPr>
          <w:rFonts w:cs="Arial" w:asciiTheme="minorEastAsia" w:hAnsiTheme="minorEastAsia"/>
          <w:color w:val="282828"/>
        </w:rPr>
      </w:pPr>
      <w:r>
        <w:rPr>
          <w:rFonts w:cs="仿宋_GB2312" w:asciiTheme="minorEastAsia" w:hAnsiTheme="minorEastAsia"/>
          <w:color w:val="282828"/>
        </w:rPr>
        <w:t>（八）负责本行政区域内灾情统计上报工作。</w:t>
      </w:r>
    </w:p>
    <w:p>
      <w:pPr>
        <w:pStyle w:val="4"/>
        <w:widowControl/>
        <w:spacing w:beforeAutospacing="0" w:afterAutospacing="0" w:line="520" w:lineRule="exact"/>
        <w:ind w:firstLine="640"/>
        <w:rPr>
          <w:rFonts w:cs="仿宋_GB2312" w:asciiTheme="minorEastAsia" w:hAnsiTheme="minorEastAsia"/>
          <w:color w:val="282828"/>
        </w:rPr>
      </w:pPr>
      <w:r>
        <w:rPr>
          <w:rFonts w:cs="仿宋_GB2312" w:asciiTheme="minorEastAsia" w:hAnsiTheme="minorEastAsia"/>
          <w:color w:val="282828"/>
        </w:rPr>
        <w:t>（九）负责检查和落实救助款物的发放。</w:t>
      </w:r>
    </w:p>
    <w:p>
      <w:pPr>
        <w:pStyle w:val="4"/>
        <w:widowControl/>
        <w:spacing w:beforeAutospacing="0" w:afterAutospacing="0" w:line="520" w:lineRule="exact"/>
        <w:rPr>
          <w:rFonts w:cs="仿宋_GB2312" w:asciiTheme="minorEastAsia" w:hAnsiTheme="minorEastAsia"/>
          <w:color w:val="282828"/>
        </w:rPr>
      </w:pPr>
      <w:r>
        <w:rPr>
          <w:rFonts w:hint="eastAsia" w:cs="仿宋_GB2312" w:asciiTheme="minorEastAsia" w:hAnsiTheme="minorEastAsia"/>
          <w:b/>
          <w:bCs/>
          <w:color w:val="282828"/>
        </w:rPr>
        <w:t>二、东城区雪天道路交通应急保障专项责任清单</w:t>
      </w:r>
    </w:p>
    <w:p>
      <w:pPr>
        <w:pStyle w:val="4"/>
        <w:widowControl/>
        <w:spacing w:beforeAutospacing="0" w:afterAutospacing="0" w:line="520" w:lineRule="exact"/>
        <w:ind w:firstLine="640"/>
        <w:rPr>
          <w:rFonts w:cs="Arial" w:asciiTheme="minorEastAsia" w:hAnsiTheme="minorEastAsia"/>
          <w:color w:val="282828"/>
        </w:rPr>
      </w:pPr>
      <w:r>
        <w:rPr>
          <w:rFonts w:cs="仿宋_GB2312" w:asciiTheme="minorEastAsia" w:hAnsiTheme="minorEastAsia"/>
          <w:color w:val="282828"/>
        </w:rPr>
        <w:t>（一）负责本辖区雪天应急工作的协调和指挥，组织社区、社会单位及群众参与铲冰除雪工作，并及时向区雪天交通保障临时应急指挥部反馈情况。</w:t>
      </w:r>
    </w:p>
    <w:p>
      <w:pPr>
        <w:pStyle w:val="4"/>
        <w:widowControl/>
        <w:spacing w:beforeAutospacing="0" w:afterAutospacing="0" w:line="520" w:lineRule="exact"/>
        <w:ind w:firstLine="640"/>
        <w:rPr>
          <w:rFonts w:cs="Arial" w:asciiTheme="minorEastAsia" w:hAnsiTheme="minorEastAsia"/>
          <w:color w:val="282828"/>
        </w:rPr>
      </w:pPr>
      <w:r>
        <w:rPr>
          <w:rFonts w:cs="仿宋_GB2312" w:asciiTheme="minorEastAsia" w:hAnsiTheme="minorEastAsia"/>
          <w:color w:val="282828"/>
        </w:rPr>
        <w:t>（二）负责因降雪造成本辖区内的道路上大面积拥堵车辆和滞留人员所需的食品、饮用水、药品、医疗救助等生活必需品和应急物资保障工作。</w:t>
      </w:r>
    </w:p>
    <w:p>
      <w:pPr>
        <w:pStyle w:val="4"/>
        <w:widowControl/>
        <w:spacing w:beforeAutospacing="0" w:afterAutospacing="0" w:line="520" w:lineRule="exact"/>
        <w:ind w:firstLine="640"/>
        <w:rPr>
          <w:rFonts w:cs="仿宋_GB2312" w:asciiTheme="minorEastAsia" w:hAnsiTheme="minorEastAsia"/>
          <w:color w:val="282828"/>
        </w:rPr>
      </w:pPr>
      <w:r>
        <w:rPr>
          <w:rFonts w:cs="仿宋_GB2312" w:asciiTheme="minorEastAsia" w:hAnsiTheme="minorEastAsia"/>
          <w:color w:val="282828"/>
        </w:rPr>
        <w:t>（三）负责统筹做好本辖区内滞留人员临时安置等后勤保障；负责动员社会组织、应急志愿者开展相关服务保障工作。</w:t>
      </w:r>
    </w:p>
    <w:p>
      <w:pPr>
        <w:pStyle w:val="4"/>
        <w:widowControl/>
        <w:spacing w:beforeAutospacing="0" w:afterAutospacing="0" w:line="520" w:lineRule="exact"/>
        <w:rPr>
          <w:rFonts w:cs="仿宋_GB2312" w:asciiTheme="minorEastAsia" w:hAnsiTheme="minorEastAsia"/>
          <w:b/>
          <w:bCs/>
          <w:color w:val="282828"/>
        </w:rPr>
      </w:pPr>
      <w:r>
        <w:rPr>
          <w:rFonts w:hint="eastAsia" w:cs="仿宋_GB2312" w:asciiTheme="minorEastAsia" w:hAnsiTheme="minorEastAsia"/>
          <w:b/>
          <w:bCs/>
          <w:color w:val="282828"/>
        </w:rPr>
        <w:t>三、东城区城市轨道交通突发事件应急处置专项责任清单</w:t>
      </w:r>
    </w:p>
    <w:p>
      <w:pPr>
        <w:pStyle w:val="4"/>
        <w:widowControl/>
        <w:spacing w:beforeAutospacing="0" w:afterAutospacing="0" w:line="520" w:lineRule="exact"/>
        <w:ind w:firstLine="480" w:firstLineChars="200"/>
        <w:rPr>
          <w:rFonts w:cs="仿宋_GB2312" w:asciiTheme="minorEastAsia" w:hAnsiTheme="minorEastAsia"/>
          <w:color w:val="282828"/>
        </w:rPr>
      </w:pPr>
      <w:r>
        <w:rPr>
          <w:rFonts w:cs="仿宋_GB2312" w:asciiTheme="minorEastAsia" w:hAnsiTheme="minorEastAsia"/>
          <w:color w:val="282828"/>
        </w:rPr>
        <w:t>负责参与本辖区内运营突发事件救援工作；配合做好运营突发事件中受灾人员安置，提供后勤保障，并做好相关工作。</w:t>
      </w:r>
    </w:p>
    <w:p>
      <w:pPr>
        <w:pStyle w:val="4"/>
        <w:widowControl/>
        <w:numPr>
          <w:ilvl w:val="0"/>
          <w:numId w:val="2"/>
        </w:numPr>
        <w:spacing w:beforeAutospacing="0" w:afterAutospacing="0" w:line="520" w:lineRule="exact"/>
        <w:rPr>
          <w:rFonts w:cs="仿宋_GB2312" w:asciiTheme="minorEastAsia" w:hAnsiTheme="minorEastAsia"/>
          <w:b/>
          <w:bCs/>
          <w:color w:val="282828"/>
        </w:rPr>
      </w:pPr>
      <w:r>
        <w:rPr>
          <w:rFonts w:hint="eastAsia" w:cs="仿宋_GB2312" w:asciiTheme="minorEastAsia" w:hAnsiTheme="minorEastAsia"/>
          <w:b/>
          <w:bCs/>
          <w:color w:val="282828"/>
        </w:rPr>
        <w:t>东城区突发公共卫生事件应急处置专项责任清单</w:t>
      </w:r>
    </w:p>
    <w:p>
      <w:pPr>
        <w:pStyle w:val="4"/>
        <w:widowControl/>
        <w:spacing w:beforeAutospacing="0" w:afterAutospacing="0" w:line="520" w:lineRule="exact"/>
        <w:ind w:firstLine="480" w:firstLineChars="200"/>
        <w:rPr>
          <w:rFonts w:cs="仿宋_GB2312" w:asciiTheme="minorEastAsia" w:hAnsiTheme="minorEastAsia"/>
          <w:color w:val="282828"/>
        </w:rPr>
      </w:pPr>
      <w:r>
        <w:rPr>
          <w:rFonts w:cs="仿宋_GB2312" w:asciiTheme="minorEastAsia" w:hAnsiTheme="minorEastAsia"/>
          <w:color w:val="282828"/>
        </w:rPr>
        <w:t>负责本行政区域内突发公共卫生事件的应急报告工作；建立区突发公共卫生事件应急指挥部；按照属地为主、分级负责的原则，统一组织本行政区域内突发公共卫生事件应急处置的指挥协调，以及突发公共卫生事件预防与应急准备、监测与预警、应急处置与救援、灾区恢复重建等应对工作；组织制定本机关突发公共卫生事件应急预案；及时组织排查本区域内容易引发公共卫生事件的传染源及传播载体，加强安全管控；做好应急物资、技术储备、相关人员的培训演练、经费保障等工作；按照平战结合的原则，指定后备医疗救治机构。</w:t>
      </w:r>
    </w:p>
    <w:p>
      <w:pPr>
        <w:pStyle w:val="4"/>
        <w:widowControl/>
        <w:numPr>
          <w:ilvl w:val="0"/>
          <w:numId w:val="2"/>
        </w:numPr>
        <w:spacing w:beforeAutospacing="0" w:afterAutospacing="0" w:line="520" w:lineRule="exact"/>
        <w:rPr>
          <w:rFonts w:cs="仿宋_GB2312" w:asciiTheme="minorEastAsia" w:hAnsiTheme="minorEastAsia"/>
          <w:b/>
          <w:bCs/>
          <w:color w:val="282828"/>
        </w:rPr>
      </w:pPr>
      <w:r>
        <w:rPr>
          <w:rFonts w:hint="eastAsia" w:cs="仿宋_GB2312" w:asciiTheme="minorEastAsia" w:hAnsiTheme="minorEastAsia"/>
          <w:b/>
          <w:bCs/>
          <w:color w:val="282828"/>
        </w:rPr>
        <w:t>东城区缓解交通拥堵专项责任清单</w:t>
      </w:r>
    </w:p>
    <w:p>
      <w:pPr>
        <w:pStyle w:val="4"/>
        <w:widowControl/>
        <w:spacing w:beforeAutospacing="0" w:afterAutospacing="0" w:line="520" w:lineRule="exact"/>
        <w:ind w:firstLine="640"/>
        <w:rPr>
          <w:rFonts w:cs="Arial" w:asciiTheme="minorEastAsia" w:hAnsiTheme="minorEastAsia"/>
          <w:color w:val="282828"/>
        </w:rPr>
      </w:pPr>
      <w:r>
        <w:rPr>
          <w:rFonts w:cs="仿宋_GB2312" w:asciiTheme="minorEastAsia" w:hAnsiTheme="minorEastAsia"/>
          <w:color w:val="282828"/>
        </w:rPr>
        <w:t>（一）承担区域交通综合治理属地责任，负责推动辖区内各单位落实“门前三包”责任，组织有关部门加强对门前环境卫生、绿化、社会秩序的监督指导。特别是学校、医院、商业、旅游景点门前，重点做好综合整治，规范交通秩序。</w:t>
      </w:r>
    </w:p>
    <w:p>
      <w:pPr>
        <w:pStyle w:val="4"/>
        <w:widowControl/>
        <w:spacing w:beforeAutospacing="0" w:afterAutospacing="0" w:line="520" w:lineRule="exact"/>
        <w:ind w:firstLine="640"/>
        <w:rPr>
          <w:rFonts w:cs="Arial" w:asciiTheme="minorEastAsia" w:hAnsiTheme="minorEastAsia"/>
          <w:color w:val="282828"/>
        </w:rPr>
      </w:pPr>
      <w:r>
        <w:rPr>
          <w:rFonts w:cs="仿宋_GB2312" w:asciiTheme="minorEastAsia" w:hAnsiTheme="minorEastAsia"/>
          <w:color w:val="282828"/>
        </w:rPr>
        <w:t>（二）对既有居住区配建的停车场不能满足业主停车需求的，按照物业管理的规定经业主同意，配合相关部门利用业主共有场地设置临时停车场。</w:t>
      </w:r>
    </w:p>
    <w:p>
      <w:pPr>
        <w:pStyle w:val="4"/>
        <w:widowControl/>
        <w:spacing w:beforeAutospacing="0" w:afterAutospacing="0" w:line="520" w:lineRule="exact"/>
        <w:ind w:firstLine="640"/>
        <w:rPr>
          <w:rFonts w:cs="Arial" w:asciiTheme="minorEastAsia" w:hAnsiTheme="minorEastAsia"/>
          <w:color w:val="282828"/>
        </w:rPr>
      </w:pPr>
      <w:r>
        <w:rPr>
          <w:rFonts w:cs="仿宋_GB2312" w:asciiTheme="minorEastAsia" w:hAnsiTheme="minorEastAsia"/>
          <w:color w:val="282828"/>
        </w:rPr>
        <w:t>（三）负责落实属地责任，协助、配合辖区驻车换乘停车场征地拆迁工作，及其他类型停车场征地相关工作，做好建设过程中的维稳等工作。</w:t>
      </w:r>
    </w:p>
    <w:p>
      <w:pPr>
        <w:pStyle w:val="4"/>
        <w:widowControl/>
        <w:spacing w:beforeAutospacing="0" w:afterAutospacing="0" w:line="520" w:lineRule="exact"/>
        <w:ind w:firstLine="640"/>
        <w:rPr>
          <w:rFonts w:cs="Arial" w:asciiTheme="minorEastAsia" w:hAnsiTheme="minorEastAsia"/>
          <w:color w:val="282828"/>
        </w:rPr>
      </w:pPr>
      <w:r>
        <w:rPr>
          <w:rFonts w:cs="仿宋_GB2312" w:asciiTheme="minorEastAsia" w:hAnsiTheme="minorEastAsia"/>
          <w:color w:val="282828"/>
        </w:rPr>
        <w:t>（四）负责指</w:t>
      </w:r>
      <w:r>
        <w:rPr>
          <w:rFonts w:cs="仿宋_GB2312" w:asciiTheme="minorEastAsia" w:hAnsiTheme="minorEastAsia"/>
          <w:color w:val="000000"/>
        </w:rPr>
        <w:t>导居民委员会在辖</w:t>
      </w:r>
      <w:r>
        <w:rPr>
          <w:rFonts w:cs="仿宋_GB2312" w:asciiTheme="minorEastAsia" w:hAnsiTheme="minorEastAsia"/>
          <w:color w:val="282828"/>
        </w:rPr>
        <w:t>区内通过建立停车管理委员会等形式，依法进行机动车停车的自我管理；对辖区内单位和居住区在满足本单位、本居住区居民停车需求的情况下，将配建停车场向社会开放的，有条件的单位将配建停车场在非工作时间向社会开放的，单位和个人实行错时停车的予以宣传；负责对辖区内擅自在道路上和其他公共区域内设置地桩、地锁等障碍物阻碍机动车停放和通行的行为进行巡查，予以制止并举报；承担停车秩序管理属地责任，做好停车管理工作的宣传、文明引导，对违规停车行为进行监督举报，及时调解因违规停车引发的纠纷。</w:t>
      </w:r>
    </w:p>
    <w:p>
      <w:pPr>
        <w:pStyle w:val="4"/>
        <w:widowControl/>
        <w:spacing w:beforeAutospacing="0" w:afterAutospacing="0" w:line="520" w:lineRule="exact"/>
        <w:ind w:firstLine="640"/>
        <w:rPr>
          <w:rFonts w:cs="Arial" w:asciiTheme="minorEastAsia" w:hAnsiTheme="minorEastAsia"/>
          <w:color w:val="282828"/>
        </w:rPr>
      </w:pPr>
      <w:r>
        <w:rPr>
          <w:rFonts w:cs="仿宋_GB2312" w:asciiTheme="minorEastAsia" w:hAnsiTheme="minorEastAsia"/>
          <w:color w:val="282828"/>
        </w:rPr>
        <w:t>（五）配合相关部门做好公共自行车站点布局规划工作，组织居民委员会提出站点新增建设需求和布局优化建议；协助落实站点和管理用房用地接电；配合做好辖区公共自行车站点车辆停放秩序管理。</w:t>
      </w:r>
    </w:p>
    <w:p>
      <w:pPr>
        <w:pStyle w:val="4"/>
        <w:widowControl/>
        <w:spacing w:beforeAutospacing="0" w:afterAutospacing="0" w:line="520" w:lineRule="exact"/>
        <w:ind w:firstLine="640"/>
        <w:rPr>
          <w:rFonts w:cs="Arial" w:asciiTheme="minorEastAsia" w:hAnsiTheme="minorEastAsia"/>
          <w:color w:val="282828"/>
        </w:rPr>
      </w:pPr>
      <w:r>
        <w:rPr>
          <w:rFonts w:cs="仿宋_GB2312" w:asciiTheme="minorEastAsia" w:hAnsiTheme="minorEastAsia"/>
          <w:color w:val="282828"/>
        </w:rPr>
        <w:t>（六）做好居民的宣传动员工作。</w:t>
      </w:r>
    </w:p>
    <w:p>
      <w:pPr>
        <w:pStyle w:val="4"/>
        <w:widowControl/>
        <w:spacing w:beforeAutospacing="0" w:afterAutospacing="0" w:line="520" w:lineRule="exact"/>
        <w:rPr>
          <w:rFonts w:cs="仿宋_GB2312" w:asciiTheme="minorEastAsia" w:hAnsiTheme="minorEastAsia"/>
          <w:color w:val="282828"/>
        </w:rPr>
      </w:pPr>
    </w:p>
    <w:p>
      <w:pPr>
        <w:rPr>
          <w:rFonts w:asciiTheme="minorEastAsia" w:hAnsiTheme="minorEastAsia"/>
          <w:color w:val="282828"/>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92E77A"/>
    <w:multiLevelType w:val="singleLevel"/>
    <w:tmpl w:val="BB92E77A"/>
    <w:lvl w:ilvl="0" w:tentative="0">
      <w:start w:val="4"/>
      <w:numFmt w:val="chineseCounting"/>
      <w:suff w:val="nothing"/>
      <w:lvlText w:val="%1、"/>
      <w:lvlJc w:val="left"/>
      <w:rPr>
        <w:rFonts w:hint="eastAsia"/>
      </w:rPr>
    </w:lvl>
  </w:abstractNum>
  <w:abstractNum w:abstractNumId="1">
    <w:nsid w:val="08851540"/>
    <w:multiLevelType w:val="singleLevel"/>
    <w:tmpl w:val="08851540"/>
    <w:lvl w:ilvl="0" w:tentative="0">
      <w:start w:val="2"/>
      <w:numFmt w:val="chineseCounting"/>
      <w:suff w:val="nothing"/>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67A1A"/>
    <w:rsid w:val="004E166D"/>
    <w:rsid w:val="00825502"/>
    <w:rsid w:val="00825F38"/>
    <w:rsid w:val="00967A1A"/>
    <w:rsid w:val="00A10F0E"/>
    <w:rsid w:val="14967330"/>
    <w:rsid w:val="158D0640"/>
    <w:rsid w:val="21F7021B"/>
    <w:rsid w:val="23A478AB"/>
    <w:rsid w:val="33212B74"/>
    <w:rsid w:val="3DA52918"/>
    <w:rsid w:val="483A4729"/>
    <w:rsid w:val="5519391E"/>
    <w:rsid w:val="78B82223"/>
    <w:rsid w:val="7A6F3C7E"/>
    <w:rsid w:val="7C837F11"/>
    <w:rsid w:val="7DE371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customStyle="1" w:styleId="8">
    <w:name w:val="页眉 Char"/>
    <w:basedOn w:val="5"/>
    <w:link w:val="3"/>
    <w:qFormat/>
    <w:uiPriority w:val="0"/>
    <w:rPr>
      <w:rFonts w:asciiTheme="minorHAnsi" w:hAnsiTheme="minorHAnsi" w:eastAsiaTheme="minorEastAsia" w:cstheme="minorBidi"/>
      <w:kern w:val="2"/>
      <w:sz w:val="18"/>
      <w:szCs w:val="18"/>
    </w:rPr>
  </w:style>
  <w:style w:type="character" w:customStyle="1" w:styleId="9">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901</Words>
  <Characters>5141</Characters>
  <Lines>42</Lines>
  <Paragraphs>12</Paragraphs>
  <ScaleCrop>false</ScaleCrop>
  <LinksUpToDate>false</LinksUpToDate>
  <CharactersWithSpaces>6030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2021-08-26T02:12:00Z</dcterms:created>
  <dc:creator>chengguan</dc:creator>
  <cp:lastModifiedBy>winnie</cp:lastModifiedBy>
  <dcterms:modified xsi:type="dcterms:W3CDTF">2021-09-13T01:02:02Z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9BE5B12872B744C8AE36FA8F89077B4C</vt:lpwstr>
  </property>
</Properties>
</file>