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安定门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街道生态环境保护责任清单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384" w:firstLineChars="200"/>
        <w:jc w:val="both"/>
        <w:textAlignment w:val="baseline"/>
        <w:rPr>
          <w:rFonts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根据《东城区委生态文明建设委员会办公室关于印发(东城区推动职能部门做好生态环境保护工作的</w:t>
      </w:r>
      <w:bookmarkStart w:id="0" w:name="OLE_LINK1"/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实施意见</w:t>
      </w:r>
      <w:bookmarkEnd w:id="0"/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》的通知》(东生态文明委办〔2024〕1号)的要求，结合北京市东城区人民政府关于印发(北京市东城区生态环境保护工作职责分工规定》的通知》(京东发〔2020〕10号)确定的相关职责，现将我街道生态环境保护责任清单公示如下: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一、街道党（工）委、办事处工作职责：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（一）组织实施辖区生态环境保护工作。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（二）组织动员社会力量积极参与辖区污染源普查工作。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（三）督促辖区企事业单位和其他生产经营者落实生态环境保护措施。组织落实辖区生态环境网格化监管责任，建立生态环境问题“发现—处置—反馈”的响应机制。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（四）组织辖区各单位和居民开展环境综合整治，加强饮用水水源保护。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（五）参与突发生态环境事件的应急准备、应急演练、应急处置和事后恢复等工作。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（六）编制空气重污染应急预案，配合有关部门落实应急减排措施。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（七）开展生态环境保护信访投诉的纠纷调解工作。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（八）组织开展生态环境保护宣传教育工作，普及生态环境保护法律法规和科学知识。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（九）承担职权范围内与生态环境保护相关的行政执法工作。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二、各社区工作职责：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（一）宣传生态环境保护法律法规、政策，普及生态环境保护相关知识。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（二）配合推进饮用水水源保护、生活面源污染防治、污水垃圾处理处置等方面工作。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04040"/>
          <w:sz w:val="19"/>
          <w:szCs w:val="19"/>
          <w:bdr w:val="none" w:color="auto" w:sz="0" w:space="0"/>
          <w:vertAlign w:val="baseline"/>
        </w:rPr>
        <w:t>　　（三）加强巡查，及时发现和报告生态环境违法行为。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40404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A6325"/>
    <w:rsid w:val="0BA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2025-02-12T03:20:00Z</dcterms:created>
  <dc:creator>sunyilin</dc:creator>
  <cp:lastModifiedBy>sunyilin</cp:lastModifiedBy>
  <dcterms:modified xsi:type="dcterms:W3CDTF">2025-02-12T03:32:37Z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