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东城区城市管理指挥中心</w:t>
      </w:r>
    </w:p>
    <w:p>
      <w:pPr>
        <w:wordWrap/>
        <w:adjustRightInd/>
        <w:snapToGrid/>
        <w:spacing w:line="54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  <w:highlight w:val="none"/>
        </w:rPr>
      </w:pP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  <w:highlight w:val="none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依据《中华人民共和国政府信息公开条例》(以下简称《政府信息公开条例》)第五十条规定，编制本报告。</w:t>
      </w: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一、总体情况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（一）组织领导情况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城指中心始终将政府信息公开工作放在突出位置，重点部署、充分调度、统一推进。由城指中心主要领导担任政府信息公开工作领导小组的组长，研究部署政府信息公开重点任务，统筹协调各部门职责，明确分工、压实责任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2025年，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政府信息公开工作有条不紊、高效有序，群众的认可程度较高。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）主动公开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工作情况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为落实基层减负相关要求，根据《政府信息公开条例》，结合城指中心内部机构调整、旧版全清单内容，修订《东城区城市管理指挥中心政府信息主动公开全清单》，公开内容包括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lang w:val="en-US" w:eastAsia="zh-CN"/>
        </w:rPr>
        <w:t>：政府信息公开工作，计划、总结等文稿的撰写，人事管理、机构编制等工作，各项资金的预算、决算及批准后的监管执行及依法公开事宜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  <w:t>2025年，在区政府门户网站更新信息34篇，微信公众号发布48期，与北京广播电视台合作制作《接诉即办》节目11期，《向前一步》节目6期。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依申请公开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工作情况</w:t>
      </w:r>
    </w:p>
    <w:p>
      <w:pPr>
        <w:widowControl w:val="0"/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2025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年，我中心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新收政府信息公开申请数量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件，上年结转政府信息公开申请数量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结转下年度继续办理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件。对于本年度办理的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件申请，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我中心均按照《政府信息公开条例》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在法定时限内给予答复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予以公开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snapToGrid w:val="0"/>
          <w:sz w:val="32"/>
          <w:szCs w:val="32"/>
          <w:highlight w:val="none"/>
          <w:lang w:val="en-US" w:eastAsia="zh-CN"/>
        </w:rPr>
        <w:t>未产生因信息公开引发的行政复议、行政诉讼案件。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</w:rPr>
        <w:t>政府信息管理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工作情况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outlineLvl w:val="9"/>
        <w:rPr>
          <w:highlight w:val="none"/>
        </w:rPr>
      </w:pPr>
      <w:r>
        <w:rPr>
          <w:rFonts w:hint="eastAsia" w:eastAsia="仿宋_GB2312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  <w:t>进一步加强信息报送工作，城指中心各部门及信息员协同配合，充实信息内容，做到应报尽报、能报快报，强化信息报送的即时性、丰富性。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kern w:val="2"/>
          <w:sz w:val="32"/>
          <w:szCs w:val="32"/>
          <w:highlight w:val="none"/>
          <w:lang w:val="en-US" w:eastAsia="zh-CN" w:bidi="ar-SA"/>
        </w:rPr>
        <w:t>加强信息审核，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结合新修订的《</w:t>
      </w:r>
      <w:r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  <w:t>东城区城市管理指挥中心政府信息主动公开全清单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》，稳步推进主动公开的各项工作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zh-CN"/>
        </w:rPr>
        <w:t>。</w:t>
      </w:r>
      <w:r>
        <w:rPr>
          <w:rFonts w:hint="eastAsia" w:ascii="仿宋_GB2312" w:hAnsi="仿宋_GB2312" w:eastAsia="仿宋_GB2312" w:cs="仿宋_GB2312"/>
          <w:b/>
          <w:bCs/>
          <w:snapToGrid w:val="0"/>
          <w:kern w:val="2"/>
          <w:sz w:val="32"/>
          <w:szCs w:val="32"/>
          <w:highlight w:val="none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  <w:t>稳步开展依申请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公开工作，严格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按照《政府信息公开条例》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要求，坚持以公开为常态、不公开为例外，遵循公正、公平、合法、便民的原则，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  <w:t>依申请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公开工作得到群众认可。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  <w:lang w:eastAsia="zh-CN"/>
        </w:rPr>
        <w:t>）政府信息公开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u w:val="none"/>
        </w:rPr>
        <w:t>平台建设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u w:val="none"/>
          <w:lang w:eastAsia="zh-CN"/>
        </w:rPr>
        <w:t>工作情况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64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  <w:t>积极参加区政数局业务工作培训，认真学习政府网站内容发布系统流程,及时对门户网站中涉及领导分工等信息进行更新确认维护，定期更新业务信息，根据工作实际发布通知公告。充分发挥“东城网格”微信公众号新媒体平台的传播影响力，坚持每月发布公众号</w:t>
      </w:r>
      <w:r>
        <w:rPr>
          <w:rFonts w:hint="default" w:ascii="Times New Roman" w:hAnsi="Times New Roman" w:eastAsia="仿宋_GB2312" w:cs="Times New Roman"/>
          <w:snapToGrid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  <w:t>期，持续提升中心重点工作宣传力度。持续学习中央、市、区等文件精神，按照区政数局定期发送的不恰当表述修改内容汇总，对照审核发布内容，确保各类宣传内容准确无误、导向鲜明。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eastAsia" w:ascii="楷体_GB2312" w:hAnsi="楷体_GB2312" w:eastAsia="楷体_GB2312" w:cs="楷体_GB2312"/>
          <w:snapToGrid w:val="0"/>
          <w:sz w:val="32"/>
          <w:szCs w:val="32"/>
          <w:highlight w:val="none"/>
          <w:lang w:val="en-US" w:eastAsia="zh-CN"/>
        </w:rPr>
        <w:t>教育培训和监督保障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工作情况</w:t>
      </w:r>
    </w:p>
    <w:p>
      <w:pPr>
        <w:pStyle w:val="2"/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highlight w:val="none"/>
          <w:lang w:val="en-US" w:eastAsia="zh-CN"/>
        </w:rPr>
        <w:t>持续强化信息报送培训，提升干部信息工作能力，做到“四抓”（抓重点、抓难点、抓热点、抓亮点）和“四要”（报送要“快”、内容要“实”、质量要“高”、加工要“深”），结合工作重点，深挖有价值的线索，形成优质信息。进一步深化信息赋能，信息质量稳步提升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主动公开政府信息情况</w:t>
      </w:r>
    </w:p>
    <w:p>
      <w:pPr>
        <w:pStyle w:val="2"/>
        <w:rPr>
          <w:rFonts w:hint="eastAsia"/>
        </w:rPr>
      </w:pPr>
      <w:bookmarkStart w:id="0" w:name="_GoBack"/>
      <w:bookmarkEnd w:id="0"/>
    </w:p>
    <w:tbl>
      <w:tblPr>
        <w:tblStyle w:val="8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Calibri" w:hAnsi="Calibri" w:cs="Calibri"/>
                <w:kern w:val="0"/>
                <w:sz w:val="21"/>
                <w:szCs w:val="21"/>
                <w:highlight w:val="none"/>
                <w:lang w:val="en-US" w:eastAsia="zh-CN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3"/>
        <w:numPr>
          <w:ilvl w:val="0"/>
          <w:numId w:val="0"/>
        </w:numPr>
        <w:rPr>
          <w:rFonts w:hint="eastAsia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/>
          <w:highlight w:val="none"/>
        </w:rPr>
      </w:pPr>
      <w:r>
        <w:rPr>
          <w:rFonts w:hint="eastAsia"/>
          <w:highlight w:val="none"/>
        </w:rPr>
        <w:br w:type="page"/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收到和处理政府信息公开申请情况</w:t>
      </w: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highlight w:val="none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highlight w:val="none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highlight w:val="none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highlight w:val="none"/>
        </w:rPr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五、存在的主要问题及改进情况</w:t>
      </w:r>
    </w:p>
    <w:p>
      <w:pPr>
        <w:widowControl w:val="0"/>
        <w:numPr>
          <w:ilvl w:val="0"/>
          <w:numId w:val="0"/>
        </w:numPr>
        <w:wordWrap/>
        <w:spacing w:line="560" w:lineRule="exact"/>
        <w:ind w:leftChars="0" w:firstLine="643" w:firstLineChars="200"/>
        <w:jc w:val="both"/>
        <w:textAlignment w:val="auto"/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b/>
          <w:bCs/>
          <w:color w:val="auto"/>
          <w:sz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依申请公开答复意见书规范性仍需加强。改进措施：根据区政数局依申请公开相关培训要求，进一步明确答复意见书格式，加强答复意见书复查复核，确保格式内容无误。</w:t>
      </w:r>
    </w:p>
    <w:p>
      <w:pPr>
        <w:widowControl w:val="0"/>
        <w:numPr>
          <w:ilvl w:val="0"/>
          <w:numId w:val="0"/>
        </w:numPr>
        <w:wordWrap/>
        <w:spacing w:line="560" w:lineRule="exact"/>
        <w:ind w:leftChars="0" w:firstLine="643" w:firstLineChars="200"/>
        <w:jc w:val="both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2"/>
          <w:sz w:val="32"/>
          <w:szCs w:val="32"/>
          <w:highlight w:val="none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snapToGrid w:val="0"/>
          <w:kern w:val="2"/>
          <w:sz w:val="32"/>
          <w:szCs w:val="32"/>
          <w:highlight w:val="none"/>
          <w:lang w:val="en-US" w:eastAsia="zh-CN" w:bidi="ar-SA"/>
        </w:rPr>
        <w:t>信息审核机制有待完善。</w:t>
      </w:r>
      <w:r>
        <w:rPr>
          <w:rFonts w:hint="eastAsia" w:ascii="仿宋_GB2312" w:hAnsi="仿宋_GB2312" w:eastAsia="仿宋_GB2312"/>
          <w:color w:val="auto"/>
          <w:sz w:val="32"/>
          <w:highlight w:val="none"/>
          <w:lang w:val="en-US" w:eastAsia="zh-CN"/>
        </w:rPr>
        <w:t>改进措施：加强信息审核把关，规范信息收集、审核、发布流程，使用新版《信息发布保密审查单》，确保信息安全、准确。承办部门、业务主管领导、保密审查工作机构、保密主管领导逐级审核把关，保障信息管理工作高效有序，为政府信息公开提供坚实支撑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六、其他需要报告的事项</w:t>
      </w:r>
    </w:p>
    <w:p>
      <w:pPr>
        <w:widowControl w:val="0"/>
        <w:numPr>
          <w:ilvl w:val="0"/>
          <w:numId w:val="0"/>
        </w:numPr>
        <w:wordWrap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本中心严格落实《政府信息公开信息处理费管理办法》要求，发出收费通知的件数和总金额以及实际收取的总金额均为0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" w:hAnsi="仿宋" w:eastAsia="仿宋" w:cs="仿宋_GB2312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北京市东城区人民政府门户网站网址为https://www.bjdch.gov.cn/，如需了解更多政府信息，请登录查询。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文本框 9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157E9"/>
    <w:rsid w:val="000A3B2D"/>
    <w:rsid w:val="000C3C7A"/>
    <w:rsid w:val="00172A27"/>
    <w:rsid w:val="001F6AC2"/>
    <w:rsid w:val="00223719"/>
    <w:rsid w:val="00235231"/>
    <w:rsid w:val="002B77AA"/>
    <w:rsid w:val="002C43D6"/>
    <w:rsid w:val="003210C4"/>
    <w:rsid w:val="00393EEB"/>
    <w:rsid w:val="003C4D77"/>
    <w:rsid w:val="00414561"/>
    <w:rsid w:val="00440131"/>
    <w:rsid w:val="00440F2B"/>
    <w:rsid w:val="004A4BF4"/>
    <w:rsid w:val="004B6409"/>
    <w:rsid w:val="00511EF0"/>
    <w:rsid w:val="005A0405"/>
    <w:rsid w:val="005A44C4"/>
    <w:rsid w:val="005B5666"/>
    <w:rsid w:val="005E0BED"/>
    <w:rsid w:val="005E4970"/>
    <w:rsid w:val="005F3880"/>
    <w:rsid w:val="006470F9"/>
    <w:rsid w:val="007260BD"/>
    <w:rsid w:val="00757FCE"/>
    <w:rsid w:val="007862D6"/>
    <w:rsid w:val="007A180B"/>
    <w:rsid w:val="008B1BEA"/>
    <w:rsid w:val="009360C3"/>
    <w:rsid w:val="009F7EB0"/>
    <w:rsid w:val="00A02280"/>
    <w:rsid w:val="00A31072"/>
    <w:rsid w:val="00A511DA"/>
    <w:rsid w:val="00A93CE4"/>
    <w:rsid w:val="00A96017"/>
    <w:rsid w:val="00AC560A"/>
    <w:rsid w:val="00B020D1"/>
    <w:rsid w:val="00B63A76"/>
    <w:rsid w:val="00B944E7"/>
    <w:rsid w:val="00BD1EFA"/>
    <w:rsid w:val="00BE1A3A"/>
    <w:rsid w:val="00C16F6D"/>
    <w:rsid w:val="00C46DD7"/>
    <w:rsid w:val="00C64613"/>
    <w:rsid w:val="00C71943"/>
    <w:rsid w:val="00CE3514"/>
    <w:rsid w:val="00D03B97"/>
    <w:rsid w:val="00D754D8"/>
    <w:rsid w:val="00D86A7B"/>
    <w:rsid w:val="00DC3BB6"/>
    <w:rsid w:val="00DF54EE"/>
    <w:rsid w:val="00E06636"/>
    <w:rsid w:val="00E204CC"/>
    <w:rsid w:val="00E40B8D"/>
    <w:rsid w:val="00F401B9"/>
    <w:rsid w:val="00FA700A"/>
    <w:rsid w:val="00FE0CBB"/>
    <w:rsid w:val="015E68D1"/>
    <w:rsid w:val="017C407C"/>
    <w:rsid w:val="01D0041C"/>
    <w:rsid w:val="02B73E03"/>
    <w:rsid w:val="02FD6B22"/>
    <w:rsid w:val="03AA3F18"/>
    <w:rsid w:val="0444100C"/>
    <w:rsid w:val="04B871DC"/>
    <w:rsid w:val="04C523E5"/>
    <w:rsid w:val="05927F9F"/>
    <w:rsid w:val="061043AF"/>
    <w:rsid w:val="063D400F"/>
    <w:rsid w:val="07173589"/>
    <w:rsid w:val="071F545C"/>
    <w:rsid w:val="085B374C"/>
    <w:rsid w:val="0970112F"/>
    <w:rsid w:val="09BA5C05"/>
    <w:rsid w:val="0A5449BD"/>
    <w:rsid w:val="0B6017B9"/>
    <w:rsid w:val="0BF51CAC"/>
    <w:rsid w:val="0DB23146"/>
    <w:rsid w:val="0EE37632"/>
    <w:rsid w:val="10F70AE6"/>
    <w:rsid w:val="11935B60"/>
    <w:rsid w:val="11EC0FF2"/>
    <w:rsid w:val="123654D6"/>
    <w:rsid w:val="125664A3"/>
    <w:rsid w:val="12DA4F7E"/>
    <w:rsid w:val="15042E03"/>
    <w:rsid w:val="15274996"/>
    <w:rsid w:val="15E46F00"/>
    <w:rsid w:val="16176ECF"/>
    <w:rsid w:val="168C2214"/>
    <w:rsid w:val="182F135D"/>
    <w:rsid w:val="186F5E9F"/>
    <w:rsid w:val="18AC1B27"/>
    <w:rsid w:val="18E402E6"/>
    <w:rsid w:val="19B74C1D"/>
    <w:rsid w:val="1A1F5999"/>
    <w:rsid w:val="1C222D36"/>
    <w:rsid w:val="1C47275C"/>
    <w:rsid w:val="1C850733"/>
    <w:rsid w:val="1DBE6FEE"/>
    <w:rsid w:val="1DE37776"/>
    <w:rsid w:val="1FD01E46"/>
    <w:rsid w:val="200B59E9"/>
    <w:rsid w:val="2039313C"/>
    <w:rsid w:val="20F4351F"/>
    <w:rsid w:val="216E5E94"/>
    <w:rsid w:val="21EE06C0"/>
    <w:rsid w:val="220E5FDF"/>
    <w:rsid w:val="224F7AFE"/>
    <w:rsid w:val="233F450B"/>
    <w:rsid w:val="23B53941"/>
    <w:rsid w:val="26B92096"/>
    <w:rsid w:val="26DC5ACE"/>
    <w:rsid w:val="275C569C"/>
    <w:rsid w:val="277E30D9"/>
    <w:rsid w:val="28EC21AD"/>
    <w:rsid w:val="28F13CC0"/>
    <w:rsid w:val="29284F7F"/>
    <w:rsid w:val="293D7A75"/>
    <w:rsid w:val="2AA7627A"/>
    <w:rsid w:val="2AAB6FAE"/>
    <w:rsid w:val="2B7B7492"/>
    <w:rsid w:val="2B9844FA"/>
    <w:rsid w:val="2D047420"/>
    <w:rsid w:val="2D25458F"/>
    <w:rsid w:val="2D35073C"/>
    <w:rsid w:val="2F1C7979"/>
    <w:rsid w:val="2F2B43BA"/>
    <w:rsid w:val="30806B9E"/>
    <w:rsid w:val="316B1BA5"/>
    <w:rsid w:val="333728BF"/>
    <w:rsid w:val="33A10D3B"/>
    <w:rsid w:val="33E570D9"/>
    <w:rsid w:val="34B11EE1"/>
    <w:rsid w:val="35E04767"/>
    <w:rsid w:val="36364643"/>
    <w:rsid w:val="36996009"/>
    <w:rsid w:val="37242B85"/>
    <w:rsid w:val="37342E1F"/>
    <w:rsid w:val="379F3AAA"/>
    <w:rsid w:val="37B82A79"/>
    <w:rsid w:val="37D261A1"/>
    <w:rsid w:val="38477332"/>
    <w:rsid w:val="39C84EDD"/>
    <w:rsid w:val="3A3D4E9C"/>
    <w:rsid w:val="3BA06262"/>
    <w:rsid w:val="3C8342D6"/>
    <w:rsid w:val="3D0059A4"/>
    <w:rsid w:val="3F8024B0"/>
    <w:rsid w:val="3F827426"/>
    <w:rsid w:val="408A4515"/>
    <w:rsid w:val="40962182"/>
    <w:rsid w:val="41336AA7"/>
    <w:rsid w:val="41A82BB0"/>
    <w:rsid w:val="42727846"/>
    <w:rsid w:val="42B15B0D"/>
    <w:rsid w:val="4323775B"/>
    <w:rsid w:val="44F32561"/>
    <w:rsid w:val="465C6BD7"/>
    <w:rsid w:val="46957D4E"/>
    <w:rsid w:val="472D6E53"/>
    <w:rsid w:val="47B972B3"/>
    <w:rsid w:val="48624CD1"/>
    <w:rsid w:val="4A6C2384"/>
    <w:rsid w:val="4AA71688"/>
    <w:rsid w:val="4B1D1510"/>
    <w:rsid w:val="4C6F71B7"/>
    <w:rsid w:val="4CB06383"/>
    <w:rsid w:val="4CE83D51"/>
    <w:rsid w:val="4E464171"/>
    <w:rsid w:val="4E7735C7"/>
    <w:rsid w:val="4FCC31D7"/>
    <w:rsid w:val="50621E6E"/>
    <w:rsid w:val="50CA639A"/>
    <w:rsid w:val="51FD0EA1"/>
    <w:rsid w:val="52D43103"/>
    <w:rsid w:val="554524F7"/>
    <w:rsid w:val="55805A3F"/>
    <w:rsid w:val="57A713D9"/>
    <w:rsid w:val="58E20764"/>
    <w:rsid w:val="599A5059"/>
    <w:rsid w:val="59FA0BA4"/>
    <w:rsid w:val="5A846E46"/>
    <w:rsid w:val="5C85343F"/>
    <w:rsid w:val="5E011730"/>
    <w:rsid w:val="5FB55714"/>
    <w:rsid w:val="5FDB0843"/>
    <w:rsid w:val="609A09EE"/>
    <w:rsid w:val="60EA3D13"/>
    <w:rsid w:val="60F2511B"/>
    <w:rsid w:val="616E3D42"/>
    <w:rsid w:val="63173E38"/>
    <w:rsid w:val="633C39DB"/>
    <w:rsid w:val="63847E28"/>
    <w:rsid w:val="64690D42"/>
    <w:rsid w:val="64972B08"/>
    <w:rsid w:val="64D07675"/>
    <w:rsid w:val="65432745"/>
    <w:rsid w:val="65BC7B5B"/>
    <w:rsid w:val="66A65F76"/>
    <w:rsid w:val="66D7084A"/>
    <w:rsid w:val="67037D1B"/>
    <w:rsid w:val="671C17CC"/>
    <w:rsid w:val="674C7846"/>
    <w:rsid w:val="67716B82"/>
    <w:rsid w:val="683F3FB4"/>
    <w:rsid w:val="686516DD"/>
    <w:rsid w:val="68917716"/>
    <w:rsid w:val="68B1527B"/>
    <w:rsid w:val="69D46E61"/>
    <w:rsid w:val="6B4C7395"/>
    <w:rsid w:val="6C851E01"/>
    <w:rsid w:val="6D0E597B"/>
    <w:rsid w:val="6D887A63"/>
    <w:rsid w:val="6DC72BAB"/>
    <w:rsid w:val="6E8C5810"/>
    <w:rsid w:val="70222C83"/>
    <w:rsid w:val="70452BBF"/>
    <w:rsid w:val="719F284F"/>
    <w:rsid w:val="71A63A80"/>
    <w:rsid w:val="71B5409B"/>
    <w:rsid w:val="727212E6"/>
    <w:rsid w:val="74610F82"/>
    <w:rsid w:val="751E11B0"/>
    <w:rsid w:val="75342D58"/>
    <w:rsid w:val="77776320"/>
    <w:rsid w:val="77921B28"/>
    <w:rsid w:val="789D3289"/>
    <w:rsid w:val="791447EC"/>
    <w:rsid w:val="793566B3"/>
    <w:rsid w:val="795A2EC2"/>
    <w:rsid w:val="79EA0AFF"/>
    <w:rsid w:val="7A572139"/>
    <w:rsid w:val="7BDE1C4F"/>
    <w:rsid w:val="7BDF75D6"/>
    <w:rsid w:val="7C666463"/>
    <w:rsid w:val="7C8E6D8A"/>
    <w:rsid w:val="7F4B2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link w:val="11"/>
    <w:unhideWhenUsed/>
    <w:qFormat/>
    <w:uiPriority w:val="1"/>
    <w:rPr>
      <w:rFonts w:ascii="Tahoma" w:hAnsi="Tahoma"/>
      <w:sz w:val="24"/>
      <w:szCs w:val="20"/>
    </w:rPr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 Char Char1"/>
    <w:basedOn w:val="1"/>
    <w:link w:val="10"/>
    <w:qFormat/>
    <w:uiPriority w:val="0"/>
    <w:rPr>
      <w:rFonts w:ascii="Tahoma" w:hAnsi="Tahoma"/>
      <w:sz w:val="24"/>
      <w:szCs w:val="20"/>
    </w:rPr>
  </w:style>
  <w:style w:type="character" w:styleId="12">
    <w:name w:val="page number"/>
    <w:basedOn w:val="10"/>
    <w:unhideWhenUsed/>
    <w:qFormat/>
    <w:uiPriority w:val="99"/>
  </w:style>
  <w:style w:type="character" w:styleId="13">
    <w:name w:val="Hyperlink"/>
    <w:basedOn w:val="10"/>
    <w:unhideWhenUsed/>
    <w:qFormat/>
    <w:uiPriority w:val="0"/>
    <w:rPr>
      <w:color w:val="000000"/>
      <w:u w:val="none"/>
    </w:rPr>
  </w:style>
  <w:style w:type="paragraph" w:customStyle="1" w:styleId="14">
    <w:name w:val="_Style 6"/>
    <w:basedOn w:val="1"/>
    <w:qFormat/>
    <w:uiPriority w:val="0"/>
    <w:rPr>
      <w:szCs w:val="20"/>
    </w:rPr>
  </w:style>
  <w:style w:type="paragraph" w:customStyle="1" w:styleId="15">
    <w:name w:val="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6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2334</Words>
  <Characters>2392</Characters>
  <Lines>7</Lines>
  <Paragraphs>2</Paragraphs>
  <TotalTime>4</TotalTime>
  <ScaleCrop>false</ScaleCrop>
  <LinksUpToDate>false</LinksUpToDate>
  <CharactersWithSpaces>2409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2019-03-21T10:11:00Z</dcterms:created>
  <dc:creator>李曼</dc:creator>
  <cp:lastModifiedBy>一曲</cp:lastModifiedBy>
  <cp:lastPrinted>2019-10-11T08:27:00Z</cp:lastPrinted>
  <dcterms:modified xsi:type="dcterms:W3CDTF">2026-01-13T03:32:43Z</dcterms:modified>
  <dc:title>关于抓紧整改政务新媒体的通知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KSOTemplateDocerSaveRecord">
    <vt:lpwstr>eyJoZGlkIjoiMjQ4OWM2OWVkZGFiYjIwYWExYmU2YTc1NDEzNjk5YzciLCJ1c2VySWQiOiI2Mzc1MDI3OTEifQ==</vt:lpwstr>
  </property>
  <property fmtid="{D5CDD505-2E9C-101B-9397-08002B2CF9AE}" pid="4" name="ICV">
    <vt:lpwstr>5631438086EF44809357652F5948756C_12</vt:lpwstr>
  </property>
</Properties>
</file>