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北京市东城区生态环境局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both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东城区生态环境局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严格落实上级关于政务公开工作各项决策部署和要求，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及时更新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政府信息公开指南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和政务公开全清单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，明确政府信息公开范围、形式及重点领域，着力提升政务公开规范化水平，更好发挥以公开促落实、强监管功能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2.主动公开情况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2025年共主动公开政府信息1701条，全文电子化率达100%。通过网站公开123条，微博公开信息718条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微信公众号公开信息860条。网站公开的信息中，部门动态类信息83条，通知公告2条，执法监督信息12条。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3.依申请公开情况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进一步规范依申请公开办理流程，建立健全政府信息公开申请登记、审核、办理、答复、归档工作制度，提高依申请办理规范化水平。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全年共受理政府信息公开申请5件，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全部在规定时间内答复完毕，做到规范受理、及时处理、精准答复，未发生行政复议和行政诉讼。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政府信息管理和平台建设情况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进一步优化门户网站政务公开专栏，加强专栏内容维护，聚焦法定公开内容，动态更新主动公开全清单和政务开放日专题，及时发布污染防治工作情况，定期公布环境空气质量状况，以及河流、湖泊水质状况等，增强群众对政府信息的获得感和满意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5.监督保障和培训情况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明确政务信息公开专职工作人员，及时有效主动公开信息。严格执行信息公开三审制，保障公开信息准确。做好政府网站、政务新媒体自查自纠工作和相关问题闭环整改。积极参加上级组织的政务公开业务培训，分级分类组织开展生态环境局政务公开业务培训，提升生态环境系统政务公开工作人员工作能力和业务水平。2025年未发生因被投诉举报等被追究责任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72" w:firstLineChars="200"/>
        <w:jc w:val="left"/>
        <w:textAlignment w:val="auto"/>
        <w:outlineLvl w:val="9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tbl>
      <w:tblPr>
        <w:tblStyle w:val="7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7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5"/>
        <w:gridCol w:w="6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</w:rPr>
        <w:br w:type="textWrapping"/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7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存在问题：政务新媒体内容缺乏吸引力。随着网络宣传的兴起，对外宣传的形式和手段日渐丰富，但是深度和广度依旧是个硬伤。很少运用访谈、对话、言论、深度报道等互动性、理论性、吸引力强的方式开展对外宣传工作，新媒体推文可读性不强，关注度不高，吸引力不够，宣传工作长期处于一个封闭的“内循环”中，经常是“自己宣传自己听，自己写稿自己看”，宣传实效打折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措施：优化生态环境公共文化平台建设。提升政务新媒体公开工作，展现东城区生态环境建设进展及成效。创新方法，适应分众化、差异化传播趋势，集中力量做优做强政务新媒体主账号，促使生态环境宣传公开工作不断推陈出新，寻求突破。进一步提升政务新媒体推文发布时效、发布频次、原创水平和内容质量；探索用好新媒体传播特质与规律，拓展信息服务形态，根据公众需求和行为进行内容定制与精准推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5"/>
        <w:jc w:val="left"/>
        <w:textAlignment w:val="auto"/>
        <w:outlineLvl w:val="9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本单位依据《政府信息公开信息处理费管理办法》收取信息处理费，本年度发出收费通知的件数和总金额以及实际收取的总金额均为0。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君黑KW 55J">
    <w:altName w:val="黑体"/>
    <w:panose1 w:val="00020600040101010101"/>
    <w:charset w:val="86"/>
    <w:family w:val="auto"/>
    <w:pitch w:val="default"/>
    <w:sig w:usb0="00000000" w:usb1="00000000" w:usb2="00000016" w:usb3="00000000" w:csb0="0004000F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Kingsoft 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F3309"/>
    <w:multiLevelType w:val="singleLevel"/>
    <w:tmpl w:val="677F3309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904E1"/>
    <w:rsid w:val="06E37432"/>
    <w:rsid w:val="09353AB7"/>
    <w:rsid w:val="0D012E64"/>
    <w:rsid w:val="19E02590"/>
    <w:rsid w:val="1BFE4990"/>
    <w:rsid w:val="1FC97FF1"/>
    <w:rsid w:val="2A2571CE"/>
    <w:rsid w:val="2FAA292D"/>
    <w:rsid w:val="30172BBE"/>
    <w:rsid w:val="320D300F"/>
    <w:rsid w:val="3CE42340"/>
    <w:rsid w:val="3FB045B4"/>
    <w:rsid w:val="403129F1"/>
    <w:rsid w:val="48743D03"/>
    <w:rsid w:val="4D8418D4"/>
    <w:rsid w:val="4FDF52CC"/>
    <w:rsid w:val="52710362"/>
    <w:rsid w:val="5B0F489B"/>
    <w:rsid w:val="5FDE012E"/>
    <w:rsid w:val="660F2363"/>
    <w:rsid w:val="6EB37882"/>
    <w:rsid w:val="714904E1"/>
    <w:rsid w:val="795732BC"/>
    <w:rsid w:val="7E8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2025-01-09T01:37:00Z</dcterms:created>
  <dc:creator>丁笑微</dc:creator>
  <cp:lastModifiedBy>丁笑微</cp:lastModifiedBy>
  <dcterms:modified xsi:type="dcterms:W3CDTF">2026-01-14T01:14:35Z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