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C9A74">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东城区卫生健康委员会</w:t>
      </w:r>
    </w:p>
    <w:p w14:paraId="77C2D3C5">
      <w:pPr>
        <w:spacing w:line="540" w:lineRule="exact"/>
        <w:jc w:val="center"/>
        <w:rPr>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4BDCA205">
      <w:pPr>
        <w:widowControl/>
        <w:spacing w:line="560" w:lineRule="exact"/>
        <w:jc w:val="left"/>
        <w:rPr>
          <w:rFonts w:ascii="微软雅黑" w:hAnsi="微软雅黑" w:eastAsia="微软雅黑" w:cs="宋体"/>
          <w:color w:val="404040"/>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3049F626">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6AE61E91">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5D4A99D4">
      <w:pPr>
        <w:pStyle w:val="2"/>
        <w:widowControl w:val="0"/>
        <w:numPr>
          <w:ilvl w:val="0"/>
          <w:numId w:val="0"/>
        </w:numPr>
        <w:wordWrap/>
        <w:adjustRightInd/>
        <w:snapToGrid/>
        <w:spacing w:line="560" w:lineRule="exact"/>
        <w:ind w:firstLine="640" w:firstLineChars="200"/>
        <w:textAlignment w:val="auto"/>
        <w:rPr>
          <w:rFonts w:hint="eastAsia" w:ascii="仿宋_GB2312" w:hAnsi="宋体" w:eastAsia="仿宋_GB2312" w:cs="宋体"/>
          <w:spacing w:val="8"/>
          <w:kern w:val="0"/>
          <w:sz w:val="32"/>
          <w:szCs w:val="32"/>
          <w:lang w:val="en-US" w:eastAsia="zh-CN"/>
        </w:rPr>
      </w:pPr>
      <w:r>
        <w:rPr>
          <w:rFonts w:hint="eastAsia" w:ascii="楷体_GB2312" w:hAnsi="楷体_GB2312" w:eastAsia="楷体_GB2312" w:cs="楷体_GB2312"/>
          <w:color w:val="auto"/>
          <w:spacing w:val="0"/>
          <w:kern w:val="0"/>
          <w:sz w:val="32"/>
          <w:szCs w:val="32"/>
          <w:lang w:val="en-US" w:eastAsia="zh-CN"/>
        </w:rPr>
        <w:t>（一）强化组织领导</w:t>
      </w:r>
    </w:p>
    <w:p w14:paraId="755192E5">
      <w:pPr>
        <w:pStyle w:val="2"/>
        <w:widowControl w:val="0"/>
        <w:numPr>
          <w:ilvl w:val="0"/>
          <w:numId w:val="0"/>
        </w:numPr>
        <w:wordWrap/>
        <w:adjustRightInd/>
        <w:snapToGrid/>
        <w:spacing w:line="560" w:lineRule="exact"/>
        <w:ind w:firstLine="672" w:firstLineChars="200"/>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spacing w:val="8"/>
          <w:kern w:val="0"/>
          <w:sz w:val="32"/>
          <w:szCs w:val="32"/>
          <w:lang w:val="en-US" w:eastAsia="zh-CN"/>
        </w:rPr>
        <w:t>2025年东城区卫生健康委员会深入贯彻党的二十大和二十届历次全会精神，落实好国务院及市、区关于政务公开工作的各项决策部署，坚持以人民为中心的发展思想，将政务信息公开作为推进依法行政、提升卫生健康治理</w:t>
      </w:r>
      <w:bookmarkStart w:id="0" w:name="_GoBack"/>
      <w:bookmarkEnd w:id="0"/>
      <w:r>
        <w:rPr>
          <w:rFonts w:hint="default" w:ascii="Times New Roman" w:hAnsi="Times New Roman" w:eastAsia="仿宋_GB2312" w:cs="Times New Roman"/>
          <w:spacing w:val="8"/>
          <w:kern w:val="0"/>
          <w:sz w:val="32"/>
          <w:szCs w:val="32"/>
          <w:lang w:val="en-US" w:eastAsia="zh-CN"/>
        </w:rPr>
        <w:t>能力、保障群众知情权和监督权的重要抓手，深化认识、统筹谋划、精准发力、狠抓落实，政务公开工作标准化规范化推进，</w:t>
      </w:r>
      <w:r>
        <w:rPr>
          <w:rFonts w:hint="default" w:ascii="Times New Roman" w:hAnsi="Times New Roman" w:eastAsia="仿宋_GB2312" w:cs="Times New Roman"/>
          <w:b w:val="0"/>
          <w:bCs w:val="0"/>
          <w:kern w:val="2"/>
          <w:sz w:val="32"/>
          <w:szCs w:val="32"/>
          <w:highlight w:val="none"/>
          <w:lang w:val="en-US" w:eastAsia="zh-CN" w:bidi="ar-SA"/>
        </w:rPr>
        <w:t>健康东城高质量发展迈上新台阶</w:t>
      </w:r>
      <w:r>
        <w:rPr>
          <w:rFonts w:hint="default" w:ascii="Times New Roman" w:hAnsi="Times New Roman" w:eastAsia="仿宋_GB2312" w:cs="Times New Roman"/>
          <w:bCs/>
          <w:sz w:val="32"/>
          <w:szCs w:val="32"/>
          <w:highlight w:val="none"/>
          <w:lang w:eastAsia="zh-CN"/>
        </w:rPr>
        <w:t>。</w:t>
      </w:r>
    </w:p>
    <w:p w14:paraId="6A3AE7E5">
      <w:pPr>
        <w:pStyle w:val="2"/>
        <w:widowControl w:val="0"/>
        <w:numPr>
          <w:ilvl w:val="0"/>
          <w:numId w:val="0"/>
        </w:numPr>
        <w:wordWrap/>
        <w:adjustRightInd/>
        <w:snapToGrid/>
        <w:spacing w:line="560" w:lineRule="exact"/>
        <w:ind w:firstLine="640" w:firstLineChars="200"/>
        <w:textAlignment w:val="auto"/>
        <w:rPr>
          <w:rFonts w:hint="eastAsia" w:ascii="楷体_GB2312" w:hAnsi="楷体_GB2312" w:eastAsia="楷体_GB2312" w:cs="楷体_GB2312"/>
          <w:color w:val="auto"/>
          <w:spacing w:val="0"/>
          <w:kern w:val="0"/>
          <w:sz w:val="32"/>
          <w:szCs w:val="32"/>
          <w:lang w:val="en-US" w:eastAsia="zh-CN"/>
        </w:rPr>
      </w:pPr>
      <w:r>
        <w:rPr>
          <w:rFonts w:hint="eastAsia" w:ascii="楷体_GB2312" w:hAnsi="楷体_GB2312" w:eastAsia="楷体_GB2312" w:cs="楷体_GB2312"/>
          <w:color w:val="auto"/>
          <w:spacing w:val="0"/>
          <w:kern w:val="0"/>
          <w:sz w:val="32"/>
          <w:szCs w:val="32"/>
          <w:lang w:val="en-US" w:eastAsia="zh-CN"/>
        </w:rPr>
        <w:t>（二）主动公开情况</w:t>
      </w:r>
    </w:p>
    <w:p w14:paraId="34B24733">
      <w:pPr>
        <w:pStyle w:val="2"/>
        <w:widowControl w:val="0"/>
        <w:numPr>
          <w:ilvl w:val="0"/>
          <w:numId w:val="0"/>
        </w:numPr>
        <w:wordWrap/>
        <w:adjustRightInd/>
        <w:snapToGrid/>
        <w:spacing w:line="560" w:lineRule="exact"/>
        <w:ind w:firstLine="640" w:firstLineChars="200"/>
        <w:textAlignment w:val="auto"/>
        <w:rPr>
          <w:rFonts w:hint="default" w:ascii="Times New Roman" w:hAnsi="Times New Roman" w:eastAsia="仿宋_GB2312" w:cs="Times New Roman"/>
          <w:color w:val="auto"/>
          <w:spacing w:val="0"/>
          <w:kern w:val="0"/>
          <w:sz w:val="32"/>
          <w:szCs w:val="32"/>
          <w:lang w:val="en-US" w:eastAsia="zh-CN"/>
        </w:rPr>
      </w:pPr>
      <w:r>
        <w:rPr>
          <w:rFonts w:hint="eastAsia" w:ascii="Times New Roman" w:hAnsi="Times New Roman" w:eastAsia="仿宋_GB2312" w:cs="Times New Roman"/>
          <w:color w:val="auto"/>
          <w:spacing w:val="0"/>
          <w:kern w:val="0"/>
          <w:sz w:val="32"/>
          <w:szCs w:val="32"/>
          <w:lang w:val="en-US" w:eastAsia="zh-CN"/>
        </w:rPr>
        <w:t>1.多渠道协同，拓宽传播路径。充分发挥</w:t>
      </w:r>
      <w:r>
        <w:rPr>
          <w:rFonts w:hint="default" w:ascii="Times New Roman" w:hAnsi="Times New Roman" w:eastAsia="仿宋_GB2312" w:cs="Times New Roman"/>
          <w:color w:val="auto"/>
          <w:spacing w:val="0"/>
          <w:kern w:val="0"/>
          <w:sz w:val="32"/>
          <w:szCs w:val="32"/>
          <w:lang w:val="en-US" w:eastAsia="zh-CN"/>
        </w:rPr>
        <w:t>东城区政府门户</w:t>
      </w:r>
      <w:r>
        <w:rPr>
          <w:rFonts w:hint="eastAsia" w:ascii="Times New Roman" w:hAnsi="Times New Roman" w:eastAsia="仿宋_GB2312" w:cs="Times New Roman"/>
          <w:color w:val="auto"/>
          <w:spacing w:val="0"/>
          <w:kern w:val="0"/>
          <w:sz w:val="32"/>
          <w:szCs w:val="32"/>
          <w:lang w:val="en-US" w:eastAsia="zh-CN"/>
        </w:rPr>
        <w:t>官方</w:t>
      </w:r>
      <w:r>
        <w:rPr>
          <w:rFonts w:hint="default" w:ascii="Times New Roman" w:hAnsi="Times New Roman" w:eastAsia="仿宋_GB2312" w:cs="Times New Roman"/>
          <w:color w:val="auto"/>
          <w:spacing w:val="0"/>
          <w:kern w:val="0"/>
          <w:sz w:val="32"/>
          <w:szCs w:val="32"/>
          <w:lang w:val="en-US" w:eastAsia="zh-CN"/>
        </w:rPr>
        <w:t>网站</w:t>
      </w:r>
      <w:r>
        <w:rPr>
          <w:rFonts w:hint="eastAsia" w:ascii="Times New Roman" w:hAnsi="Times New Roman" w:eastAsia="仿宋_GB2312" w:cs="Times New Roman"/>
          <w:color w:val="auto"/>
          <w:spacing w:val="0"/>
          <w:kern w:val="0"/>
          <w:sz w:val="32"/>
          <w:szCs w:val="32"/>
          <w:lang w:val="en-US" w:eastAsia="zh-CN"/>
        </w:rPr>
        <w:t>主</w:t>
      </w:r>
      <w:r>
        <w:rPr>
          <w:rFonts w:hint="default" w:ascii="Times New Roman" w:hAnsi="Times New Roman" w:eastAsia="仿宋_GB2312" w:cs="Times New Roman"/>
          <w:color w:val="auto"/>
          <w:spacing w:val="0"/>
          <w:kern w:val="0"/>
          <w:sz w:val="32"/>
          <w:szCs w:val="32"/>
          <w:lang w:val="en-US" w:eastAsia="zh-CN"/>
        </w:rPr>
        <w:t>阵地作用。2025年，</w:t>
      </w:r>
      <w:r>
        <w:rPr>
          <w:rFonts w:hint="default" w:ascii="Times New Roman" w:hAnsi="Times New Roman" w:eastAsia="仿宋_GB2312" w:cs="Times New Roman"/>
          <w:color w:val="auto"/>
          <w:spacing w:val="8"/>
          <w:kern w:val="0"/>
          <w:sz w:val="32"/>
          <w:szCs w:val="32"/>
          <w:lang w:val="en-US" w:eastAsia="zh-CN"/>
        </w:rPr>
        <w:t>我委</w:t>
      </w:r>
      <w:r>
        <w:rPr>
          <w:rFonts w:hint="eastAsia" w:ascii="Times New Roman" w:hAnsi="Times New Roman" w:eastAsia="仿宋_GB2312" w:cs="Times New Roman"/>
          <w:color w:val="auto"/>
          <w:spacing w:val="8"/>
          <w:kern w:val="0"/>
          <w:sz w:val="32"/>
          <w:szCs w:val="32"/>
          <w:lang w:val="en-US" w:eastAsia="zh-CN"/>
        </w:rPr>
        <w:t>利用北京市东城区人民政府</w:t>
      </w:r>
      <w:r>
        <w:rPr>
          <w:rFonts w:hint="default" w:ascii="Times New Roman" w:hAnsi="Times New Roman" w:eastAsia="仿宋_GB2312" w:cs="Times New Roman"/>
          <w:color w:val="auto"/>
          <w:spacing w:val="8"/>
          <w:kern w:val="0"/>
          <w:sz w:val="32"/>
          <w:szCs w:val="32"/>
          <w:lang w:val="en-US" w:eastAsia="zh-CN"/>
        </w:rPr>
        <w:t>网站共发布信息208条，其中领导介绍6条、工作动态87条、通知公告70条、双公示45条。发挥新媒</w:t>
      </w:r>
      <w:r>
        <w:rPr>
          <w:rFonts w:hint="eastAsia" w:ascii="仿宋_GB2312" w:hAnsi="宋体" w:eastAsia="仿宋_GB2312" w:cs="宋体"/>
          <w:color w:val="auto"/>
          <w:spacing w:val="8"/>
          <w:kern w:val="0"/>
          <w:sz w:val="32"/>
          <w:szCs w:val="32"/>
          <w:lang w:val="en-US" w:eastAsia="zh-CN"/>
        </w:rPr>
        <w:t>体渠道优势，利用</w:t>
      </w:r>
      <w:r>
        <w:rPr>
          <w:rFonts w:hint="default" w:ascii="Times New Roman" w:hAnsi="Times New Roman" w:eastAsia="仿宋_GB2312" w:cs="Times New Roman"/>
          <w:color w:val="auto"/>
          <w:spacing w:val="0"/>
          <w:kern w:val="0"/>
          <w:sz w:val="32"/>
          <w:szCs w:val="32"/>
          <w:lang w:val="en-US" w:eastAsia="zh-CN"/>
        </w:rPr>
        <w:t>“健康伴您同行”微博、“健康东城”微信公众号</w:t>
      </w:r>
      <w:r>
        <w:rPr>
          <w:rFonts w:hint="eastAsia" w:ascii="Times New Roman" w:hAnsi="Times New Roman" w:eastAsia="仿宋_GB2312" w:cs="Times New Roman"/>
          <w:color w:val="auto"/>
          <w:spacing w:val="0"/>
          <w:kern w:val="0"/>
          <w:sz w:val="32"/>
          <w:szCs w:val="32"/>
          <w:lang w:val="en-US" w:eastAsia="zh-CN"/>
        </w:rPr>
        <w:t>等平台向公众发布信息，让政务信息以更高效、更生动、更直观的方式触达群众。全年</w:t>
      </w:r>
      <w:r>
        <w:rPr>
          <w:rFonts w:hint="default" w:ascii="Times New Roman" w:hAnsi="Times New Roman" w:eastAsia="仿宋_GB2312" w:cs="Times New Roman"/>
          <w:color w:val="auto"/>
          <w:spacing w:val="0"/>
          <w:kern w:val="0"/>
          <w:sz w:val="32"/>
          <w:szCs w:val="32"/>
          <w:lang w:val="en-US" w:eastAsia="zh-CN"/>
        </w:rPr>
        <w:t>微博更新信息</w:t>
      </w:r>
      <w:r>
        <w:rPr>
          <w:rFonts w:hint="eastAsia" w:ascii="Times New Roman" w:hAnsi="Times New Roman" w:eastAsia="仿宋_GB2312" w:cs="Times New Roman"/>
          <w:color w:val="auto"/>
          <w:spacing w:val="0"/>
          <w:kern w:val="0"/>
          <w:sz w:val="32"/>
          <w:szCs w:val="32"/>
          <w:lang w:val="en-US" w:eastAsia="zh-CN"/>
        </w:rPr>
        <w:t>125</w:t>
      </w:r>
      <w:r>
        <w:rPr>
          <w:rFonts w:hint="default" w:ascii="Times New Roman" w:hAnsi="Times New Roman" w:eastAsia="仿宋_GB2312" w:cs="Times New Roman"/>
          <w:color w:val="auto"/>
          <w:spacing w:val="0"/>
          <w:kern w:val="0"/>
          <w:sz w:val="32"/>
          <w:szCs w:val="32"/>
          <w:lang w:val="en-US" w:eastAsia="zh-CN"/>
        </w:rPr>
        <w:t>条，微信公众号发布信息</w:t>
      </w:r>
      <w:r>
        <w:rPr>
          <w:rFonts w:hint="eastAsia" w:ascii="Times New Roman" w:hAnsi="Times New Roman" w:eastAsia="仿宋_GB2312" w:cs="Times New Roman"/>
          <w:color w:val="auto"/>
          <w:spacing w:val="0"/>
          <w:kern w:val="0"/>
          <w:sz w:val="32"/>
          <w:szCs w:val="32"/>
          <w:lang w:val="en-US" w:eastAsia="zh-CN"/>
        </w:rPr>
        <w:t>736</w:t>
      </w:r>
      <w:r>
        <w:rPr>
          <w:rFonts w:hint="default" w:ascii="Times New Roman" w:hAnsi="Times New Roman" w:eastAsia="仿宋_GB2312" w:cs="Times New Roman"/>
          <w:color w:val="auto"/>
          <w:spacing w:val="0"/>
          <w:kern w:val="0"/>
          <w:sz w:val="32"/>
          <w:szCs w:val="32"/>
          <w:lang w:val="en-US" w:eastAsia="zh-CN"/>
        </w:rPr>
        <w:t>条，浏览量</w:t>
      </w:r>
      <w:r>
        <w:rPr>
          <w:rFonts w:hint="eastAsia" w:ascii="Times New Roman" w:hAnsi="Times New Roman" w:eastAsia="仿宋_GB2312" w:cs="Times New Roman"/>
          <w:color w:val="auto"/>
          <w:spacing w:val="0"/>
          <w:kern w:val="0"/>
          <w:sz w:val="32"/>
          <w:szCs w:val="32"/>
          <w:lang w:val="en-US" w:eastAsia="zh-CN"/>
        </w:rPr>
        <w:t>19</w:t>
      </w:r>
      <w:r>
        <w:rPr>
          <w:rFonts w:hint="default" w:ascii="Times New Roman" w:hAnsi="Times New Roman" w:eastAsia="仿宋_GB2312" w:cs="Times New Roman"/>
          <w:color w:val="auto"/>
          <w:spacing w:val="0"/>
          <w:kern w:val="0"/>
          <w:sz w:val="32"/>
          <w:szCs w:val="32"/>
          <w:lang w:val="en-US" w:eastAsia="zh-CN"/>
        </w:rPr>
        <w:t>万</w:t>
      </w:r>
      <w:r>
        <w:rPr>
          <w:rFonts w:hint="eastAsia" w:ascii="Times New Roman" w:hAnsi="Times New Roman" w:eastAsia="仿宋_GB2312" w:cs="Times New Roman"/>
          <w:color w:val="auto"/>
          <w:spacing w:val="0"/>
          <w:kern w:val="0"/>
          <w:sz w:val="32"/>
          <w:szCs w:val="32"/>
          <w:lang w:val="en-US" w:eastAsia="zh-CN"/>
        </w:rPr>
        <w:t>余</w:t>
      </w:r>
      <w:r>
        <w:rPr>
          <w:rFonts w:hint="default" w:ascii="Times New Roman" w:hAnsi="Times New Roman" w:eastAsia="仿宋_GB2312" w:cs="Times New Roman"/>
          <w:color w:val="auto"/>
          <w:spacing w:val="0"/>
          <w:kern w:val="0"/>
          <w:sz w:val="32"/>
          <w:szCs w:val="32"/>
          <w:lang w:val="en-US" w:eastAsia="zh-CN"/>
        </w:rPr>
        <w:t>次。</w:t>
      </w:r>
    </w:p>
    <w:p w14:paraId="54FA0598">
      <w:pPr>
        <w:pStyle w:val="2"/>
        <w:widowControl w:val="0"/>
        <w:numPr>
          <w:ilvl w:val="0"/>
          <w:numId w:val="0"/>
        </w:numPr>
        <w:wordWrap/>
        <w:adjustRightInd/>
        <w:snapToGrid/>
        <w:spacing w:line="560" w:lineRule="exact"/>
        <w:ind w:firstLine="640" w:firstLineChars="200"/>
        <w:textAlignment w:val="auto"/>
        <w:rPr>
          <w:rFonts w:hint="default" w:ascii="Times New Roman" w:hAnsi="Times New Roman" w:eastAsia="仿宋_GB2312" w:cs="Times New Roman"/>
          <w:color w:val="auto"/>
          <w:spacing w:val="0"/>
          <w:kern w:val="0"/>
          <w:sz w:val="32"/>
          <w:szCs w:val="32"/>
          <w:lang w:val="en-US" w:eastAsia="zh-CN"/>
        </w:rPr>
      </w:pPr>
      <w:r>
        <w:rPr>
          <w:rFonts w:hint="eastAsia" w:ascii="Times New Roman" w:hAnsi="Times New Roman" w:eastAsia="仿宋_GB2312" w:cs="Times New Roman"/>
          <w:color w:val="auto"/>
          <w:spacing w:val="0"/>
          <w:kern w:val="0"/>
          <w:sz w:val="32"/>
          <w:szCs w:val="32"/>
          <w:lang w:val="en-US" w:eastAsia="zh-CN"/>
        </w:rPr>
        <w:t>线下积极开展“政务开放日”活动，我委组织专业人员组成宣传队伍，走进企业开展《职业病防治法》宣传周活动。近距离、面对面地向各快递企业的劳动者开展丰富多彩的宣传活动，宣传形式包括：向快递员重点讲解夏季中暑预防知识，对职业紧张心理进行疏导；发放《职业病防治法》宣传资料；一对一地为快递员答疑解惑，有针对性地讲解职业病预防相关知识；与企业负责人进行沟通，深入了解快递行业的工作模式，交流职业病预防的管理措施。活动进一步推动落实辖区用人单位职业病防治主体责任意识，提升劳动者职业健康素养水平，切实保障广大劳动者的职业健康权益。</w:t>
      </w:r>
    </w:p>
    <w:p w14:paraId="4AE9A38A">
      <w:pPr>
        <w:pStyle w:val="2"/>
        <w:widowControl w:val="0"/>
        <w:numPr>
          <w:ilvl w:val="0"/>
          <w:numId w:val="0"/>
        </w:numPr>
        <w:wordWrap/>
        <w:adjustRightInd/>
        <w:snapToGrid/>
        <w:spacing w:line="560" w:lineRule="exact"/>
        <w:ind w:firstLine="640" w:firstLineChars="200"/>
        <w:textAlignment w:val="auto"/>
        <w:rPr>
          <w:rFonts w:hint="eastAsia" w:ascii="Times New Roman" w:hAnsi="Times New Roman" w:eastAsia="仿宋_GB2312" w:cs="Times New Roman"/>
          <w:color w:val="auto"/>
          <w:spacing w:val="0"/>
          <w:sz w:val="32"/>
          <w:szCs w:val="32"/>
          <w:lang w:eastAsia="zh-CN"/>
        </w:rPr>
      </w:pPr>
      <w:r>
        <w:rPr>
          <w:rFonts w:hint="eastAsia" w:ascii="Times New Roman" w:hAnsi="Times New Roman" w:eastAsia="仿宋_GB2312" w:cs="Times New Roman"/>
          <w:color w:val="auto"/>
          <w:spacing w:val="0"/>
          <w:kern w:val="0"/>
          <w:sz w:val="32"/>
          <w:szCs w:val="32"/>
          <w:lang w:val="en-US" w:eastAsia="zh-CN"/>
        </w:rPr>
        <w:t>2.聚焦重点领域，提高公开质量。</w:t>
      </w:r>
      <w:r>
        <w:rPr>
          <w:rFonts w:hint="default" w:ascii="Times New Roman" w:hAnsi="Times New Roman" w:eastAsia="仿宋_GB2312" w:cs="Times New Roman"/>
          <w:color w:val="auto"/>
          <w:spacing w:val="0"/>
          <w:kern w:val="0"/>
          <w:sz w:val="32"/>
          <w:szCs w:val="32"/>
          <w:lang w:val="en-US" w:eastAsia="zh-CN"/>
        </w:rPr>
        <w:t>通过东城区政府门户网站、微博、微信公众号等平台积极更新信息</w:t>
      </w:r>
      <w:r>
        <w:rPr>
          <w:rFonts w:hint="eastAsia" w:ascii="Times New Roman" w:hAnsi="Times New Roman" w:eastAsia="仿宋_GB2312" w:cs="Times New Roman"/>
          <w:color w:val="auto"/>
          <w:spacing w:val="0"/>
          <w:kern w:val="0"/>
          <w:sz w:val="32"/>
          <w:szCs w:val="32"/>
          <w:lang w:val="en-US" w:eastAsia="zh-CN"/>
        </w:rPr>
        <w:t>，确保政策文件精准公开、重点工作及时公开、群众关切透明公开。</w:t>
      </w:r>
      <w:r>
        <w:rPr>
          <w:rFonts w:hint="default" w:ascii="Times New Roman" w:hAnsi="Times New Roman" w:eastAsia="仿宋_GB2312" w:cs="Times New Roman"/>
          <w:color w:val="auto"/>
          <w:spacing w:val="0"/>
          <w:sz w:val="32"/>
          <w:szCs w:val="32"/>
        </w:rPr>
        <w:t>积极公开建议提案办理结果，网站公开建议提案办理报告共计</w:t>
      </w:r>
      <w:r>
        <w:rPr>
          <w:rFonts w:hint="eastAsia" w:ascii="Times New Roman" w:hAnsi="Times New Roman" w:eastAsia="仿宋_GB2312" w:cs="Times New Roman"/>
          <w:color w:val="auto"/>
          <w:spacing w:val="0"/>
          <w:sz w:val="32"/>
          <w:szCs w:val="32"/>
          <w:lang w:val="en-US" w:eastAsia="zh-CN"/>
        </w:rPr>
        <w:t>36</w:t>
      </w:r>
      <w:r>
        <w:rPr>
          <w:rFonts w:hint="default" w:ascii="Times New Roman" w:hAnsi="Times New Roman" w:eastAsia="仿宋_GB2312" w:cs="Times New Roman"/>
          <w:color w:val="auto"/>
          <w:spacing w:val="0"/>
          <w:sz w:val="32"/>
          <w:szCs w:val="32"/>
        </w:rPr>
        <w:t>件。持续公开我委推进医疗质量管理相关工作信息111条，其中组织相关专业培训检查督导22条，质控中心建设相关工作21条，医联体建设9条，组织献血等其他工作59条</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中医管理</w:t>
      </w:r>
      <w:r>
        <w:rPr>
          <w:rFonts w:hint="eastAsia" w:ascii="Times New Roman" w:hAnsi="Times New Roman" w:eastAsia="仿宋_GB2312" w:cs="Times New Roman"/>
          <w:color w:val="auto"/>
          <w:spacing w:val="0"/>
          <w:sz w:val="32"/>
          <w:szCs w:val="32"/>
          <w:lang w:eastAsia="zh-CN"/>
        </w:rPr>
        <w:t>工作信息</w:t>
      </w:r>
      <w:r>
        <w:rPr>
          <w:rFonts w:hint="default" w:ascii="Times New Roman" w:hAnsi="Times New Roman" w:eastAsia="仿宋_GB2312" w:cs="Times New Roman"/>
          <w:color w:val="auto"/>
          <w:spacing w:val="0"/>
          <w:sz w:val="32"/>
          <w:szCs w:val="32"/>
        </w:rPr>
        <w:t>14条，其中国家中医药传承创新发展试验区建设11条，组织相关专业培训2条，中西医结合紧密型医联体建设1条</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人口健康</w:t>
      </w:r>
      <w:r>
        <w:rPr>
          <w:rFonts w:hint="eastAsia" w:ascii="Times New Roman" w:hAnsi="Times New Roman" w:eastAsia="仿宋_GB2312" w:cs="Times New Roman"/>
          <w:color w:val="auto"/>
          <w:spacing w:val="0"/>
          <w:sz w:val="32"/>
          <w:szCs w:val="32"/>
          <w:lang w:eastAsia="zh-CN"/>
        </w:rPr>
        <w:t>工作信息</w:t>
      </w:r>
      <w:r>
        <w:rPr>
          <w:rFonts w:hint="default" w:ascii="Times New Roman" w:hAnsi="Times New Roman" w:eastAsia="仿宋_GB2312" w:cs="Times New Roman"/>
          <w:color w:val="auto"/>
          <w:spacing w:val="0"/>
          <w:sz w:val="32"/>
          <w:szCs w:val="32"/>
        </w:rPr>
        <w:t>9条，其中推进普惠托育服务体系建设类3条，特殊人群体检招标2条，特殊人群保险招标3条，儿童保健工作总结会1条</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健康促进（爱卫）工作信息25条，</w:t>
      </w:r>
      <w:r>
        <w:rPr>
          <w:rFonts w:hint="eastAsia" w:ascii="Times New Roman" w:hAnsi="Times New Roman" w:eastAsia="仿宋_GB2312" w:cs="Times New Roman"/>
          <w:color w:val="auto"/>
          <w:spacing w:val="0"/>
          <w:sz w:val="32"/>
          <w:szCs w:val="32"/>
          <w:lang w:eastAsia="zh-CN"/>
        </w:rPr>
        <w:t>其中</w:t>
      </w:r>
      <w:r>
        <w:rPr>
          <w:rFonts w:hint="default" w:ascii="Times New Roman" w:hAnsi="Times New Roman" w:eastAsia="仿宋_GB2312" w:cs="Times New Roman"/>
          <w:color w:val="auto"/>
          <w:spacing w:val="0"/>
          <w:sz w:val="32"/>
          <w:szCs w:val="32"/>
        </w:rPr>
        <w:t>区级爱国卫生工作培训会6条，市爱卫办控烟督导信息1条，《北京市控制吸烟条例》实施十周年倒计时相关控烟宣传活动8条，病媒生物防制、孳生地调查项目采购结果公告及病媒防制宣传工作6条，主题周末卫生日等工作信息4条</w:t>
      </w:r>
      <w:r>
        <w:rPr>
          <w:rFonts w:hint="eastAsia" w:ascii="Times New Roman" w:hAnsi="Times New Roman" w:eastAsia="仿宋_GB2312" w:cs="Times New Roman"/>
          <w:color w:val="auto"/>
          <w:spacing w:val="0"/>
          <w:sz w:val="32"/>
          <w:szCs w:val="32"/>
          <w:lang w:eastAsia="zh-CN"/>
        </w:rPr>
        <w:t>；疾病预防控制工作信息</w:t>
      </w:r>
      <w:r>
        <w:rPr>
          <w:rFonts w:hint="eastAsia" w:ascii="Times New Roman" w:hAnsi="Times New Roman" w:eastAsia="仿宋_GB2312" w:cs="Times New Roman"/>
          <w:color w:val="auto"/>
          <w:spacing w:val="0"/>
          <w:sz w:val="32"/>
          <w:szCs w:val="32"/>
          <w:lang w:val="en-US" w:eastAsia="zh-CN"/>
        </w:rPr>
        <w:t>2条，其中辖区体重门诊地图1条，流感疫苗接种门诊1条</w:t>
      </w:r>
      <w:r>
        <w:rPr>
          <w:rFonts w:hint="default" w:ascii="Times New Roman" w:hAnsi="Times New Roman" w:eastAsia="仿宋_GB2312" w:cs="Times New Roman"/>
          <w:color w:val="auto"/>
          <w:spacing w:val="0"/>
          <w:sz w:val="32"/>
          <w:szCs w:val="32"/>
        </w:rPr>
        <w:t>。</w:t>
      </w:r>
    </w:p>
    <w:p w14:paraId="54B807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 w:cs="Times New Roman"/>
          <w:spacing w:val="0"/>
          <w:kern w:val="2"/>
          <w:sz w:val="32"/>
          <w:szCs w:val="32"/>
          <w:lang w:val="en-US" w:eastAsia="zh-CN" w:bidi="ar-SA"/>
        </w:rPr>
        <w:t>3.</w:t>
      </w:r>
      <w:r>
        <w:rPr>
          <w:rFonts w:hint="eastAsia" w:eastAsia="仿宋" w:cs="Times New Roman"/>
          <w:spacing w:val="0"/>
          <w:kern w:val="2"/>
          <w:sz w:val="32"/>
          <w:szCs w:val="32"/>
          <w:lang w:val="en-US" w:eastAsia="zh-CN" w:bidi="ar-SA"/>
        </w:rPr>
        <w:t>强化日常</w:t>
      </w:r>
      <w:r>
        <w:rPr>
          <w:rFonts w:hint="eastAsia" w:ascii="Times New Roman" w:hAnsi="Times New Roman" w:eastAsia="仿宋" w:cs="Times New Roman"/>
          <w:spacing w:val="0"/>
          <w:kern w:val="2"/>
          <w:sz w:val="32"/>
          <w:szCs w:val="32"/>
          <w:lang w:val="en-US" w:eastAsia="zh-CN" w:bidi="ar-SA"/>
        </w:rPr>
        <w:t>管理</w:t>
      </w:r>
      <w:r>
        <w:rPr>
          <w:rFonts w:hint="default" w:ascii="Times New Roman" w:hAnsi="Times New Roman" w:eastAsia="仿宋" w:cs="Times New Roman"/>
          <w:spacing w:val="0"/>
          <w:kern w:val="2"/>
          <w:sz w:val="32"/>
          <w:szCs w:val="32"/>
          <w:lang w:val="en-US" w:eastAsia="zh-CN" w:bidi="ar-SA"/>
        </w:rPr>
        <w:t>，畅通</w:t>
      </w:r>
      <w:r>
        <w:rPr>
          <w:rFonts w:hint="eastAsia" w:eastAsia="仿宋" w:cs="Times New Roman"/>
          <w:spacing w:val="0"/>
          <w:kern w:val="2"/>
          <w:sz w:val="32"/>
          <w:szCs w:val="32"/>
          <w:lang w:val="en-US" w:eastAsia="zh-CN" w:bidi="ar-SA"/>
        </w:rPr>
        <w:t>联络机制。</w:t>
      </w:r>
      <w:r>
        <w:rPr>
          <w:rFonts w:hint="eastAsia" w:ascii="Times New Roman" w:hAnsi="Times New Roman" w:eastAsia="仿宋_GB2312" w:cs="Times New Roman"/>
          <w:color w:val="auto"/>
          <w:spacing w:val="0"/>
          <w:kern w:val="0"/>
          <w:sz w:val="32"/>
          <w:szCs w:val="32"/>
          <w:lang w:val="en-US" w:eastAsia="zh-CN"/>
        </w:rPr>
        <w:t>根据市区有关工作要求完善修订</w:t>
      </w:r>
      <w:r>
        <w:rPr>
          <w:rFonts w:hint="default" w:ascii="Times New Roman" w:hAnsi="Times New Roman" w:eastAsia="仿宋_GB2312" w:cs="Times New Roman"/>
          <w:color w:val="auto"/>
          <w:spacing w:val="0"/>
          <w:kern w:val="0"/>
          <w:sz w:val="32"/>
          <w:szCs w:val="32"/>
          <w:lang w:val="en-US" w:eastAsia="zh-CN"/>
        </w:rPr>
        <w:t>《20</w:t>
      </w:r>
      <w:r>
        <w:rPr>
          <w:rFonts w:hint="eastAsia" w:ascii="Times New Roman" w:hAnsi="Times New Roman" w:eastAsia="仿宋_GB2312" w:cs="Times New Roman"/>
          <w:color w:val="auto"/>
          <w:spacing w:val="0"/>
          <w:kern w:val="0"/>
          <w:sz w:val="32"/>
          <w:szCs w:val="32"/>
          <w:lang w:val="en-US" w:eastAsia="zh-CN"/>
        </w:rPr>
        <w:t>25</w:t>
      </w:r>
      <w:r>
        <w:rPr>
          <w:rFonts w:hint="default" w:ascii="Times New Roman" w:hAnsi="Times New Roman" w:eastAsia="仿宋_GB2312" w:cs="Times New Roman"/>
          <w:color w:val="auto"/>
          <w:spacing w:val="0"/>
          <w:kern w:val="0"/>
          <w:sz w:val="32"/>
          <w:szCs w:val="32"/>
          <w:lang w:val="en-US" w:eastAsia="zh-CN"/>
        </w:rPr>
        <w:t>年东城区卫生健康委信息公开指南》</w:t>
      </w:r>
      <w:r>
        <w:rPr>
          <w:rFonts w:hint="eastAsia" w:ascii="Times New Roman" w:hAnsi="Times New Roman" w:eastAsia="仿宋_GB2312" w:cs="Times New Roman"/>
          <w:color w:val="auto"/>
          <w:spacing w:val="0"/>
          <w:kern w:val="0"/>
          <w:sz w:val="32"/>
          <w:szCs w:val="32"/>
          <w:lang w:val="en-US" w:eastAsia="zh-CN"/>
        </w:rPr>
        <w:t>，</w:t>
      </w:r>
      <w:r>
        <w:rPr>
          <w:rFonts w:hint="eastAsia" w:eastAsia="仿宋_GB2312" w:cs="Times New Roman"/>
          <w:color w:val="auto"/>
          <w:spacing w:val="0"/>
          <w:kern w:val="0"/>
          <w:sz w:val="32"/>
          <w:szCs w:val="32"/>
          <w:lang w:val="en-US" w:eastAsia="zh-CN"/>
        </w:rPr>
        <w:t>确保政务信息公开外联电话畅通，推进政务公开走深走实</w:t>
      </w:r>
      <w:r>
        <w:rPr>
          <w:rFonts w:hint="default" w:ascii="Times New Roman" w:hAnsi="Times New Roman" w:eastAsia="仿宋_GB2312" w:cs="Times New Roman"/>
          <w:color w:val="auto"/>
          <w:spacing w:val="0"/>
          <w:kern w:val="0"/>
          <w:sz w:val="32"/>
          <w:szCs w:val="32"/>
          <w:lang w:val="en-US" w:eastAsia="zh-CN"/>
        </w:rPr>
        <w:t>。</w:t>
      </w:r>
      <w:r>
        <w:rPr>
          <w:rFonts w:hint="default" w:ascii="Times New Roman" w:hAnsi="Times New Roman" w:eastAsia="仿宋" w:cs="Times New Roman"/>
          <w:spacing w:val="0"/>
          <w:sz w:val="32"/>
          <w:szCs w:val="32"/>
        </w:rPr>
        <w:t>定期对领导简历、机构设置等政务信息进行修订。严格落实行政许可、行政处罚信息“双公示”制度，推进“双随机、一公开”工作落实</w:t>
      </w:r>
      <w:r>
        <w:rPr>
          <w:rFonts w:hint="default" w:ascii="Times New Roman" w:hAnsi="Times New Roman" w:eastAsia="仿宋_GB2312" w:cs="Times New Roman"/>
          <w:spacing w:val="0"/>
          <w:sz w:val="32"/>
          <w:szCs w:val="32"/>
        </w:rPr>
        <w:t>。确保作出行政处罚、行政许可之日起，7个工作日内主动公开相关结果内容。</w:t>
      </w:r>
    </w:p>
    <w:p w14:paraId="401A6CDF">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pacing w:val="0"/>
          <w:kern w:val="0"/>
          <w:sz w:val="32"/>
          <w:szCs w:val="32"/>
          <w:lang w:val="en-US" w:eastAsia="zh-CN"/>
        </w:rPr>
      </w:pPr>
      <w:r>
        <w:rPr>
          <w:rFonts w:hint="eastAsia" w:ascii="楷体_GB2312" w:hAnsi="楷体_GB2312" w:eastAsia="楷体_GB2312" w:cs="楷体_GB2312"/>
          <w:spacing w:val="0"/>
          <w:kern w:val="0"/>
          <w:sz w:val="32"/>
          <w:szCs w:val="32"/>
          <w:lang w:val="en-US" w:eastAsia="zh-CN"/>
        </w:rPr>
        <w:t>依申请公开情况</w:t>
      </w:r>
    </w:p>
    <w:p w14:paraId="3A28534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pacing w:val="0"/>
          <w:kern w:val="0"/>
          <w:sz w:val="32"/>
          <w:szCs w:val="32"/>
          <w:lang w:val="en-US" w:eastAsia="zh-CN" w:bidi="ar-SA"/>
        </w:rPr>
      </w:pPr>
      <w:r>
        <w:rPr>
          <w:rFonts w:hint="default" w:ascii="Times New Roman" w:hAnsi="Times New Roman" w:eastAsia="仿宋_GB2312" w:cs="Times New Roman"/>
          <w:color w:val="auto"/>
          <w:spacing w:val="0"/>
          <w:kern w:val="0"/>
          <w:sz w:val="32"/>
          <w:szCs w:val="32"/>
          <w:lang w:val="en-US" w:eastAsia="zh-CN" w:bidi="ar-SA"/>
        </w:rPr>
        <w:t>公开</w:t>
      </w:r>
      <w:r>
        <w:rPr>
          <w:rFonts w:hint="eastAsia" w:ascii="Times New Roman" w:hAnsi="Times New Roman" w:eastAsia="仿宋_GB2312" w:cs="Times New Roman"/>
          <w:color w:val="auto"/>
          <w:spacing w:val="0"/>
          <w:kern w:val="0"/>
          <w:sz w:val="32"/>
          <w:szCs w:val="32"/>
          <w:lang w:val="en-US" w:eastAsia="zh-CN" w:bidi="ar-SA"/>
        </w:rPr>
        <w:t>政府信息公开</w:t>
      </w:r>
      <w:r>
        <w:rPr>
          <w:rFonts w:hint="default" w:ascii="Times New Roman" w:hAnsi="Times New Roman" w:eastAsia="仿宋_GB2312" w:cs="Times New Roman"/>
          <w:color w:val="auto"/>
          <w:spacing w:val="0"/>
          <w:kern w:val="0"/>
          <w:sz w:val="32"/>
          <w:szCs w:val="32"/>
          <w:lang w:val="en-US" w:eastAsia="zh-CN" w:bidi="ar-SA"/>
        </w:rPr>
        <w:t>工作电话、邮箱和地址</w:t>
      </w:r>
      <w:r>
        <w:rPr>
          <w:rFonts w:hint="eastAsia" w:ascii="Times New Roman" w:hAnsi="Times New Roman" w:eastAsia="仿宋_GB2312" w:cs="Times New Roman"/>
          <w:color w:val="auto"/>
          <w:spacing w:val="0"/>
          <w:kern w:val="0"/>
          <w:sz w:val="32"/>
          <w:szCs w:val="32"/>
          <w:lang w:val="en-US" w:eastAsia="zh-CN" w:bidi="ar-SA"/>
        </w:rPr>
        <w:t>，依法依规办理政府信息公开申请。我委今年收到依申请公开24件，共办结25件，其中上年度结转2件。全年未收到依申请公开相关的行政复议和行政诉讼。</w:t>
      </w:r>
    </w:p>
    <w:p w14:paraId="4C63C579">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pacing w:val="0"/>
          <w:kern w:val="0"/>
          <w:sz w:val="32"/>
          <w:szCs w:val="32"/>
          <w:lang w:val="en-US" w:eastAsia="zh-CN"/>
        </w:rPr>
      </w:pPr>
      <w:r>
        <w:rPr>
          <w:rFonts w:hint="eastAsia" w:ascii="楷体_GB2312" w:hAnsi="楷体_GB2312" w:eastAsia="楷体_GB2312" w:cs="楷体_GB2312"/>
          <w:spacing w:val="0"/>
          <w:kern w:val="0"/>
          <w:sz w:val="32"/>
          <w:szCs w:val="32"/>
          <w:lang w:val="en-US" w:eastAsia="zh-CN"/>
        </w:rPr>
        <w:t>监督保障及教育培训情况</w:t>
      </w:r>
    </w:p>
    <w:p w14:paraId="32B68AF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pacing w:val="0"/>
          <w:kern w:val="0"/>
          <w:sz w:val="32"/>
          <w:szCs w:val="32"/>
          <w:lang w:val="en-US" w:eastAsia="zh-CN" w:bidi="ar-SA"/>
        </w:rPr>
      </w:pPr>
      <w:r>
        <w:rPr>
          <w:rFonts w:hint="eastAsia" w:ascii="Times New Roman" w:hAnsi="Times New Roman" w:eastAsia="仿宋_GB2312" w:cs="Times New Roman"/>
          <w:color w:val="auto"/>
          <w:spacing w:val="0"/>
          <w:kern w:val="0"/>
          <w:sz w:val="32"/>
          <w:szCs w:val="32"/>
          <w:lang w:val="en-US" w:eastAsia="zh-CN" w:bidi="ar-SA"/>
        </w:rPr>
        <w:t>根据领导职务变动情况，及时调整委政务信息公开主管领导。严格落实政务公开保密审查制度，强化科室协同推进，压实主体责任，按时报送答复意见。负责信息公开工作人员积极参加区政务和数据局组织的政务信息公开工作业务培训。</w:t>
      </w:r>
    </w:p>
    <w:p w14:paraId="5B65F96D">
      <w:pPr>
        <w:numPr>
          <w:ilvl w:val="0"/>
          <w:numId w:val="2"/>
        </w:numPr>
        <w:spacing w:line="560" w:lineRule="exact"/>
        <w:ind w:firstLine="672" w:firstLineChars="200"/>
        <w:rPr>
          <w:rFonts w:hint="eastAsia"/>
        </w:rPr>
      </w:pPr>
      <w:r>
        <w:rPr>
          <w:rFonts w:hint="eastAsia" w:ascii="黑体" w:hAnsi="黑体" w:eastAsia="黑体" w:cs="宋体"/>
          <w:spacing w:val="8"/>
          <w:kern w:val="0"/>
          <w:sz w:val="32"/>
          <w:szCs w:val="32"/>
        </w:rPr>
        <w:t>主</w:t>
      </w:r>
      <w:r>
        <w:rPr>
          <w:rFonts w:hint="eastAsia" w:ascii="黑体" w:hAnsi="黑体" w:eastAsia="黑体" w:cs="黑体"/>
          <w:sz w:val="32"/>
          <w:szCs w:val="32"/>
        </w:rPr>
        <w:t>动公开政府信息情况</w:t>
      </w:r>
    </w:p>
    <w:p w14:paraId="70C1A614">
      <w:pPr>
        <w:pStyle w:val="2"/>
        <w:numPr>
          <w:ilvl w:val="0"/>
          <w:numId w:val="0"/>
        </w:numPr>
        <w:rPr>
          <w:rFonts w:hint="eastAsia"/>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26B6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604F59A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第二十条第（一）项</w:t>
            </w:r>
          </w:p>
        </w:tc>
      </w:tr>
      <w:tr w14:paraId="7A70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2BE5E5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AC03F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46F49C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78F455A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现行有效件</w:t>
            </w:r>
            <w:r>
              <w:rPr>
                <w:rFonts w:hint="default" w:ascii="Times New Roman" w:hAnsi="Times New Roman" w:eastAsia="宋体" w:cs="Times New Roman"/>
                <w:kern w:val="0"/>
                <w:sz w:val="20"/>
                <w:szCs w:val="20"/>
                <w:lang w:val="en-US" w:eastAsia="zh-CN"/>
              </w:rPr>
              <w:t>数</w:t>
            </w:r>
          </w:p>
        </w:tc>
      </w:tr>
      <w:tr w14:paraId="5EAC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6A17B2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659B69B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309A7D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0B9F78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1"/>
                <w:szCs w:val="21"/>
                <w:lang w:val="en-US" w:eastAsia="zh-CN"/>
              </w:rPr>
              <w:t>0</w:t>
            </w:r>
          </w:p>
        </w:tc>
      </w:tr>
      <w:tr w14:paraId="32BD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2E506B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152F4C1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029CD7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649DC9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1"/>
                <w:szCs w:val="21"/>
                <w:lang w:val="en-US" w:eastAsia="zh-CN"/>
              </w:rPr>
              <w:t>0</w:t>
            </w:r>
          </w:p>
        </w:tc>
      </w:tr>
      <w:tr w14:paraId="1CF7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27AD78E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第二十条第（五）项</w:t>
            </w:r>
          </w:p>
        </w:tc>
      </w:tr>
      <w:tr w14:paraId="73B1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527F19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3EC1352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本年处理决定数量</w:t>
            </w:r>
          </w:p>
        </w:tc>
      </w:tr>
      <w:tr w14:paraId="3448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F23151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FD699A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1"/>
                <w:szCs w:val="21"/>
                <w:lang w:val="en-US" w:eastAsia="zh-CN"/>
              </w:rPr>
              <w:t>1194</w:t>
            </w:r>
          </w:p>
        </w:tc>
      </w:tr>
      <w:tr w14:paraId="2684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5AD7AFE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第二十条第（六）项</w:t>
            </w:r>
          </w:p>
        </w:tc>
      </w:tr>
      <w:tr w14:paraId="6565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009AFB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18B6E7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本年处理决定数量</w:t>
            </w:r>
          </w:p>
        </w:tc>
      </w:tr>
      <w:tr w14:paraId="53B6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E2E79D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2BA311B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747</w:t>
            </w:r>
          </w:p>
        </w:tc>
      </w:tr>
      <w:tr w14:paraId="4E41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60B996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517D6E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r>
      <w:tr w14:paraId="0640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7BCBEA1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第二十条第（八）项</w:t>
            </w:r>
          </w:p>
        </w:tc>
      </w:tr>
      <w:tr w14:paraId="179D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B7267D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01A9418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本年收费金额（单位：万元）</w:t>
            </w:r>
          </w:p>
        </w:tc>
      </w:tr>
      <w:tr w14:paraId="6C7B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6072C5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09D170F2">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color w:val="000000"/>
                <w:kern w:val="0"/>
                <w:sz w:val="20"/>
                <w:szCs w:val="20"/>
                <w:lang w:val="en-US" w:eastAsia="zh-CN"/>
              </w:rPr>
              <w:t>0</w:t>
            </w:r>
          </w:p>
        </w:tc>
      </w:tr>
    </w:tbl>
    <w:p w14:paraId="2CE495D2">
      <w:pPr>
        <w:pStyle w:val="2"/>
        <w:numPr>
          <w:ilvl w:val="0"/>
          <w:numId w:val="0"/>
        </w:numPr>
        <w:rPr>
          <w:rFonts w:hint="default" w:ascii="Times New Roman" w:hAnsi="Times New Roman" w:cs="Times New Roman"/>
        </w:rPr>
      </w:pPr>
    </w:p>
    <w:p w14:paraId="3094C462">
      <w:pPr>
        <w:pStyle w:val="2"/>
        <w:numPr>
          <w:ilvl w:val="0"/>
          <w:numId w:val="0"/>
        </w:numPr>
        <w:rPr>
          <w:rFonts w:hint="default" w:ascii="Times New Roman" w:hAnsi="Times New Roman" w:cs="Times New Roman"/>
        </w:rPr>
      </w:pPr>
      <w:r>
        <w:rPr>
          <w:rFonts w:hint="default" w:ascii="Times New Roman" w:hAnsi="Times New Roman" w:cs="Times New Roman"/>
        </w:rPr>
        <w:br w:type="page"/>
      </w:r>
    </w:p>
    <w:p w14:paraId="71B2E4C5">
      <w:pPr>
        <w:numPr>
          <w:ilvl w:val="0"/>
          <w:numId w:val="2"/>
        </w:numPr>
        <w:spacing w:line="56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收到和处理政府信息公开申请情况</w:t>
      </w:r>
    </w:p>
    <w:p w14:paraId="45B671E9">
      <w:pPr>
        <w:pStyle w:val="3"/>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4A48B4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0858467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071C113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申请人情况</w:t>
            </w:r>
          </w:p>
        </w:tc>
      </w:tr>
      <w:tr w14:paraId="6C9C61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51655D94">
            <w:pPr>
              <w:rPr>
                <w:rFonts w:hint="default" w:ascii="Times New Roman" w:hAnsi="Times New Roman" w:cs="Times New Roman"/>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7B1D310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4BBD855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3978EFC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总计</w:t>
            </w:r>
          </w:p>
        </w:tc>
      </w:tr>
      <w:tr w14:paraId="475237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495E7C47">
            <w:pPr>
              <w:rPr>
                <w:rFonts w:hint="default" w:ascii="Times New Roman" w:hAnsi="Times New Roman" w:cs="Times New Roman"/>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65147C8E">
            <w:pPr>
              <w:rPr>
                <w:rFonts w:hint="default" w:ascii="Times New Roman" w:hAnsi="Times New Roman" w:cs="Times New Roman"/>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09DD202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商业</w:t>
            </w:r>
          </w:p>
          <w:p w14:paraId="1062FA0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2A5C9C6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科研</w:t>
            </w:r>
          </w:p>
          <w:p w14:paraId="0A20EDF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0C101F8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A73D36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303C482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5ABB9C6C">
            <w:pPr>
              <w:rPr>
                <w:rFonts w:hint="default" w:ascii="Times New Roman" w:hAnsi="Times New Roman" w:cs="Times New Roman"/>
                <w:sz w:val="24"/>
                <w:szCs w:val="24"/>
              </w:rPr>
            </w:pPr>
          </w:p>
        </w:tc>
      </w:tr>
      <w:tr w14:paraId="1C77DA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801732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B9D35F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24</w:t>
            </w:r>
          </w:p>
        </w:tc>
        <w:tc>
          <w:tcPr>
            <w:tcW w:w="688" w:type="dxa"/>
            <w:tcBorders>
              <w:top w:val="nil"/>
              <w:left w:val="nil"/>
              <w:bottom w:val="single" w:color="auto" w:sz="8" w:space="0"/>
              <w:right w:val="single" w:color="auto" w:sz="8" w:space="0"/>
            </w:tcBorders>
            <w:tcMar>
              <w:left w:w="57" w:type="dxa"/>
              <w:right w:w="57" w:type="dxa"/>
            </w:tcMar>
            <w:vAlign w:val="center"/>
          </w:tcPr>
          <w:p w14:paraId="6E1151D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1</w:t>
            </w:r>
          </w:p>
        </w:tc>
        <w:tc>
          <w:tcPr>
            <w:tcW w:w="688" w:type="dxa"/>
            <w:tcBorders>
              <w:top w:val="nil"/>
              <w:left w:val="nil"/>
              <w:bottom w:val="single" w:color="auto" w:sz="8" w:space="0"/>
              <w:right w:val="single" w:color="auto" w:sz="8" w:space="0"/>
            </w:tcBorders>
            <w:tcMar>
              <w:left w:w="57" w:type="dxa"/>
              <w:right w:w="57" w:type="dxa"/>
            </w:tcMar>
            <w:vAlign w:val="center"/>
          </w:tcPr>
          <w:p w14:paraId="5E98D39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39452E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666125C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30F649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4F9D60B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25 </w:t>
            </w:r>
          </w:p>
        </w:tc>
      </w:tr>
      <w:tr w14:paraId="08B3F0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4682E8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3C94762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2</w:t>
            </w:r>
          </w:p>
        </w:tc>
        <w:tc>
          <w:tcPr>
            <w:tcW w:w="688" w:type="dxa"/>
            <w:tcBorders>
              <w:top w:val="nil"/>
              <w:left w:val="nil"/>
              <w:bottom w:val="single" w:color="auto" w:sz="8" w:space="0"/>
              <w:right w:val="single" w:color="auto" w:sz="8" w:space="0"/>
            </w:tcBorders>
            <w:tcMar>
              <w:left w:w="57" w:type="dxa"/>
              <w:right w:w="57" w:type="dxa"/>
            </w:tcMar>
            <w:vAlign w:val="center"/>
          </w:tcPr>
          <w:p w14:paraId="7A9F894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16CC1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0EC85B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2AB971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38A588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601F3F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2</w:t>
            </w:r>
          </w:p>
        </w:tc>
      </w:tr>
      <w:tr w14:paraId="5F48C5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D4C390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25D2FDD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4CAD027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20</w:t>
            </w:r>
          </w:p>
        </w:tc>
        <w:tc>
          <w:tcPr>
            <w:tcW w:w="688" w:type="dxa"/>
            <w:tcBorders>
              <w:top w:val="nil"/>
              <w:left w:val="nil"/>
              <w:bottom w:val="single" w:color="auto" w:sz="8" w:space="0"/>
              <w:right w:val="single" w:color="auto" w:sz="8" w:space="0"/>
            </w:tcBorders>
            <w:tcMar>
              <w:left w:w="57" w:type="dxa"/>
              <w:right w:w="57" w:type="dxa"/>
            </w:tcMar>
            <w:vAlign w:val="center"/>
          </w:tcPr>
          <w:p w14:paraId="26C5730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1</w:t>
            </w:r>
          </w:p>
        </w:tc>
        <w:tc>
          <w:tcPr>
            <w:tcW w:w="688" w:type="dxa"/>
            <w:tcBorders>
              <w:top w:val="nil"/>
              <w:left w:val="nil"/>
              <w:bottom w:val="single" w:color="auto" w:sz="8" w:space="0"/>
              <w:right w:val="single" w:color="auto" w:sz="8" w:space="0"/>
            </w:tcBorders>
            <w:tcMar>
              <w:left w:w="57" w:type="dxa"/>
              <w:right w:w="57" w:type="dxa"/>
            </w:tcMar>
            <w:vAlign w:val="center"/>
          </w:tcPr>
          <w:p w14:paraId="094005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0606C8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749E73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FC2279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05A4192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21</w:t>
            </w:r>
          </w:p>
        </w:tc>
      </w:tr>
      <w:tr w14:paraId="500305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6DBFF4A">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1721E92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（二）部分公开</w:t>
            </w:r>
            <w:r>
              <w:rPr>
                <w:rFonts w:hint="default" w:ascii="Times New Roman" w:hAnsi="Times New Roman" w:eastAsia="楷体" w:cs="Times New Roman"/>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6D3C874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2</w:t>
            </w:r>
          </w:p>
        </w:tc>
        <w:tc>
          <w:tcPr>
            <w:tcW w:w="688" w:type="dxa"/>
            <w:tcBorders>
              <w:top w:val="nil"/>
              <w:left w:val="nil"/>
              <w:bottom w:val="single" w:color="auto" w:sz="8" w:space="0"/>
              <w:right w:val="single" w:color="auto" w:sz="8" w:space="0"/>
            </w:tcBorders>
            <w:tcMar>
              <w:left w:w="57" w:type="dxa"/>
              <w:right w:w="57" w:type="dxa"/>
            </w:tcMar>
            <w:vAlign w:val="center"/>
          </w:tcPr>
          <w:p w14:paraId="162FE49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717871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961ACA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6ECB9BA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B67202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6CFBF17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2</w:t>
            </w:r>
          </w:p>
        </w:tc>
      </w:tr>
      <w:tr w14:paraId="13B96B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4EC4EB3">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11883AF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BD7EAA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583ABBE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0 </w:t>
            </w:r>
          </w:p>
        </w:tc>
        <w:tc>
          <w:tcPr>
            <w:tcW w:w="688" w:type="dxa"/>
            <w:tcBorders>
              <w:top w:val="nil"/>
              <w:left w:val="nil"/>
              <w:bottom w:val="single" w:color="auto" w:sz="8" w:space="0"/>
              <w:right w:val="single" w:color="auto" w:sz="8" w:space="0"/>
            </w:tcBorders>
            <w:tcMar>
              <w:left w:w="57" w:type="dxa"/>
              <w:right w:w="57" w:type="dxa"/>
            </w:tcMar>
            <w:vAlign w:val="center"/>
          </w:tcPr>
          <w:p w14:paraId="6A31B35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289483E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4347E6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C6D605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6043FFD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522AF0D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0 </w:t>
            </w:r>
          </w:p>
        </w:tc>
      </w:tr>
      <w:tr w14:paraId="0A3976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730414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EB13E6B">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C2CA96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090BCD6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C65DD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D3DE96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0CB1C4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225CE9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90B0FD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77BC0AF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2DCA72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8F56FCD">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3DAA6A9">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AE5917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463C74D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CDF0A0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EDBFED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F365BA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0F85D6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D9E297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71747F5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14BE60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C7F6519">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E1F7C93">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17EA677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021C10A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20792B8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66455B9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08009C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A4BC00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2D8603B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57A4F34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325B91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022D156">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67E07AC">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B64C62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1D0D5A1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2A42F33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E716D4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016B3F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BE47A7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9CEDAC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5FE992D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14737F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5E1A26A">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A3D7736">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62CF3F6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0E4C9CE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CF14D3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457154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F107C5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D61E5C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619B598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1A080B2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095276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AA9A804">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44C2236">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318FA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104AD9B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A8A5AE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3B4D3D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678D62D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74BC23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EB2B05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49073E8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670EF8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6751CAA">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5F22873">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7DDCE2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41864BD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EDB441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7F1EB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687139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C056A1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78A55C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6EAAEEA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18E8AF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3296CC8">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5A4D96B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D00ECF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01B86D3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3</w:t>
            </w:r>
          </w:p>
        </w:tc>
        <w:tc>
          <w:tcPr>
            <w:tcW w:w="688" w:type="dxa"/>
            <w:tcBorders>
              <w:top w:val="nil"/>
              <w:left w:val="nil"/>
              <w:bottom w:val="single" w:color="auto" w:sz="8" w:space="0"/>
              <w:right w:val="single" w:color="auto" w:sz="8" w:space="0"/>
            </w:tcBorders>
            <w:tcMar>
              <w:left w:w="57" w:type="dxa"/>
              <w:right w:w="57" w:type="dxa"/>
            </w:tcMar>
            <w:vAlign w:val="center"/>
          </w:tcPr>
          <w:p w14:paraId="7BB8B56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E7812F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0D1376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EE7A31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D1E7FC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1F07538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3</w:t>
            </w:r>
          </w:p>
        </w:tc>
      </w:tr>
      <w:tr w14:paraId="744D5B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244DA99">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BE9D4A8">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67C0E43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11635D0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B5C257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3251C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46CB95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E70073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64D20A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15D7A2A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01BD19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DDEDD84">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918D2DD">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85087E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5EA6FD5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8733F1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AC07D3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0 </w:t>
            </w:r>
          </w:p>
        </w:tc>
        <w:tc>
          <w:tcPr>
            <w:tcW w:w="688" w:type="dxa"/>
            <w:tcBorders>
              <w:top w:val="nil"/>
              <w:left w:val="nil"/>
              <w:bottom w:val="single" w:color="auto" w:sz="8" w:space="0"/>
              <w:right w:val="single" w:color="auto" w:sz="8" w:space="0"/>
            </w:tcBorders>
            <w:tcMar>
              <w:left w:w="57" w:type="dxa"/>
              <w:right w:w="57" w:type="dxa"/>
            </w:tcMar>
            <w:vAlign w:val="center"/>
          </w:tcPr>
          <w:p w14:paraId="2014A65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0 </w:t>
            </w:r>
          </w:p>
        </w:tc>
        <w:tc>
          <w:tcPr>
            <w:tcW w:w="688" w:type="dxa"/>
            <w:tcBorders>
              <w:top w:val="nil"/>
              <w:left w:val="nil"/>
              <w:bottom w:val="single" w:color="auto" w:sz="8" w:space="0"/>
              <w:right w:val="single" w:color="auto" w:sz="8" w:space="0"/>
            </w:tcBorders>
            <w:tcMar>
              <w:left w:w="57" w:type="dxa"/>
              <w:right w:w="57" w:type="dxa"/>
            </w:tcMar>
            <w:vAlign w:val="center"/>
          </w:tcPr>
          <w:p w14:paraId="4285684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0 </w:t>
            </w:r>
          </w:p>
        </w:tc>
        <w:tc>
          <w:tcPr>
            <w:tcW w:w="688" w:type="dxa"/>
            <w:tcBorders>
              <w:top w:val="nil"/>
              <w:left w:val="nil"/>
              <w:bottom w:val="single" w:color="auto" w:sz="8" w:space="0"/>
              <w:right w:val="single" w:color="auto" w:sz="8" w:space="0"/>
            </w:tcBorders>
            <w:tcMar>
              <w:left w:w="57" w:type="dxa"/>
              <w:right w:w="57" w:type="dxa"/>
            </w:tcMar>
            <w:vAlign w:val="center"/>
          </w:tcPr>
          <w:p w14:paraId="175E1EE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0 </w:t>
            </w:r>
          </w:p>
        </w:tc>
        <w:tc>
          <w:tcPr>
            <w:tcW w:w="689" w:type="dxa"/>
            <w:tcBorders>
              <w:top w:val="nil"/>
              <w:left w:val="nil"/>
              <w:bottom w:val="single" w:color="auto" w:sz="8" w:space="0"/>
              <w:right w:val="single" w:color="auto" w:sz="8" w:space="0"/>
            </w:tcBorders>
            <w:tcMar>
              <w:left w:w="57" w:type="dxa"/>
              <w:right w:w="57" w:type="dxa"/>
            </w:tcMar>
            <w:vAlign w:val="center"/>
          </w:tcPr>
          <w:p w14:paraId="31BF599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625C9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D3DB348">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7EC3B7C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471C0F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3B1634C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B885F0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A460F5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590F16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2723673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A1FBC6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1AFC0DD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0AA033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1C7B29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E3E0958">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0BC4BE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26EA429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52E68B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AA49E3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548DA8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5B429C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63E0F1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6F7581F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228081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D3CD641">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3621FC7">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24F932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688372A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E3AF0B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5C0C54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E93619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319640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C8E0AE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1B1014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600648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43D0261">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7E03D16">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416832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2E0F9A9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22BA577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47F89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CB0F6F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AB31AB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B32A1C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5D4A08A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42852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216BC85">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2DA9D66">
            <w:pPr>
              <w:rPr>
                <w:rFonts w:hint="default" w:ascii="Times New Roman" w:hAnsi="Times New Roman" w:cs="Times New Roman"/>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14:paraId="1F6AFA2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37C6F78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outset" w:color="auto" w:sz="8" w:space="0"/>
              <w:right w:val="single" w:color="auto" w:sz="8" w:space="0"/>
            </w:tcBorders>
            <w:tcMar>
              <w:left w:w="57" w:type="dxa"/>
              <w:right w:w="57" w:type="dxa"/>
            </w:tcMar>
            <w:vAlign w:val="center"/>
          </w:tcPr>
          <w:p w14:paraId="5C2F9A7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outset" w:color="auto" w:sz="8" w:space="0"/>
              <w:right w:val="single" w:color="auto" w:sz="8" w:space="0"/>
            </w:tcBorders>
            <w:tcMar>
              <w:left w:w="57" w:type="dxa"/>
              <w:right w:w="57" w:type="dxa"/>
            </w:tcMar>
            <w:vAlign w:val="center"/>
          </w:tcPr>
          <w:p w14:paraId="5E1DE60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outset" w:color="auto" w:sz="8" w:space="0"/>
              <w:right w:val="single" w:color="auto" w:sz="8" w:space="0"/>
            </w:tcBorders>
            <w:tcMar>
              <w:left w:w="57" w:type="dxa"/>
              <w:right w:w="57" w:type="dxa"/>
            </w:tcMar>
            <w:vAlign w:val="center"/>
          </w:tcPr>
          <w:p w14:paraId="0F662BB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outset" w:color="auto" w:sz="8" w:space="0"/>
              <w:right w:val="single" w:color="auto" w:sz="8" w:space="0"/>
            </w:tcBorders>
            <w:tcMar>
              <w:left w:w="57" w:type="dxa"/>
              <w:right w:w="57" w:type="dxa"/>
            </w:tcMar>
            <w:vAlign w:val="center"/>
          </w:tcPr>
          <w:p w14:paraId="502F153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outset" w:color="auto" w:sz="8" w:space="0"/>
              <w:right w:val="single" w:color="auto" w:sz="8" w:space="0"/>
            </w:tcBorders>
            <w:tcMar>
              <w:left w:w="57" w:type="dxa"/>
              <w:right w:w="57" w:type="dxa"/>
            </w:tcMar>
            <w:vAlign w:val="center"/>
          </w:tcPr>
          <w:p w14:paraId="7B3B6F9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outset" w:color="auto" w:sz="8" w:space="0"/>
              <w:right w:val="single" w:color="auto" w:sz="8" w:space="0"/>
            </w:tcBorders>
            <w:tcMar>
              <w:left w:w="57" w:type="dxa"/>
              <w:right w:w="57" w:type="dxa"/>
            </w:tcMar>
            <w:vAlign w:val="center"/>
          </w:tcPr>
          <w:p w14:paraId="0444CAA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3181A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A90FFC9">
            <w:pPr>
              <w:rPr>
                <w:rFonts w:hint="default" w:ascii="Times New Roman" w:hAnsi="Times New Roman" w:cs="Times New Roman"/>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6EA2F9A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121C498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0723913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074A75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6306B23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74C79A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818E40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02BBAB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5F174BD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56F535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A9F138A">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727651D4">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1B04C2C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2208F8D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650A51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6886C4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7D5829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61E9EA0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B7EBFA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16F888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0093EA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E20EB35">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0E823C89">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36ECDE1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0C92928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4DC02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AE6554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25ED257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B60E29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21444B6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6487360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r>
      <w:tr w14:paraId="583CE6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1934F9F">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7D7211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2EEC247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25</w:t>
            </w:r>
          </w:p>
        </w:tc>
        <w:tc>
          <w:tcPr>
            <w:tcW w:w="688" w:type="dxa"/>
            <w:tcBorders>
              <w:top w:val="nil"/>
              <w:left w:val="nil"/>
              <w:bottom w:val="single" w:color="auto" w:sz="8" w:space="0"/>
              <w:right w:val="single" w:color="auto" w:sz="8" w:space="0"/>
            </w:tcBorders>
            <w:tcMar>
              <w:left w:w="57" w:type="dxa"/>
              <w:right w:w="57" w:type="dxa"/>
            </w:tcMar>
            <w:vAlign w:val="center"/>
          </w:tcPr>
          <w:p w14:paraId="4B50818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eastAsia" w:cs="Times New Roman"/>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5CDF6CF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0CB3BA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B6198A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565FC17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0</w:t>
            </w:r>
          </w:p>
        </w:tc>
        <w:tc>
          <w:tcPr>
            <w:tcW w:w="689" w:type="dxa"/>
            <w:tcBorders>
              <w:top w:val="nil"/>
              <w:left w:val="nil"/>
              <w:bottom w:val="single" w:color="auto" w:sz="8" w:space="0"/>
              <w:right w:val="single" w:color="auto" w:sz="8" w:space="0"/>
            </w:tcBorders>
            <w:tcMar>
              <w:left w:w="57" w:type="dxa"/>
              <w:right w:w="57" w:type="dxa"/>
            </w:tcMar>
            <w:vAlign w:val="center"/>
          </w:tcPr>
          <w:p w14:paraId="00A929A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26</w:t>
            </w:r>
          </w:p>
        </w:tc>
      </w:tr>
      <w:tr w14:paraId="42CAC5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3EB43E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四、结转下年度继续办理</w:t>
            </w:r>
          </w:p>
        </w:tc>
        <w:tc>
          <w:tcPr>
            <w:tcW w:w="688" w:type="dxa"/>
            <w:tcBorders>
              <w:top w:val="outset" w:color="auto" w:sz="6" w:space="0"/>
              <w:left w:val="nil"/>
              <w:bottom w:val="outset" w:color="auto" w:sz="6" w:space="0"/>
              <w:right w:val="outset" w:color="auto" w:sz="6" w:space="0"/>
            </w:tcBorders>
            <w:vAlign w:val="center"/>
          </w:tcPr>
          <w:p w14:paraId="26673AF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1</w:t>
            </w:r>
          </w:p>
        </w:tc>
        <w:tc>
          <w:tcPr>
            <w:tcW w:w="688" w:type="dxa"/>
            <w:tcBorders>
              <w:top w:val="outset" w:color="auto" w:sz="6" w:space="0"/>
              <w:left w:val="nil"/>
              <w:bottom w:val="outset" w:color="auto" w:sz="6" w:space="0"/>
              <w:right w:val="outset" w:color="auto" w:sz="6" w:space="0"/>
            </w:tcBorders>
            <w:vAlign w:val="center"/>
          </w:tcPr>
          <w:p w14:paraId="6F09AFD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14:paraId="5290554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14:paraId="22EC5EB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14:paraId="145F37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14:paraId="3B78203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689" w:type="dxa"/>
            <w:tcBorders>
              <w:top w:val="outset" w:color="auto" w:sz="6" w:space="0"/>
              <w:left w:val="nil"/>
              <w:bottom w:val="outset" w:color="auto" w:sz="6" w:space="0"/>
              <w:right w:val="outset" w:color="auto" w:sz="6" w:space="0"/>
            </w:tcBorders>
            <w:vAlign w:val="center"/>
          </w:tcPr>
          <w:p w14:paraId="27FB1F3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1</w:t>
            </w:r>
          </w:p>
        </w:tc>
      </w:tr>
    </w:tbl>
    <w:p w14:paraId="66038DBA">
      <w:pPr>
        <w:pStyle w:val="2"/>
        <w:numPr>
          <w:ilvl w:val="0"/>
          <w:numId w:val="0"/>
        </w:numPr>
        <w:ind w:leftChars="200"/>
        <w:rPr>
          <w:rFonts w:hint="default" w:ascii="Times New Roman" w:hAnsi="Times New Roman" w:cs="Times New Roman"/>
        </w:rPr>
      </w:pPr>
    </w:p>
    <w:p w14:paraId="0DD9D333">
      <w:pPr>
        <w:pStyle w:val="2"/>
        <w:numPr>
          <w:ilvl w:val="0"/>
          <w:numId w:val="0"/>
        </w:numPr>
        <w:ind w:leftChars="200"/>
        <w:rPr>
          <w:rFonts w:hint="default" w:ascii="Times New Roman" w:hAnsi="Times New Roman" w:cs="Times New Roman"/>
        </w:rPr>
      </w:pPr>
    </w:p>
    <w:p w14:paraId="624E9104">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p w14:paraId="7CBDC30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08317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1C66820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1B6DFF1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行政诉讼</w:t>
            </w:r>
          </w:p>
        </w:tc>
      </w:tr>
      <w:tr w14:paraId="0ADEA9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9C502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1AB8E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B4A7F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B3175B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DB9DAE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3A7988A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5FC465F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复议后起诉</w:t>
            </w:r>
          </w:p>
        </w:tc>
      </w:tr>
      <w:tr w14:paraId="1E5430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5011B8C">
            <w:pPr>
              <w:rPr>
                <w:rFonts w:hint="default" w:ascii="Times New Roman" w:hAnsi="Times New Roman" w:cs="Times New Roman"/>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01AA7CB6">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3DC9C4">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E766A7F">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B8107B">
            <w:pPr>
              <w:rPr>
                <w:rFonts w:hint="default" w:ascii="Times New Roman" w:hAnsi="Times New Roman" w:cs="Times New Roman"/>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407F91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696C50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3E13A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3B4BF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9640E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868F7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E287DB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1DC1A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其他</w:t>
            </w:r>
            <w:r>
              <w:rPr>
                <w:rFonts w:hint="default" w:ascii="Times New Roman" w:hAnsi="Times New Roman" w:eastAsia="宋体" w:cs="Times New Roman"/>
                <w:color w:val="000000"/>
                <w:kern w:val="0"/>
                <w:sz w:val="20"/>
                <w:szCs w:val="20"/>
                <w:lang w:val="en-US" w:eastAsia="zh-CN"/>
              </w:rPr>
              <w:br w:type="textWrapping"/>
            </w:r>
            <w:r>
              <w:rPr>
                <w:rFonts w:hint="default" w:ascii="Times New Roman" w:hAnsi="Times New Roman" w:eastAsia="宋体" w:cs="Times New Roman"/>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6DBFA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80C84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总计</w:t>
            </w:r>
          </w:p>
        </w:tc>
      </w:tr>
      <w:tr w14:paraId="687960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9779A9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39BAD6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BA49F0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86EF32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F5B896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AFD1328">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9E81708">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59B181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95EF07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C294E8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2ACC554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0F061B08">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4D49014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15875F78">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700DE3F2">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14:paraId="251D4F17">
      <w:pPr>
        <w:widowControl/>
        <w:jc w:val="left"/>
        <w:rPr>
          <w:rFonts w:hint="default" w:ascii="Times New Roman" w:hAnsi="Times New Roman" w:cs="Times New Roman"/>
        </w:rPr>
      </w:pPr>
    </w:p>
    <w:p w14:paraId="6FD0B86B">
      <w:pPr>
        <w:widowControl/>
        <w:spacing w:line="560" w:lineRule="exact"/>
        <w:ind w:firstLine="672" w:firstLineChars="200"/>
        <w:jc w:val="left"/>
        <w:rPr>
          <w:rFonts w:hint="default" w:ascii="Times New Roman" w:hAnsi="Times New Roman" w:cs="Times New Roman"/>
          <w:spacing w:val="8"/>
          <w:kern w:val="0"/>
          <w:sz w:val="24"/>
        </w:rPr>
      </w:pPr>
      <w:r>
        <w:rPr>
          <w:rFonts w:hint="default" w:ascii="Times New Roman" w:hAnsi="Times New Roman" w:eastAsia="黑体" w:cs="Times New Roman"/>
          <w:spacing w:val="8"/>
          <w:kern w:val="0"/>
          <w:sz w:val="32"/>
          <w:szCs w:val="32"/>
        </w:rPr>
        <w:t>五、存在的主要问题及改进情况</w:t>
      </w:r>
    </w:p>
    <w:p w14:paraId="1842815C">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default" w:ascii="Times New Roman" w:hAnsi="Times New Roman" w:eastAsia="仿宋_GB2312" w:cs="Times New Roman"/>
          <w:spacing w:val="8"/>
          <w:kern w:val="0"/>
          <w:sz w:val="32"/>
          <w:szCs w:val="32"/>
          <w:lang w:val="en-US" w:eastAsia="zh-CN"/>
        </w:rPr>
      </w:pPr>
      <w:r>
        <w:rPr>
          <w:rFonts w:hint="default" w:ascii="Times New Roman" w:hAnsi="Times New Roman" w:eastAsia="仿宋_GB2312" w:cs="Times New Roman"/>
          <w:spacing w:val="8"/>
          <w:kern w:val="0"/>
          <w:sz w:val="32"/>
          <w:szCs w:val="32"/>
          <w:lang w:val="en-US" w:eastAsia="zh-CN"/>
        </w:rPr>
        <w:t>2025年存在主要问题：一是政府信息公开力度待进一步加强。业务科室存在重业务、轻公开的思想，责任意识和主动公开意识亟待进一步加强。二是公开内容质量待进一步提高。对群众关切的热点难点问题把握不精准，回应不够准确、全面、及时。</w:t>
      </w:r>
    </w:p>
    <w:p w14:paraId="30353D70">
      <w:pPr>
        <w:pStyle w:val="2"/>
        <w:keepNext w:val="0"/>
        <w:keepLines w:val="0"/>
        <w:pageBreakBefore w:val="0"/>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spacing w:val="8"/>
          <w:kern w:val="0"/>
          <w:sz w:val="32"/>
          <w:szCs w:val="32"/>
          <w:lang w:val="en-US" w:eastAsia="zh-CN"/>
        </w:rPr>
        <w:t>下一步改进措施：一是强化思想认识，开展信息公开工作业务培训与交流学习，提高信息公开工作重要性认识，提升工作人员业务能力和综合素质。二是关注社会热点，结合工作日常，精准研判群众关切，聚焦关键领域，做好政策解读，拓宽公开范围，细化公开内容，提升政务公开工作的针对性和实效性。</w:t>
      </w:r>
    </w:p>
    <w:p w14:paraId="60AF4124">
      <w:pPr>
        <w:widowControl/>
        <w:spacing w:line="560" w:lineRule="exact"/>
        <w:ind w:firstLine="675"/>
        <w:jc w:val="left"/>
        <w:rPr>
          <w:rFonts w:hint="default" w:ascii="Times New Roman" w:hAnsi="Times New Roman" w:cs="Times New Roman"/>
          <w:spacing w:val="8"/>
          <w:kern w:val="0"/>
          <w:sz w:val="32"/>
          <w:szCs w:val="32"/>
        </w:rPr>
      </w:pPr>
      <w:r>
        <w:rPr>
          <w:rFonts w:hint="default" w:ascii="Times New Roman" w:hAnsi="Times New Roman" w:eastAsia="黑体" w:cs="Times New Roman"/>
          <w:spacing w:val="8"/>
          <w:kern w:val="0"/>
          <w:sz w:val="32"/>
          <w:szCs w:val="32"/>
        </w:rPr>
        <w:t>六、其他需要报告的事项</w:t>
      </w:r>
    </w:p>
    <w:p w14:paraId="73751C02">
      <w:pPr>
        <w:widowControl/>
        <w:wordWrap/>
        <w:adjustRightInd/>
        <w:snapToGrid/>
        <w:spacing w:line="560" w:lineRule="exact"/>
        <w:ind w:firstLine="640" w:firstLineChars="200"/>
        <w:jc w:val="left"/>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val="en-US" w:eastAsia="zh-CN"/>
        </w:rPr>
        <w:t>本单位依据《政府信息公开信息处理费管理办法》收取信息处理费，发出收费通知的件数和总金额以及实际收取的总金额均为0。</w:t>
      </w:r>
    </w:p>
    <w:p w14:paraId="792962FD">
      <w:pPr>
        <w:widowControl/>
        <w:spacing w:line="560" w:lineRule="exact"/>
        <w:ind w:firstLine="640" w:firstLineChars="200"/>
        <w:jc w:val="left"/>
        <w:rPr>
          <w:rFonts w:hint="default" w:ascii="Times New Roman" w:hAnsi="Times New Roman" w:eastAsia="仿宋_GB2312" w:cs="Times New Roman"/>
          <w:color w:val="9BC2E6"/>
          <w:spacing w:val="0"/>
          <w:kern w:val="0"/>
          <w:sz w:val="32"/>
          <w:szCs w:val="32"/>
        </w:rPr>
      </w:pPr>
      <w:r>
        <w:rPr>
          <w:rFonts w:hint="default" w:ascii="Times New Roman" w:hAnsi="Times New Roman" w:eastAsia="仿宋_GB2312" w:cs="Times New Roman"/>
          <w:spacing w:val="0"/>
          <w:kern w:val="0"/>
          <w:sz w:val="32"/>
          <w:szCs w:val="32"/>
          <w:lang w:val="en-US" w:eastAsia="zh-CN" w:bidi="ar-SA"/>
        </w:rPr>
        <w:t>北京市东城区人民政府门户网站网址为http://www.bjdch.gov.cn/，如需了解更多政府信息，请登录查询。</w:t>
      </w:r>
    </w:p>
    <w:p w14:paraId="3B4C135C">
      <w:pPr>
        <w:rPr>
          <w:rFonts w:hint="default"/>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FE7AB"/>
    <w:multiLevelType w:val="singleLevel"/>
    <w:tmpl w:val="F24FE7AB"/>
    <w:lvl w:ilvl="0" w:tentative="0">
      <w:start w:val="3"/>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rPr>
        <w:rFonts w:hint="eastAsia" w:ascii="黑体" w:hAnsi="黑体" w:eastAsia="黑体" w:cs="黑体"/>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F4D17"/>
    <w:rsid w:val="0D1C5E7E"/>
    <w:rsid w:val="17902CC6"/>
    <w:rsid w:val="226C7971"/>
    <w:rsid w:val="324F659A"/>
    <w:rsid w:val="526F4D17"/>
    <w:rsid w:val="70085BC7"/>
    <w:rsid w:val="722C3CFC"/>
    <w:rsid w:val="759B5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2794</Words>
  <Characters>2886</Characters>
  <Lines>0</Lines>
  <Paragraphs>0</Paragraphs>
  <TotalTime>80</TotalTime>
  <ScaleCrop>false</ScaleCrop>
  <LinksUpToDate>false</LinksUpToDate>
  <CharactersWithSpaces>3068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2026-01-07T07:04:00Z</dcterms:created>
  <dc:creator>HASEE</dc:creator>
  <cp:lastModifiedBy>yukime</cp:lastModifiedBy>
  <dcterms:modified xsi:type="dcterms:W3CDTF">2026-01-16T07:25:44Z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A891C227D4D048228270A1E6276A0B07</vt:lpwstr>
  </property>
  <property fmtid="{D5CDD505-2E9C-101B-9397-08002B2CF9AE}" pid="4" name="KSOTemplateDocerSaveRecord">
    <vt:lpwstr>eyJoZGlkIjoiMjQ4OWM2OWVkZGFiYjIwYWExYmU2YTc1NDEzNjk5YzciLCJ1c2VySWQiOiI2Mzc1MDI3OTEifQ==</vt:lpwstr>
  </property>
</Properties>
</file>